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5AE" w:rsidRPr="00B345AE" w:rsidRDefault="00F264AA">
      <w:pPr>
        <w:rPr>
          <w:rFonts w:ascii="Times New Roman" w:hAnsi="Times New Roman"/>
          <w:b/>
          <w:sz w:val="24"/>
          <w:szCs w:val="24"/>
        </w:rPr>
      </w:pPr>
      <w:bookmarkStart w:id="0" w:name="_GoBack"/>
      <w:bookmarkEnd w:id="0"/>
      <w:r>
        <w:rPr>
          <w:rFonts w:ascii="Times New Roman" w:hAnsi="Times New Roman"/>
          <w:b/>
          <w:sz w:val="24"/>
          <w:szCs w:val="24"/>
        </w:rPr>
        <w:t>Supplementary table S</w:t>
      </w:r>
      <w:r w:rsidR="00590AB0">
        <w:rPr>
          <w:rFonts w:ascii="Times New Roman" w:hAnsi="Times New Roman"/>
          <w:b/>
          <w:sz w:val="24"/>
          <w:szCs w:val="24"/>
        </w:rPr>
        <w:t>1</w:t>
      </w:r>
      <w:r>
        <w:rPr>
          <w:rFonts w:ascii="Times New Roman" w:hAnsi="Times New Roman"/>
          <w:b/>
          <w:sz w:val="24"/>
          <w:szCs w:val="24"/>
        </w:rPr>
        <w:t>: details of quality control measures used in the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2415"/>
        <w:gridCol w:w="2961"/>
        <w:gridCol w:w="1527"/>
      </w:tblGrid>
      <w:tr w:rsidR="00B345AE" w:rsidRPr="00B345AE" w:rsidTr="00B345AE">
        <w:tc>
          <w:tcPr>
            <w:tcW w:w="2339" w:type="dxa"/>
            <w:shd w:val="clear" w:color="auto" w:fill="auto"/>
          </w:tcPr>
          <w:p w:rsidR="00B345AE" w:rsidRPr="00B345AE" w:rsidRDefault="00B345AE" w:rsidP="00B345AE">
            <w:pPr>
              <w:pStyle w:val="Default"/>
              <w:rPr>
                <w:rFonts w:ascii="Times New Roman" w:hAnsi="Times New Roman" w:cs="Times New Roman"/>
                <w:b/>
              </w:rPr>
            </w:pPr>
            <w:r w:rsidRPr="00B345AE">
              <w:rPr>
                <w:rFonts w:ascii="Times New Roman" w:hAnsi="Times New Roman" w:cs="Times New Roman"/>
                <w:b/>
              </w:rPr>
              <w:t>Study</w:t>
            </w:r>
          </w:p>
        </w:tc>
        <w:tc>
          <w:tcPr>
            <w:tcW w:w="2415" w:type="dxa"/>
            <w:shd w:val="clear" w:color="auto" w:fill="auto"/>
          </w:tcPr>
          <w:p w:rsidR="00B345AE" w:rsidRPr="00B345AE" w:rsidRDefault="00B345AE" w:rsidP="00B345AE">
            <w:pPr>
              <w:pStyle w:val="Default"/>
              <w:rPr>
                <w:rFonts w:ascii="Times New Roman" w:hAnsi="Times New Roman" w:cs="Times New Roman"/>
                <w:b/>
              </w:rPr>
            </w:pPr>
            <w:r w:rsidRPr="00B345AE">
              <w:rPr>
                <w:rFonts w:ascii="Times New Roman" w:hAnsi="Times New Roman" w:cs="Times New Roman"/>
                <w:b/>
              </w:rPr>
              <w:t>QC measure</w:t>
            </w:r>
          </w:p>
        </w:tc>
        <w:tc>
          <w:tcPr>
            <w:tcW w:w="2961" w:type="dxa"/>
            <w:shd w:val="clear" w:color="auto" w:fill="auto"/>
          </w:tcPr>
          <w:p w:rsidR="00B345AE" w:rsidRPr="00B345AE" w:rsidRDefault="00B345AE" w:rsidP="00B345AE">
            <w:pPr>
              <w:pStyle w:val="Default"/>
              <w:rPr>
                <w:rFonts w:ascii="Times New Roman" w:hAnsi="Times New Roman" w:cs="Times New Roman"/>
                <w:b/>
              </w:rPr>
            </w:pPr>
            <w:r w:rsidRPr="00B345AE">
              <w:rPr>
                <w:rFonts w:ascii="Times New Roman" w:hAnsi="Times New Roman" w:cs="Times New Roman"/>
                <w:b/>
              </w:rPr>
              <w:t>Number of SNPs / individuals excluded</w:t>
            </w:r>
          </w:p>
        </w:tc>
        <w:tc>
          <w:tcPr>
            <w:tcW w:w="1527" w:type="dxa"/>
            <w:shd w:val="clear" w:color="auto" w:fill="auto"/>
          </w:tcPr>
          <w:p w:rsidR="00B345AE" w:rsidRPr="00B345AE" w:rsidRDefault="00B345AE" w:rsidP="00B345AE">
            <w:pPr>
              <w:pStyle w:val="Default"/>
              <w:rPr>
                <w:rFonts w:ascii="Times New Roman" w:hAnsi="Times New Roman" w:cs="Times New Roman"/>
              </w:rPr>
            </w:pPr>
            <w:r w:rsidRPr="00B345AE">
              <w:rPr>
                <w:rFonts w:ascii="Times New Roman" w:hAnsi="Times New Roman" w:cs="Times New Roman"/>
              </w:rPr>
              <w:t>Total inclusions</w:t>
            </w:r>
          </w:p>
        </w:tc>
      </w:tr>
      <w:tr w:rsidR="00B345AE" w:rsidRPr="00B345AE" w:rsidTr="00B345AE">
        <w:tc>
          <w:tcPr>
            <w:tcW w:w="2339" w:type="dxa"/>
            <w:shd w:val="clear" w:color="auto" w:fill="auto"/>
          </w:tcPr>
          <w:p w:rsidR="00B345AE" w:rsidRPr="00B345AE" w:rsidRDefault="00B345AE" w:rsidP="00B345AE">
            <w:pPr>
              <w:pStyle w:val="Default"/>
              <w:rPr>
                <w:rFonts w:ascii="Times New Roman" w:hAnsi="Times New Roman" w:cs="Times New Roman"/>
                <w:b/>
              </w:rPr>
            </w:pPr>
            <w:r w:rsidRPr="00B345AE">
              <w:rPr>
                <w:rFonts w:ascii="Times New Roman" w:hAnsi="Times New Roman" w:cs="Times New Roman"/>
                <w:b/>
              </w:rPr>
              <w:t>Linkage study – pedigree QC</w:t>
            </w:r>
          </w:p>
        </w:tc>
        <w:tc>
          <w:tcPr>
            <w:tcW w:w="2415" w:type="dxa"/>
            <w:shd w:val="clear" w:color="auto" w:fill="auto"/>
          </w:tcPr>
          <w:p w:rsidR="00B345AE" w:rsidRPr="00B345AE" w:rsidRDefault="00B345AE" w:rsidP="00B345AE">
            <w:pPr>
              <w:pStyle w:val="Default"/>
              <w:rPr>
                <w:rFonts w:ascii="Times New Roman" w:hAnsi="Times New Roman" w:cs="Times New Roman"/>
              </w:rPr>
            </w:pPr>
            <w:r w:rsidRPr="00B345AE">
              <w:rPr>
                <w:rFonts w:ascii="Times New Roman" w:hAnsi="Times New Roman" w:cs="Times New Roman"/>
              </w:rPr>
              <w:t xml:space="preserve">Individual gender check </w:t>
            </w:r>
          </w:p>
        </w:tc>
        <w:tc>
          <w:tcPr>
            <w:tcW w:w="2961" w:type="dxa"/>
            <w:shd w:val="clear" w:color="auto" w:fill="auto"/>
          </w:tcPr>
          <w:p w:rsidR="00B345AE" w:rsidRPr="00B345AE" w:rsidRDefault="00B345AE" w:rsidP="008E21BD">
            <w:pPr>
              <w:pStyle w:val="Default"/>
              <w:rPr>
                <w:rFonts w:ascii="Times New Roman" w:hAnsi="Times New Roman" w:cs="Times New Roman"/>
              </w:rPr>
            </w:pPr>
            <w:r w:rsidRPr="00B345AE">
              <w:rPr>
                <w:rFonts w:ascii="Times New Roman" w:hAnsi="Times New Roman" w:cs="Times New Roman"/>
              </w:rPr>
              <w:t xml:space="preserve">1 family (3 individuals) </w:t>
            </w:r>
          </w:p>
        </w:tc>
        <w:tc>
          <w:tcPr>
            <w:tcW w:w="1527" w:type="dxa"/>
            <w:shd w:val="clear" w:color="auto" w:fill="auto"/>
          </w:tcPr>
          <w:p w:rsidR="00B345AE" w:rsidRPr="00B345AE" w:rsidRDefault="00B345AE" w:rsidP="00B345AE">
            <w:pPr>
              <w:pStyle w:val="Default"/>
              <w:rPr>
                <w:rFonts w:ascii="Times New Roman" w:hAnsi="Times New Roman" w:cs="Times New Roman"/>
              </w:rPr>
            </w:pPr>
          </w:p>
        </w:tc>
      </w:tr>
      <w:tr w:rsidR="00B345AE" w:rsidRPr="00B345AE" w:rsidTr="00B345AE">
        <w:tc>
          <w:tcPr>
            <w:tcW w:w="2339" w:type="dxa"/>
            <w:shd w:val="clear" w:color="auto" w:fill="auto"/>
          </w:tcPr>
          <w:p w:rsidR="00B345AE" w:rsidRPr="00B345AE" w:rsidRDefault="00B345AE" w:rsidP="00B345AE">
            <w:pPr>
              <w:pStyle w:val="Default"/>
              <w:rPr>
                <w:rFonts w:ascii="Times New Roman" w:hAnsi="Times New Roman" w:cs="Times New Roman"/>
                <w:b/>
              </w:rPr>
            </w:pPr>
          </w:p>
        </w:tc>
        <w:tc>
          <w:tcPr>
            <w:tcW w:w="2415" w:type="dxa"/>
            <w:shd w:val="clear" w:color="auto" w:fill="auto"/>
          </w:tcPr>
          <w:p w:rsidR="00B345AE" w:rsidRPr="00B345AE" w:rsidRDefault="00B345AE" w:rsidP="00B345AE">
            <w:pPr>
              <w:pStyle w:val="Default"/>
              <w:rPr>
                <w:rFonts w:ascii="Times New Roman" w:hAnsi="Times New Roman" w:cs="Times New Roman"/>
              </w:rPr>
            </w:pPr>
            <w:r w:rsidRPr="00B345AE">
              <w:rPr>
                <w:rFonts w:ascii="Times New Roman" w:hAnsi="Times New Roman" w:cs="Times New Roman"/>
              </w:rPr>
              <w:t>Individual levels of heterozygosity</w:t>
            </w:r>
          </w:p>
        </w:tc>
        <w:tc>
          <w:tcPr>
            <w:tcW w:w="2961" w:type="dxa"/>
            <w:shd w:val="clear" w:color="auto" w:fill="auto"/>
          </w:tcPr>
          <w:p w:rsidR="00B345AE" w:rsidRPr="00B345AE" w:rsidRDefault="008E21BD" w:rsidP="00B345AE">
            <w:pPr>
              <w:pStyle w:val="Default"/>
              <w:rPr>
                <w:rFonts w:ascii="Times New Roman" w:hAnsi="Times New Roman" w:cs="Times New Roman"/>
              </w:rPr>
            </w:pPr>
            <w:r>
              <w:rPr>
                <w:rFonts w:ascii="Times New Roman" w:hAnsi="Times New Roman" w:cs="Times New Roman"/>
              </w:rPr>
              <w:t>0 individuals</w:t>
            </w:r>
          </w:p>
        </w:tc>
        <w:tc>
          <w:tcPr>
            <w:tcW w:w="1527" w:type="dxa"/>
            <w:shd w:val="clear" w:color="auto" w:fill="auto"/>
          </w:tcPr>
          <w:p w:rsidR="00B345AE" w:rsidRPr="00B345AE" w:rsidRDefault="00B345AE" w:rsidP="00B345AE">
            <w:pPr>
              <w:pStyle w:val="Default"/>
              <w:rPr>
                <w:rFonts w:ascii="Times New Roman" w:hAnsi="Times New Roman" w:cs="Times New Roman"/>
              </w:rPr>
            </w:pPr>
          </w:p>
        </w:tc>
      </w:tr>
      <w:tr w:rsidR="00B345AE" w:rsidRPr="00B345AE" w:rsidTr="00B345AE">
        <w:tc>
          <w:tcPr>
            <w:tcW w:w="2339" w:type="dxa"/>
            <w:shd w:val="clear" w:color="auto" w:fill="auto"/>
          </w:tcPr>
          <w:p w:rsidR="00B345AE" w:rsidRPr="00B345AE" w:rsidRDefault="00B345AE" w:rsidP="00B345AE">
            <w:pPr>
              <w:pStyle w:val="Default"/>
              <w:rPr>
                <w:rFonts w:ascii="Times New Roman" w:hAnsi="Times New Roman" w:cs="Times New Roman"/>
                <w:b/>
              </w:rPr>
            </w:pPr>
          </w:p>
        </w:tc>
        <w:tc>
          <w:tcPr>
            <w:tcW w:w="2415" w:type="dxa"/>
            <w:shd w:val="clear" w:color="auto" w:fill="auto"/>
          </w:tcPr>
          <w:p w:rsidR="00B345AE" w:rsidRPr="00B345AE" w:rsidRDefault="00B345AE" w:rsidP="00B345AE">
            <w:pPr>
              <w:pStyle w:val="Default"/>
              <w:rPr>
                <w:rFonts w:ascii="Times New Roman" w:hAnsi="Times New Roman" w:cs="Times New Roman"/>
              </w:rPr>
            </w:pPr>
            <w:r w:rsidRPr="00B345AE">
              <w:rPr>
                <w:rFonts w:ascii="Times New Roman" w:hAnsi="Times New Roman" w:cs="Times New Roman"/>
              </w:rPr>
              <w:t>Allele sharing check</w:t>
            </w:r>
          </w:p>
        </w:tc>
        <w:tc>
          <w:tcPr>
            <w:tcW w:w="2961" w:type="dxa"/>
            <w:shd w:val="clear" w:color="auto" w:fill="auto"/>
          </w:tcPr>
          <w:p w:rsidR="00B345AE" w:rsidRPr="00B345AE" w:rsidRDefault="00B345AE" w:rsidP="008E21BD">
            <w:pPr>
              <w:pStyle w:val="Default"/>
              <w:rPr>
                <w:rFonts w:ascii="Times New Roman" w:hAnsi="Times New Roman" w:cs="Times New Roman"/>
              </w:rPr>
            </w:pPr>
            <w:r w:rsidRPr="00B345AE">
              <w:rPr>
                <w:rFonts w:ascii="Times New Roman" w:hAnsi="Times New Roman" w:cs="Times New Roman"/>
              </w:rPr>
              <w:t>0 individuals</w:t>
            </w:r>
          </w:p>
        </w:tc>
        <w:tc>
          <w:tcPr>
            <w:tcW w:w="1527" w:type="dxa"/>
            <w:shd w:val="clear" w:color="auto" w:fill="auto"/>
          </w:tcPr>
          <w:p w:rsidR="00B345AE" w:rsidRPr="00B345AE" w:rsidRDefault="00B345AE" w:rsidP="00B345AE">
            <w:pPr>
              <w:pStyle w:val="Default"/>
              <w:rPr>
                <w:rFonts w:ascii="Times New Roman" w:hAnsi="Times New Roman" w:cs="Times New Roman"/>
              </w:rPr>
            </w:pPr>
          </w:p>
        </w:tc>
      </w:tr>
      <w:tr w:rsidR="00B345AE" w:rsidRPr="00B345AE" w:rsidTr="00B345AE">
        <w:tc>
          <w:tcPr>
            <w:tcW w:w="2339" w:type="dxa"/>
            <w:shd w:val="clear" w:color="auto" w:fill="auto"/>
          </w:tcPr>
          <w:p w:rsidR="00B345AE" w:rsidRPr="00B345AE" w:rsidRDefault="00B345AE" w:rsidP="00B345AE">
            <w:pPr>
              <w:pStyle w:val="Default"/>
              <w:rPr>
                <w:rFonts w:ascii="Times New Roman" w:hAnsi="Times New Roman" w:cs="Times New Roman"/>
                <w:b/>
              </w:rPr>
            </w:pPr>
          </w:p>
        </w:tc>
        <w:tc>
          <w:tcPr>
            <w:tcW w:w="2415" w:type="dxa"/>
            <w:shd w:val="clear" w:color="auto" w:fill="auto"/>
          </w:tcPr>
          <w:p w:rsidR="00B345AE" w:rsidRPr="00B345AE" w:rsidRDefault="00B345AE" w:rsidP="00B345AE">
            <w:pPr>
              <w:pStyle w:val="Default"/>
              <w:rPr>
                <w:rFonts w:ascii="Times New Roman" w:hAnsi="Times New Roman" w:cs="Times New Roman"/>
              </w:rPr>
            </w:pPr>
            <w:r w:rsidRPr="00B345AE">
              <w:rPr>
                <w:rFonts w:ascii="Times New Roman" w:hAnsi="Times New Roman" w:cs="Times New Roman"/>
              </w:rPr>
              <w:t>Individual missingness (genotyping call rate &lt;97.5% in any individual)</w:t>
            </w:r>
          </w:p>
        </w:tc>
        <w:tc>
          <w:tcPr>
            <w:tcW w:w="2961" w:type="dxa"/>
            <w:shd w:val="clear" w:color="auto" w:fill="auto"/>
          </w:tcPr>
          <w:p w:rsidR="00B345AE" w:rsidRPr="00B345AE" w:rsidRDefault="00B345AE" w:rsidP="008E21BD">
            <w:pPr>
              <w:pStyle w:val="Default"/>
              <w:rPr>
                <w:rFonts w:ascii="Times New Roman" w:hAnsi="Times New Roman" w:cs="Times New Roman"/>
              </w:rPr>
            </w:pPr>
            <w:r w:rsidRPr="00B345AE">
              <w:rPr>
                <w:rFonts w:ascii="Times New Roman" w:hAnsi="Times New Roman" w:cs="Times New Roman"/>
              </w:rPr>
              <w:t>1 individual</w:t>
            </w:r>
          </w:p>
        </w:tc>
        <w:tc>
          <w:tcPr>
            <w:tcW w:w="1527" w:type="dxa"/>
            <w:shd w:val="clear" w:color="auto" w:fill="auto"/>
          </w:tcPr>
          <w:p w:rsidR="00B345AE" w:rsidRPr="00B345AE" w:rsidRDefault="00B345AE" w:rsidP="00B345AE">
            <w:pPr>
              <w:pStyle w:val="Default"/>
              <w:rPr>
                <w:rFonts w:ascii="Times New Roman" w:hAnsi="Times New Roman" w:cs="Times New Roman"/>
              </w:rPr>
            </w:pPr>
          </w:p>
        </w:tc>
      </w:tr>
      <w:tr w:rsidR="00B345AE" w:rsidRPr="00B345AE" w:rsidTr="00B345AE">
        <w:tc>
          <w:tcPr>
            <w:tcW w:w="2339" w:type="dxa"/>
            <w:shd w:val="clear" w:color="auto" w:fill="auto"/>
          </w:tcPr>
          <w:p w:rsidR="00B345AE" w:rsidRPr="00B345AE" w:rsidRDefault="00B345AE" w:rsidP="00B345AE">
            <w:pPr>
              <w:pStyle w:val="Default"/>
              <w:rPr>
                <w:rFonts w:ascii="Times New Roman" w:hAnsi="Times New Roman" w:cs="Times New Roman"/>
                <w:b/>
              </w:rPr>
            </w:pPr>
          </w:p>
        </w:tc>
        <w:tc>
          <w:tcPr>
            <w:tcW w:w="2415" w:type="dxa"/>
            <w:shd w:val="clear" w:color="auto" w:fill="auto"/>
          </w:tcPr>
          <w:p w:rsidR="00B345AE" w:rsidRPr="00B345AE" w:rsidRDefault="00B345AE" w:rsidP="00B345AE">
            <w:pPr>
              <w:pStyle w:val="Default"/>
              <w:rPr>
                <w:rFonts w:ascii="Times New Roman" w:hAnsi="Times New Roman" w:cs="Times New Roman"/>
              </w:rPr>
            </w:pPr>
            <w:r w:rsidRPr="00B345AE">
              <w:rPr>
                <w:rFonts w:ascii="Times New Roman" w:hAnsi="Times New Roman" w:cs="Times New Roman"/>
              </w:rPr>
              <w:t>Familial Mendelian error rate &gt;5%</w:t>
            </w:r>
          </w:p>
        </w:tc>
        <w:tc>
          <w:tcPr>
            <w:tcW w:w="2961" w:type="dxa"/>
            <w:shd w:val="clear" w:color="auto" w:fill="auto"/>
          </w:tcPr>
          <w:p w:rsidR="00B345AE" w:rsidRPr="00B345AE" w:rsidRDefault="00B345AE" w:rsidP="008E21BD">
            <w:pPr>
              <w:pStyle w:val="Default"/>
              <w:rPr>
                <w:rFonts w:ascii="Times New Roman" w:hAnsi="Times New Roman" w:cs="Times New Roman"/>
              </w:rPr>
            </w:pPr>
            <w:r w:rsidRPr="00B345AE">
              <w:rPr>
                <w:rFonts w:ascii="Times New Roman" w:hAnsi="Times New Roman" w:cs="Times New Roman"/>
              </w:rPr>
              <w:t>0 families</w:t>
            </w:r>
          </w:p>
        </w:tc>
        <w:tc>
          <w:tcPr>
            <w:tcW w:w="1527" w:type="dxa"/>
            <w:shd w:val="clear" w:color="auto" w:fill="auto"/>
          </w:tcPr>
          <w:p w:rsidR="00B345AE" w:rsidRPr="00B345AE" w:rsidRDefault="00B345AE" w:rsidP="008E21BD">
            <w:pPr>
              <w:pStyle w:val="Default"/>
              <w:rPr>
                <w:rFonts w:ascii="Times New Roman" w:hAnsi="Times New Roman" w:cs="Times New Roman"/>
              </w:rPr>
            </w:pPr>
            <w:r w:rsidRPr="00B345AE">
              <w:rPr>
                <w:rFonts w:ascii="Times New Roman" w:hAnsi="Times New Roman" w:cs="Times New Roman"/>
              </w:rPr>
              <w:t xml:space="preserve">117 individuals in 23 families </w:t>
            </w:r>
          </w:p>
        </w:tc>
      </w:tr>
      <w:tr w:rsidR="00B345AE" w:rsidRPr="00B345AE" w:rsidTr="00B345AE">
        <w:tc>
          <w:tcPr>
            <w:tcW w:w="2339" w:type="dxa"/>
            <w:shd w:val="clear" w:color="auto" w:fill="auto"/>
          </w:tcPr>
          <w:p w:rsidR="00B345AE" w:rsidRPr="00B345AE" w:rsidRDefault="00B345AE" w:rsidP="00B345AE">
            <w:pPr>
              <w:pStyle w:val="Default"/>
              <w:rPr>
                <w:rFonts w:ascii="Times New Roman" w:hAnsi="Times New Roman" w:cs="Times New Roman"/>
                <w:b/>
              </w:rPr>
            </w:pPr>
            <w:r w:rsidRPr="00B345AE">
              <w:rPr>
                <w:rFonts w:ascii="Times New Roman" w:hAnsi="Times New Roman" w:cs="Times New Roman"/>
                <w:b/>
              </w:rPr>
              <w:t>Linkage and genome-wide association study – genotyping QC</w:t>
            </w:r>
          </w:p>
        </w:tc>
        <w:tc>
          <w:tcPr>
            <w:tcW w:w="2415" w:type="dxa"/>
            <w:shd w:val="clear" w:color="auto" w:fill="auto"/>
          </w:tcPr>
          <w:p w:rsidR="00B345AE" w:rsidRPr="00B345AE" w:rsidRDefault="00B345AE" w:rsidP="00B345AE">
            <w:pPr>
              <w:pStyle w:val="Default"/>
              <w:rPr>
                <w:rFonts w:ascii="Times New Roman" w:hAnsi="Times New Roman" w:cs="Times New Roman"/>
              </w:rPr>
            </w:pPr>
            <w:r w:rsidRPr="00B345AE">
              <w:rPr>
                <w:rFonts w:ascii="Times New Roman" w:hAnsi="Times New Roman" w:cs="Times New Roman"/>
              </w:rPr>
              <w:t>Locus missingness (SNP genotyping call rate &lt;99%)</w:t>
            </w:r>
          </w:p>
        </w:tc>
        <w:tc>
          <w:tcPr>
            <w:tcW w:w="2961" w:type="dxa"/>
            <w:shd w:val="clear" w:color="auto" w:fill="auto"/>
          </w:tcPr>
          <w:p w:rsidR="00B345AE" w:rsidRPr="00B345AE" w:rsidRDefault="00B345AE" w:rsidP="008E21BD">
            <w:pPr>
              <w:pStyle w:val="Default"/>
              <w:rPr>
                <w:rFonts w:ascii="Times New Roman" w:hAnsi="Times New Roman" w:cs="Times New Roman"/>
              </w:rPr>
            </w:pPr>
            <w:r w:rsidRPr="00B345AE">
              <w:rPr>
                <w:rFonts w:ascii="Times New Roman" w:hAnsi="Times New Roman" w:cs="Times New Roman"/>
              </w:rPr>
              <w:t>80,150 SNPs</w:t>
            </w:r>
          </w:p>
        </w:tc>
        <w:tc>
          <w:tcPr>
            <w:tcW w:w="1527" w:type="dxa"/>
            <w:shd w:val="clear" w:color="auto" w:fill="auto"/>
          </w:tcPr>
          <w:p w:rsidR="00B345AE" w:rsidRPr="00B345AE" w:rsidRDefault="00B345AE" w:rsidP="00B345AE">
            <w:pPr>
              <w:pStyle w:val="Default"/>
              <w:rPr>
                <w:rFonts w:ascii="Times New Roman" w:hAnsi="Times New Roman" w:cs="Times New Roman"/>
              </w:rPr>
            </w:pPr>
          </w:p>
        </w:tc>
      </w:tr>
      <w:tr w:rsidR="00B345AE" w:rsidRPr="00B345AE" w:rsidTr="00B345AE">
        <w:tc>
          <w:tcPr>
            <w:tcW w:w="2339" w:type="dxa"/>
            <w:shd w:val="clear" w:color="auto" w:fill="auto"/>
          </w:tcPr>
          <w:p w:rsidR="00B345AE" w:rsidRPr="00B345AE" w:rsidRDefault="00B345AE" w:rsidP="00B345AE">
            <w:pPr>
              <w:pStyle w:val="Default"/>
              <w:rPr>
                <w:rFonts w:ascii="Times New Roman" w:hAnsi="Times New Roman" w:cs="Times New Roman"/>
                <w:b/>
              </w:rPr>
            </w:pPr>
          </w:p>
        </w:tc>
        <w:tc>
          <w:tcPr>
            <w:tcW w:w="2415" w:type="dxa"/>
            <w:shd w:val="clear" w:color="auto" w:fill="auto"/>
          </w:tcPr>
          <w:p w:rsidR="00B345AE" w:rsidRPr="00B345AE" w:rsidRDefault="00B345AE" w:rsidP="00B345AE">
            <w:pPr>
              <w:pStyle w:val="Default"/>
              <w:rPr>
                <w:rFonts w:ascii="Times New Roman" w:hAnsi="Times New Roman" w:cs="Times New Roman"/>
              </w:rPr>
            </w:pPr>
            <w:r w:rsidRPr="00B345AE">
              <w:rPr>
                <w:rFonts w:ascii="Times New Roman" w:hAnsi="Times New Roman" w:cs="Times New Roman"/>
              </w:rPr>
              <w:t>Locus Mendelian error rate &gt;10%</w:t>
            </w:r>
          </w:p>
        </w:tc>
        <w:tc>
          <w:tcPr>
            <w:tcW w:w="2961" w:type="dxa"/>
            <w:shd w:val="clear" w:color="auto" w:fill="auto"/>
          </w:tcPr>
          <w:p w:rsidR="00B345AE" w:rsidRPr="00B345AE" w:rsidRDefault="008E21BD" w:rsidP="00B345AE">
            <w:pPr>
              <w:pStyle w:val="Default"/>
              <w:rPr>
                <w:rFonts w:ascii="Times New Roman" w:hAnsi="Times New Roman" w:cs="Times New Roman"/>
              </w:rPr>
            </w:pPr>
            <w:r>
              <w:rPr>
                <w:rFonts w:ascii="Times New Roman" w:hAnsi="Times New Roman" w:cs="Times New Roman"/>
              </w:rPr>
              <w:t>2 SNPs</w:t>
            </w:r>
          </w:p>
        </w:tc>
        <w:tc>
          <w:tcPr>
            <w:tcW w:w="1527" w:type="dxa"/>
            <w:shd w:val="clear" w:color="auto" w:fill="auto"/>
          </w:tcPr>
          <w:p w:rsidR="00B345AE" w:rsidRPr="00B345AE" w:rsidRDefault="00B345AE" w:rsidP="00B345AE">
            <w:pPr>
              <w:pStyle w:val="Default"/>
              <w:rPr>
                <w:rFonts w:ascii="Times New Roman" w:hAnsi="Times New Roman" w:cs="Times New Roman"/>
              </w:rPr>
            </w:pPr>
          </w:p>
        </w:tc>
      </w:tr>
      <w:tr w:rsidR="00B345AE" w:rsidRPr="00B345AE" w:rsidTr="00B345AE">
        <w:tc>
          <w:tcPr>
            <w:tcW w:w="2339" w:type="dxa"/>
            <w:shd w:val="clear" w:color="auto" w:fill="auto"/>
          </w:tcPr>
          <w:p w:rsidR="00B345AE" w:rsidRPr="00B345AE" w:rsidRDefault="00B345AE" w:rsidP="00B345AE">
            <w:pPr>
              <w:pStyle w:val="Default"/>
              <w:rPr>
                <w:rFonts w:ascii="Times New Roman" w:hAnsi="Times New Roman" w:cs="Times New Roman"/>
                <w:b/>
              </w:rPr>
            </w:pPr>
            <w:r w:rsidRPr="00B345AE">
              <w:rPr>
                <w:rFonts w:ascii="Times New Roman" w:hAnsi="Times New Roman" w:cs="Times New Roman"/>
                <w:b/>
              </w:rPr>
              <w:t>Linkage study – marker thinning</w:t>
            </w:r>
          </w:p>
        </w:tc>
        <w:tc>
          <w:tcPr>
            <w:tcW w:w="2415" w:type="dxa"/>
            <w:shd w:val="clear" w:color="auto" w:fill="auto"/>
          </w:tcPr>
          <w:p w:rsidR="00B345AE" w:rsidRPr="00B345AE" w:rsidRDefault="00B345AE" w:rsidP="00B345AE">
            <w:pPr>
              <w:pStyle w:val="Default"/>
              <w:rPr>
                <w:rFonts w:ascii="Times New Roman" w:hAnsi="Times New Roman" w:cs="Times New Roman"/>
              </w:rPr>
            </w:pPr>
            <w:r w:rsidRPr="00B345AE">
              <w:rPr>
                <w:rFonts w:ascii="Times New Roman" w:hAnsi="Times New Roman" w:cs="Times New Roman"/>
              </w:rPr>
              <w:t>Linkage disequilibrium calculation (r</w:t>
            </w:r>
            <w:r w:rsidRPr="00B345AE">
              <w:rPr>
                <w:rFonts w:ascii="Times New Roman" w:hAnsi="Times New Roman" w:cs="Times New Roman"/>
                <w:vertAlign w:val="superscript"/>
              </w:rPr>
              <w:t>2</w:t>
            </w:r>
            <w:r w:rsidRPr="00B345AE">
              <w:rPr>
                <w:rFonts w:ascii="Times New Roman" w:hAnsi="Times New Roman" w:cs="Times New Roman"/>
              </w:rPr>
              <w:t xml:space="preserve"> &lt;0.3) and exclusion of SNPS with MAF &lt;0.4</w:t>
            </w:r>
          </w:p>
        </w:tc>
        <w:tc>
          <w:tcPr>
            <w:tcW w:w="2961" w:type="dxa"/>
            <w:shd w:val="clear" w:color="auto" w:fill="auto"/>
          </w:tcPr>
          <w:p w:rsidR="00B345AE" w:rsidRPr="00B345AE" w:rsidRDefault="00B345AE" w:rsidP="008E21BD">
            <w:pPr>
              <w:pStyle w:val="Default"/>
              <w:rPr>
                <w:rFonts w:ascii="Times New Roman" w:hAnsi="Times New Roman" w:cs="Times New Roman"/>
              </w:rPr>
            </w:pPr>
            <w:r w:rsidRPr="00B345AE">
              <w:rPr>
                <w:rFonts w:ascii="Times New Roman" w:hAnsi="Times New Roman" w:cs="Times New Roman"/>
              </w:rPr>
              <w:t>792,695 SNPs</w:t>
            </w:r>
          </w:p>
        </w:tc>
        <w:tc>
          <w:tcPr>
            <w:tcW w:w="1527" w:type="dxa"/>
            <w:shd w:val="clear" w:color="auto" w:fill="auto"/>
          </w:tcPr>
          <w:p w:rsidR="00B345AE" w:rsidRPr="00B345AE" w:rsidRDefault="00B345AE" w:rsidP="00B345AE">
            <w:pPr>
              <w:pStyle w:val="Default"/>
              <w:rPr>
                <w:rFonts w:ascii="Times New Roman" w:hAnsi="Times New Roman" w:cs="Times New Roman"/>
              </w:rPr>
            </w:pPr>
          </w:p>
        </w:tc>
      </w:tr>
      <w:tr w:rsidR="00B345AE" w:rsidRPr="00B345AE" w:rsidTr="00B345AE">
        <w:tc>
          <w:tcPr>
            <w:tcW w:w="2339" w:type="dxa"/>
            <w:shd w:val="clear" w:color="auto" w:fill="auto"/>
          </w:tcPr>
          <w:p w:rsidR="00B345AE" w:rsidRPr="00B345AE" w:rsidRDefault="00B345AE" w:rsidP="00B345AE">
            <w:pPr>
              <w:pStyle w:val="Default"/>
              <w:rPr>
                <w:rFonts w:ascii="Times New Roman" w:hAnsi="Times New Roman" w:cs="Times New Roman"/>
                <w:b/>
              </w:rPr>
            </w:pPr>
          </w:p>
        </w:tc>
        <w:tc>
          <w:tcPr>
            <w:tcW w:w="2415" w:type="dxa"/>
            <w:shd w:val="clear" w:color="auto" w:fill="auto"/>
          </w:tcPr>
          <w:p w:rsidR="00B345AE" w:rsidRPr="00B345AE" w:rsidRDefault="00B345AE" w:rsidP="00B345AE">
            <w:pPr>
              <w:pStyle w:val="Default"/>
              <w:rPr>
                <w:rFonts w:ascii="Times New Roman" w:hAnsi="Times New Roman" w:cs="Times New Roman"/>
              </w:rPr>
            </w:pPr>
            <w:r w:rsidRPr="00B345AE">
              <w:rPr>
                <w:rFonts w:ascii="Times New Roman" w:hAnsi="Times New Roman" w:cs="Times New Roman"/>
              </w:rPr>
              <w:t>Arbitrary thinning to 4 SNPs per cM</w:t>
            </w:r>
          </w:p>
        </w:tc>
        <w:tc>
          <w:tcPr>
            <w:tcW w:w="2961" w:type="dxa"/>
            <w:shd w:val="clear" w:color="auto" w:fill="auto"/>
          </w:tcPr>
          <w:p w:rsidR="00B345AE" w:rsidRPr="00B345AE" w:rsidRDefault="00B345AE" w:rsidP="008E21BD">
            <w:pPr>
              <w:pStyle w:val="Default"/>
              <w:rPr>
                <w:rFonts w:ascii="Times New Roman" w:hAnsi="Times New Roman" w:cs="Times New Roman"/>
              </w:rPr>
            </w:pPr>
            <w:r w:rsidRPr="00B345AE">
              <w:rPr>
                <w:rFonts w:ascii="Times New Roman" w:hAnsi="Times New Roman" w:cs="Times New Roman"/>
              </w:rPr>
              <w:t>22,004 SNPs</w:t>
            </w:r>
          </w:p>
        </w:tc>
        <w:tc>
          <w:tcPr>
            <w:tcW w:w="1527" w:type="dxa"/>
            <w:shd w:val="clear" w:color="auto" w:fill="auto"/>
          </w:tcPr>
          <w:p w:rsidR="00B345AE" w:rsidRPr="00B345AE" w:rsidRDefault="00B345AE" w:rsidP="008E21BD">
            <w:pPr>
              <w:pStyle w:val="Default"/>
              <w:rPr>
                <w:rFonts w:ascii="Times New Roman" w:hAnsi="Times New Roman" w:cs="Times New Roman"/>
              </w:rPr>
            </w:pPr>
            <w:r w:rsidRPr="00B345AE">
              <w:rPr>
                <w:rFonts w:ascii="Times New Roman" w:hAnsi="Times New Roman" w:cs="Times New Roman"/>
              </w:rPr>
              <w:t xml:space="preserve">14,771 SNPs </w:t>
            </w:r>
          </w:p>
        </w:tc>
      </w:tr>
      <w:tr w:rsidR="00B345AE" w:rsidRPr="00B345AE" w:rsidTr="00B345AE">
        <w:tc>
          <w:tcPr>
            <w:tcW w:w="2339" w:type="dxa"/>
            <w:shd w:val="clear" w:color="auto" w:fill="auto"/>
          </w:tcPr>
          <w:p w:rsidR="00B345AE" w:rsidRPr="00B345AE" w:rsidRDefault="00B345AE" w:rsidP="00B345AE">
            <w:pPr>
              <w:pStyle w:val="Default"/>
              <w:rPr>
                <w:rFonts w:ascii="Times New Roman" w:hAnsi="Times New Roman" w:cs="Times New Roman"/>
                <w:b/>
              </w:rPr>
            </w:pPr>
            <w:r w:rsidRPr="00B345AE">
              <w:rPr>
                <w:rFonts w:ascii="Times New Roman" w:hAnsi="Times New Roman" w:cs="Times New Roman"/>
                <w:b/>
              </w:rPr>
              <w:t>Genome-wide association study – marker selection</w:t>
            </w:r>
          </w:p>
        </w:tc>
        <w:tc>
          <w:tcPr>
            <w:tcW w:w="2415" w:type="dxa"/>
            <w:shd w:val="clear" w:color="auto" w:fill="auto"/>
          </w:tcPr>
          <w:p w:rsidR="00B345AE" w:rsidRPr="00B345AE" w:rsidRDefault="00B345AE" w:rsidP="00B345AE">
            <w:pPr>
              <w:pStyle w:val="Default"/>
              <w:rPr>
                <w:rFonts w:ascii="Times New Roman" w:hAnsi="Times New Roman" w:cs="Times New Roman"/>
              </w:rPr>
            </w:pPr>
            <w:r w:rsidRPr="00B345AE">
              <w:rPr>
                <w:rFonts w:ascii="Times New Roman" w:hAnsi="Times New Roman" w:cs="Times New Roman"/>
              </w:rPr>
              <w:t>MAF &lt;0.05 or out of HWE (P &lt;1.0 x 10</w:t>
            </w:r>
            <w:r w:rsidRPr="00B345AE">
              <w:rPr>
                <w:rFonts w:ascii="Times New Roman" w:hAnsi="Times New Roman" w:cs="Times New Roman"/>
                <w:vertAlign w:val="superscript"/>
              </w:rPr>
              <w:t>-8</w:t>
            </w:r>
            <w:r w:rsidRPr="00B345AE">
              <w:rPr>
                <w:rFonts w:ascii="Times New Roman" w:hAnsi="Times New Roman" w:cs="Times New Roman"/>
              </w:rPr>
              <w:t xml:space="preserve">), </w:t>
            </w:r>
          </w:p>
        </w:tc>
        <w:tc>
          <w:tcPr>
            <w:tcW w:w="2961" w:type="dxa"/>
            <w:shd w:val="clear" w:color="auto" w:fill="auto"/>
          </w:tcPr>
          <w:p w:rsidR="00B345AE" w:rsidRPr="00B345AE" w:rsidRDefault="00B345AE" w:rsidP="008E21BD">
            <w:pPr>
              <w:spacing w:after="0" w:line="240" w:lineRule="auto"/>
              <w:rPr>
                <w:rFonts w:ascii="Times New Roman" w:hAnsi="Times New Roman"/>
                <w:sz w:val="24"/>
                <w:szCs w:val="24"/>
              </w:rPr>
            </w:pPr>
            <w:r w:rsidRPr="00B345AE">
              <w:rPr>
                <w:rFonts w:ascii="Times New Roman" w:hAnsi="Times New Roman"/>
                <w:sz w:val="24"/>
                <w:szCs w:val="24"/>
              </w:rPr>
              <w:t>234,352 SNPs</w:t>
            </w:r>
          </w:p>
        </w:tc>
        <w:tc>
          <w:tcPr>
            <w:tcW w:w="1527" w:type="dxa"/>
            <w:shd w:val="clear" w:color="auto" w:fill="auto"/>
          </w:tcPr>
          <w:p w:rsidR="00B345AE" w:rsidRPr="00B345AE" w:rsidRDefault="00B345AE" w:rsidP="00B345AE">
            <w:pPr>
              <w:pStyle w:val="Default"/>
              <w:rPr>
                <w:rFonts w:ascii="Times New Roman" w:hAnsi="Times New Roman" w:cs="Times New Roman"/>
              </w:rPr>
            </w:pPr>
            <w:r w:rsidRPr="00B345AE">
              <w:rPr>
                <w:rFonts w:ascii="Times New Roman" w:hAnsi="Times New Roman" w:cs="Times New Roman"/>
              </w:rPr>
              <w:t>595,118 SNPs</w:t>
            </w:r>
          </w:p>
        </w:tc>
      </w:tr>
      <w:tr w:rsidR="00B345AE" w:rsidRPr="00B345AE" w:rsidTr="00B345AE">
        <w:tc>
          <w:tcPr>
            <w:tcW w:w="2339" w:type="dxa"/>
            <w:shd w:val="clear" w:color="auto" w:fill="auto"/>
          </w:tcPr>
          <w:p w:rsidR="00B345AE" w:rsidRPr="00B345AE" w:rsidRDefault="00B345AE" w:rsidP="00B345AE">
            <w:pPr>
              <w:pStyle w:val="Default"/>
              <w:rPr>
                <w:rFonts w:ascii="Times New Roman" w:hAnsi="Times New Roman" w:cs="Times New Roman"/>
                <w:b/>
              </w:rPr>
            </w:pPr>
            <w:r w:rsidRPr="00B345AE">
              <w:rPr>
                <w:rFonts w:ascii="Times New Roman" w:hAnsi="Times New Roman" w:cs="Times New Roman"/>
                <w:b/>
              </w:rPr>
              <w:t>Replication study – genotyping QC</w:t>
            </w:r>
          </w:p>
        </w:tc>
        <w:tc>
          <w:tcPr>
            <w:tcW w:w="2415" w:type="dxa"/>
            <w:shd w:val="clear" w:color="auto" w:fill="auto"/>
          </w:tcPr>
          <w:p w:rsidR="00B345AE" w:rsidRPr="00B345AE" w:rsidRDefault="00B345AE" w:rsidP="00B345AE">
            <w:pPr>
              <w:pStyle w:val="Default"/>
              <w:rPr>
                <w:rFonts w:ascii="Times New Roman" w:hAnsi="Times New Roman" w:cs="Times New Roman"/>
              </w:rPr>
            </w:pPr>
            <w:r w:rsidRPr="00B345AE">
              <w:rPr>
                <w:rFonts w:ascii="Times New Roman" w:hAnsi="Times New Roman" w:cs="Times New Roman"/>
              </w:rPr>
              <w:t xml:space="preserve">Locus missingness (SNP genotyping call rate &lt;95%) </w:t>
            </w:r>
          </w:p>
        </w:tc>
        <w:tc>
          <w:tcPr>
            <w:tcW w:w="2961" w:type="dxa"/>
            <w:shd w:val="clear" w:color="auto" w:fill="auto"/>
          </w:tcPr>
          <w:p w:rsidR="00B345AE" w:rsidRPr="00B345AE" w:rsidRDefault="00B345AE" w:rsidP="008E21BD">
            <w:pPr>
              <w:pStyle w:val="Default"/>
              <w:rPr>
                <w:rFonts w:ascii="Times New Roman" w:hAnsi="Times New Roman" w:cs="Times New Roman"/>
              </w:rPr>
            </w:pPr>
            <w:r w:rsidRPr="00B345AE">
              <w:rPr>
                <w:rFonts w:ascii="Times New Roman" w:hAnsi="Times New Roman" w:cs="Times New Roman"/>
              </w:rPr>
              <w:t>3 SNPs</w:t>
            </w:r>
          </w:p>
        </w:tc>
        <w:tc>
          <w:tcPr>
            <w:tcW w:w="1527" w:type="dxa"/>
            <w:shd w:val="clear" w:color="auto" w:fill="auto"/>
          </w:tcPr>
          <w:p w:rsidR="00B345AE" w:rsidRPr="00B345AE" w:rsidRDefault="00B345AE" w:rsidP="00B345AE">
            <w:pPr>
              <w:pStyle w:val="Default"/>
              <w:rPr>
                <w:rFonts w:ascii="Times New Roman" w:hAnsi="Times New Roman" w:cs="Times New Roman"/>
              </w:rPr>
            </w:pPr>
          </w:p>
        </w:tc>
      </w:tr>
      <w:tr w:rsidR="00B345AE" w:rsidRPr="00B345AE" w:rsidTr="00B345AE">
        <w:tc>
          <w:tcPr>
            <w:tcW w:w="2339" w:type="dxa"/>
            <w:shd w:val="clear" w:color="auto" w:fill="auto"/>
          </w:tcPr>
          <w:p w:rsidR="00B345AE" w:rsidRPr="00B345AE" w:rsidRDefault="00B345AE" w:rsidP="00B345AE">
            <w:pPr>
              <w:pStyle w:val="Default"/>
              <w:rPr>
                <w:rFonts w:ascii="Times New Roman" w:hAnsi="Times New Roman" w:cs="Times New Roman"/>
                <w:b/>
              </w:rPr>
            </w:pPr>
          </w:p>
        </w:tc>
        <w:tc>
          <w:tcPr>
            <w:tcW w:w="2415" w:type="dxa"/>
            <w:shd w:val="clear" w:color="auto" w:fill="auto"/>
          </w:tcPr>
          <w:p w:rsidR="00B345AE" w:rsidRPr="00B345AE" w:rsidRDefault="00B345AE" w:rsidP="00B345AE">
            <w:pPr>
              <w:pStyle w:val="Default"/>
              <w:rPr>
                <w:rFonts w:ascii="Times New Roman" w:hAnsi="Times New Roman" w:cs="Times New Roman"/>
              </w:rPr>
            </w:pPr>
            <w:r w:rsidRPr="00B345AE">
              <w:rPr>
                <w:rFonts w:ascii="Times New Roman" w:hAnsi="Times New Roman" w:cs="Times New Roman"/>
              </w:rPr>
              <w:t>Out of HWE in the control cohort (P &lt;0.01)</w:t>
            </w:r>
          </w:p>
        </w:tc>
        <w:tc>
          <w:tcPr>
            <w:tcW w:w="2961" w:type="dxa"/>
            <w:shd w:val="clear" w:color="auto" w:fill="auto"/>
          </w:tcPr>
          <w:p w:rsidR="00B345AE" w:rsidRPr="00B345AE" w:rsidRDefault="008E21BD" w:rsidP="008E21BD">
            <w:pPr>
              <w:pStyle w:val="Default"/>
              <w:rPr>
                <w:rFonts w:ascii="Times New Roman" w:hAnsi="Times New Roman" w:cs="Times New Roman"/>
              </w:rPr>
            </w:pPr>
            <w:r>
              <w:rPr>
                <w:rFonts w:ascii="Times New Roman" w:hAnsi="Times New Roman" w:cs="Times New Roman"/>
              </w:rPr>
              <w:t>1 SNP</w:t>
            </w:r>
          </w:p>
        </w:tc>
        <w:tc>
          <w:tcPr>
            <w:tcW w:w="1527" w:type="dxa"/>
            <w:shd w:val="clear" w:color="auto" w:fill="auto"/>
          </w:tcPr>
          <w:p w:rsidR="00B345AE" w:rsidRPr="00B345AE" w:rsidRDefault="00B345AE" w:rsidP="00B345AE">
            <w:pPr>
              <w:pStyle w:val="Default"/>
              <w:rPr>
                <w:rFonts w:ascii="Times New Roman" w:hAnsi="Times New Roman" w:cs="Times New Roman"/>
              </w:rPr>
            </w:pPr>
            <w:r w:rsidRPr="00B345AE">
              <w:rPr>
                <w:rFonts w:ascii="Times New Roman" w:hAnsi="Times New Roman" w:cs="Times New Roman"/>
              </w:rPr>
              <w:t>60 SNPs</w:t>
            </w:r>
          </w:p>
        </w:tc>
      </w:tr>
    </w:tbl>
    <w:p w:rsidR="00B345AE" w:rsidRPr="00B61D43" w:rsidRDefault="00C616B5" w:rsidP="00B345AE">
      <w:pPr>
        <w:pStyle w:val="Default"/>
        <w:spacing w:before="100" w:beforeAutospacing="1" w:after="100" w:afterAutospacing="1" w:line="480" w:lineRule="auto"/>
        <w:rPr>
          <w:rFonts w:ascii="Times New Roman" w:hAnsi="Times New Roman" w:cs="Times New Roman"/>
        </w:rPr>
      </w:pPr>
      <w:r w:rsidRPr="00C616B5">
        <w:rPr>
          <w:rFonts w:ascii="Times New Roman" w:hAnsi="Times New Roman" w:cs="Times New Roman"/>
        </w:rPr>
        <w:t xml:space="preserve">Footnote: </w:t>
      </w:r>
      <w:r w:rsidR="00B345AE" w:rsidRPr="00B61D43">
        <w:rPr>
          <w:rFonts w:ascii="Times New Roman" w:hAnsi="Times New Roman" w:cs="Times New Roman"/>
        </w:rPr>
        <w:t xml:space="preserve">The Affymetrix SNP 6.0 array contains 909,622 markers in total. HWE – Hardy Weinberg Equilibrium.  MAF – minor allele frequency. Gender check - individuals whose genetic sex is discordant to their phenotypic gender (due to errors in sample handling). Heterozygosity - heterozygosity rates were calculated for each individual to estimate deviation from HWE suggesting sample contamination, true inbreeding or population </w:t>
      </w:r>
      <w:r w:rsidR="00B345AE" w:rsidRPr="00B61D43">
        <w:rPr>
          <w:rFonts w:ascii="Times New Roman" w:hAnsi="Times New Roman" w:cs="Times New Roman"/>
        </w:rPr>
        <w:lastRenderedPageBreak/>
        <w:t>stratification. The mean calculated heterozygosity rate was 0.32 and there were no outliers (minimum 0.31, maximum 0.35). Allele sharing check - a measure of allele sharing in unrelated and related individuals was carried out to ensure that that there was no excess identical by descent (IBD) allele sharing in unrelated individuals, and that related individuals shared an appropriate proportion of alleles IBD. Independent SNPs not in linkage disequilibrium (LD) (r</w:t>
      </w:r>
      <w:r w:rsidR="00B345AE" w:rsidRPr="00B61D43">
        <w:rPr>
          <w:rFonts w:ascii="Times New Roman" w:hAnsi="Times New Roman" w:cs="Times New Roman"/>
          <w:vertAlign w:val="superscript"/>
        </w:rPr>
        <w:t>2</w:t>
      </w:r>
      <w:r w:rsidR="00B345AE" w:rsidRPr="00B61D43">
        <w:rPr>
          <w:rFonts w:ascii="Times New Roman" w:hAnsi="Times New Roman" w:cs="Times New Roman"/>
        </w:rPr>
        <w:t xml:space="preserve"> &lt;0.3) were then selected to avoid false positive linkage results. To do this, the WTCCC 1958 birth cohort genome-wide data were used to calculate LD and then select independent SNPs. Heterozygous SNPs are most informative for linkage analysis, allowing allele flow through pedigrees to be followed, therefore SNPs with a MAF of less than 0.4 were excluded. Selected markers were arbitrarily thinned to 4 SNPs per ce</w:t>
      </w:r>
      <w:r w:rsidR="00590AB0">
        <w:rPr>
          <w:rFonts w:ascii="Times New Roman" w:hAnsi="Times New Roman" w:cs="Times New Roman"/>
        </w:rPr>
        <w:t>ntimorgan (cM) using MapThin</w:t>
      </w:r>
      <w:r w:rsidR="00B345AE" w:rsidRPr="00B61D43">
        <w:rPr>
          <w:rFonts w:ascii="Times New Roman" w:hAnsi="Times New Roman" w:cs="Times New Roman"/>
        </w:rPr>
        <w:t xml:space="preserve">. </w:t>
      </w:r>
    </w:p>
    <w:p w:rsidR="00FF358D" w:rsidRPr="00B345AE" w:rsidRDefault="00FF358D" w:rsidP="00B345AE">
      <w:pPr>
        <w:spacing w:after="0" w:line="240" w:lineRule="auto"/>
        <w:rPr>
          <w:rFonts w:ascii="Times New Roman" w:hAnsi="Times New Roman"/>
        </w:rPr>
      </w:pPr>
    </w:p>
    <w:sectPr w:rsidR="00FF358D" w:rsidRPr="00B345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5AE"/>
    <w:rsid w:val="00590AB0"/>
    <w:rsid w:val="006D6650"/>
    <w:rsid w:val="008E21BD"/>
    <w:rsid w:val="00B345AE"/>
    <w:rsid w:val="00C616B5"/>
    <w:rsid w:val="00F264AA"/>
    <w:rsid w:val="00FF3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5A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45AE"/>
    <w:pPr>
      <w:autoSpaceDE w:val="0"/>
      <w:autoSpaceDN w:val="0"/>
      <w:adjustRightInd w:val="0"/>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5A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45AE"/>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2</cp:revision>
  <dcterms:created xsi:type="dcterms:W3CDTF">2015-02-20T16:57:00Z</dcterms:created>
  <dcterms:modified xsi:type="dcterms:W3CDTF">2015-02-20T16:57:00Z</dcterms:modified>
</cp:coreProperties>
</file>