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36" w:rsidRPr="00927B5A" w:rsidRDefault="004B3E36" w:rsidP="004B3E36">
      <w:pPr>
        <w:pStyle w:val="a7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927B5A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Supporting Information </w:t>
      </w:r>
    </w:p>
    <w:p w:rsidR="004B3E36" w:rsidRPr="004B3E36" w:rsidRDefault="004B3E36" w:rsidP="004B3E36">
      <w:pPr>
        <w:adjustRightInd w:val="0"/>
        <w:spacing w:line="480" w:lineRule="auto"/>
        <w:contextualSpacing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Arial Unicode MS" w:hAnsi="Times New Roman" w:cs="Times New Roman" w:hint="eastAsia"/>
          <w:color w:val="000000" w:themeColor="text1"/>
          <w:sz w:val="24"/>
          <w:szCs w:val="24"/>
        </w:rPr>
        <w:t xml:space="preserve">upplemental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Figure A</w:t>
      </w:r>
      <w:r w:rsidRPr="004B3E3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. Isolation of cardiomyocytes and fibroblasts from neonatal rat hearts. </w:t>
      </w:r>
    </w:p>
    <w:p w:rsidR="004B3E36" w:rsidRPr="004B3E36" w:rsidRDefault="004B3E36" w:rsidP="004B3E36">
      <w:pPr>
        <w:adjustRightInd w:val="0"/>
        <w:spacing w:line="480" w:lineRule="auto"/>
        <w:contextualSpacing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Arial Unicode MS" w:hAnsi="Times New Roman" w:cs="Times New Roman" w:hint="eastAsia"/>
          <w:color w:val="000000" w:themeColor="text1"/>
          <w:sz w:val="24"/>
          <w:szCs w:val="24"/>
        </w:rPr>
        <w:t xml:space="preserve">upplemental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Figure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B</w:t>
      </w:r>
      <w:r w:rsidRPr="004B3E3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. Pik3ip1 does not interact with p110γ </w:t>
      </w:r>
    </w:p>
    <w:p w:rsidR="004B3E36" w:rsidRPr="004B3E36" w:rsidRDefault="004B3E36" w:rsidP="004B3E36">
      <w:pPr>
        <w:adjustRightInd w:val="0"/>
        <w:spacing w:line="480" w:lineRule="auto"/>
        <w:contextualSpacing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Arial Unicode MS" w:hAnsi="Times New Roman" w:cs="Times New Roman" w:hint="eastAsia"/>
          <w:color w:val="000000" w:themeColor="text1"/>
          <w:sz w:val="24"/>
          <w:szCs w:val="24"/>
        </w:rPr>
        <w:t xml:space="preserve">upplemental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Figure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C</w:t>
      </w:r>
      <w:r w:rsidRPr="004B3E3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. Silencing of Pik3ip1 does not lead to pathological cardiac hypertrophy. </w:t>
      </w:r>
    </w:p>
    <w:p w:rsidR="004B3E36" w:rsidRPr="004B3E36" w:rsidRDefault="004B3E36" w:rsidP="004B3E36">
      <w:pPr>
        <w:adjustRightInd w:val="0"/>
        <w:spacing w:line="480" w:lineRule="auto"/>
        <w:contextualSpacing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Arial Unicode MS" w:hAnsi="Times New Roman" w:cs="Times New Roman" w:hint="eastAsia"/>
          <w:color w:val="000000" w:themeColor="text1"/>
          <w:sz w:val="24"/>
          <w:szCs w:val="24"/>
        </w:rPr>
        <w:t xml:space="preserve">upplemental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Figure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</w:t>
      </w:r>
      <w:r w:rsidRPr="004B3E3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. Pik3ip1 does not attenuates AngII-induced cardiomyocyte hypertrophy. </w:t>
      </w:r>
    </w:p>
    <w:p w:rsidR="004B3E36" w:rsidRPr="004B3E36" w:rsidRDefault="004B3E36" w:rsidP="004B3E36">
      <w:pPr>
        <w:adjustRightInd w:val="0"/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Arial Unicode MS" w:hAnsi="Times New Roman" w:cs="Times New Roman" w:hint="eastAsia"/>
          <w:color w:val="000000" w:themeColor="text1"/>
          <w:sz w:val="24"/>
          <w:szCs w:val="24"/>
        </w:rPr>
        <w:t xml:space="preserve">upplemental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Figure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E</w:t>
      </w:r>
      <w:r w:rsidRPr="004B3E3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 Fetal genes were increased in TAC operated mice.</w:t>
      </w:r>
    </w:p>
    <w:p w:rsidR="004B3E36" w:rsidRPr="004B3E36" w:rsidRDefault="004B3E36" w:rsidP="004B3E36">
      <w:pPr>
        <w:adjustRightInd w:val="0"/>
        <w:spacing w:line="480" w:lineRule="auto"/>
        <w:contextualSpacing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Arial Unicode MS" w:hAnsi="Times New Roman" w:cs="Times New Roman" w:hint="eastAsia"/>
          <w:color w:val="000000" w:themeColor="text1"/>
          <w:sz w:val="24"/>
          <w:szCs w:val="24"/>
        </w:rPr>
        <w:t xml:space="preserve">upplemental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Figure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F</w:t>
      </w:r>
      <w:r w:rsidRPr="004B3E3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 Pik3i</w:t>
      </w:r>
      <w:bookmarkStart w:id="0" w:name="_GoBack"/>
      <w:bookmarkEnd w:id="0"/>
      <w:r w:rsidRPr="004B3E3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p1 was increased in 4weeks exercised myocyte, not fibroblast. </w:t>
      </w:r>
    </w:p>
    <w:p w:rsidR="004B3E36" w:rsidRPr="004B3E36" w:rsidRDefault="004B3E36" w:rsidP="004B3E36">
      <w:pPr>
        <w:adjustRightInd w:val="0"/>
        <w:spacing w:line="480" w:lineRule="auto"/>
        <w:contextualSpacing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Arial Unicode MS" w:hAnsi="Times New Roman" w:cs="Times New Roman" w:hint="eastAsia"/>
          <w:color w:val="000000" w:themeColor="text1"/>
          <w:sz w:val="24"/>
          <w:szCs w:val="24"/>
        </w:rPr>
        <w:t xml:space="preserve">upplemental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Table A</w:t>
      </w:r>
      <w:r w:rsidRPr="004B3E3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 The primer sets for qRT-PCR and RT-PCR</w:t>
      </w:r>
    </w:p>
    <w:p w:rsidR="004B3E36" w:rsidRPr="004B3E36" w:rsidRDefault="004B3E36" w:rsidP="004B3E36">
      <w:pPr>
        <w:adjustRightInd w:val="0"/>
        <w:spacing w:line="480" w:lineRule="auto"/>
        <w:contextualSpacing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Arial Unicode MS" w:hAnsi="Times New Roman" w:cs="Times New Roman" w:hint="eastAsia"/>
          <w:color w:val="000000" w:themeColor="text1"/>
          <w:sz w:val="24"/>
          <w:szCs w:val="24"/>
        </w:rPr>
        <w:t xml:space="preserve">upplemental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Table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B</w:t>
      </w:r>
      <w:r w:rsidRPr="004B3E3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 Echocardiographic analysis in TAC operated and exercised mice.</w:t>
      </w:r>
    </w:p>
    <w:p w:rsidR="004B3E36" w:rsidRDefault="004B3E36">
      <w:pPr>
        <w:widowControl/>
        <w:wordWrap/>
        <w:autoSpaceDE/>
        <w:autoSpaceDN/>
      </w:pPr>
      <w:r>
        <w:br w:type="page"/>
      </w:r>
    </w:p>
    <w:p w:rsidR="008D355D" w:rsidRDefault="008D355D" w:rsidP="008D355D">
      <w:pPr>
        <w:adjustRightInd w:val="0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3067050" cy="1543050"/>
            <wp:effectExtent l="0" t="0" r="0" b="0"/>
            <wp:docPr id="2" name="그림 2" descr="D:\Dropbox\논문\Plosone_Pik3ip1\Figure and Table\Suppli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논문\Plosone_Pik3ip1\Figure and Table\Supplimentary Figure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C8" w:rsidRDefault="00832BC8" w:rsidP="00832BC8">
      <w:pPr>
        <w:adjustRightInd w:val="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32BC8" w:rsidRPr="00832BC8" w:rsidRDefault="004B3E36" w:rsidP="00832BC8">
      <w:pPr>
        <w:adjustRightInd w:val="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8C04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S</w:t>
      </w:r>
      <w:r w:rsidRPr="008C0420">
        <w:rPr>
          <w:rFonts w:ascii="Times New Roman" w:eastAsia="Arial Unicode MS" w:hAnsi="Times New Roman" w:cs="Times New Roman" w:hint="eastAsia"/>
          <w:b/>
          <w:color w:val="000000" w:themeColor="text1"/>
          <w:sz w:val="24"/>
          <w:szCs w:val="24"/>
        </w:rPr>
        <w:t xml:space="preserve">upplemental </w:t>
      </w:r>
      <w:r w:rsidRPr="008C04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Figure</w:t>
      </w:r>
      <w:r w:rsidRPr="008C04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A</w:t>
      </w:r>
      <w:r w:rsidR="00832BC8" w:rsidRPr="008C0420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832BC8" w:rsidRPr="00832BC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832BC8" w:rsidRPr="008C0420">
        <w:rPr>
          <w:rFonts w:ascii="Times New Roman" w:eastAsia="Arial Unicode MS" w:hAnsi="Times New Roman" w:cs="Times New Roman"/>
          <w:b/>
          <w:sz w:val="24"/>
          <w:szCs w:val="24"/>
        </w:rPr>
        <w:t>Isolation of cardiomyocytes and fibroblasts from neonatal rat hearts.</w:t>
      </w:r>
      <w:r w:rsidR="00832BC8" w:rsidRPr="008C0420">
        <w:rPr>
          <w:rFonts w:ascii="Times New Roman" w:eastAsia="Arial Unicode MS" w:hAnsi="Times New Roman" w:cs="Times New Roman"/>
          <w:sz w:val="24"/>
          <w:szCs w:val="24"/>
        </w:rPr>
        <w:t xml:space="preserve"> (A, B</w:t>
      </w:r>
      <w:r w:rsidR="00832BC8" w:rsidRPr="00832BC8">
        <w:rPr>
          <w:rFonts w:ascii="Times New Roman" w:eastAsia="Arial Unicode MS" w:hAnsi="Times New Roman" w:cs="Times New Roman"/>
          <w:sz w:val="24"/>
          <w:szCs w:val="24"/>
        </w:rPr>
        <w:t xml:space="preserve">) mRNA levels of </w:t>
      </w:r>
      <w:r w:rsidR="00832BC8" w:rsidRPr="00832BC8">
        <w:rPr>
          <w:rFonts w:ascii="Times New Roman" w:eastAsia="Arial Unicode MS" w:hAnsi="Times New Roman" w:cs="Times New Roman"/>
          <w:i/>
          <w:sz w:val="24"/>
          <w:szCs w:val="24"/>
        </w:rPr>
        <w:t>Vim</w:t>
      </w:r>
      <w:r w:rsidR="00832BC8" w:rsidRPr="00832BC8">
        <w:rPr>
          <w:rFonts w:ascii="Times New Roman" w:eastAsia="Arial Unicode MS" w:hAnsi="Times New Roman" w:cs="Times New Roman"/>
          <w:sz w:val="24"/>
          <w:szCs w:val="24"/>
        </w:rPr>
        <w:t xml:space="preserve"> (A) and </w:t>
      </w:r>
      <w:r w:rsidR="00832BC8" w:rsidRPr="00832BC8">
        <w:rPr>
          <w:rFonts w:ascii="Times New Roman" w:eastAsia="Arial Unicode MS" w:hAnsi="Times New Roman" w:cs="Times New Roman"/>
          <w:i/>
          <w:sz w:val="24"/>
          <w:szCs w:val="24"/>
        </w:rPr>
        <w:t>Actn1</w:t>
      </w:r>
      <w:r w:rsidR="00832BC8" w:rsidRPr="00832BC8">
        <w:rPr>
          <w:rFonts w:ascii="Times New Roman" w:eastAsia="Arial Unicode MS" w:hAnsi="Times New Roman" w:cs="Times New Roman"/>
          <w:sz w:val="24"/>
          <w:szCs w:val="24"/>
        </w:rPr>
        <w:t xml:space="preserve"> (B) were measured in cardiomyocytes (CMs) or fibroblasts (FBs) by qRT-PCR. (n = 3, ** p &lt; 0.01 compared with fibroblasts, t test)</w:t>
      </w:r>
    </w:p>
    <w:p w:rsidR="00832BC8" w:rsidRDefault="00832BC8" w:rsidP="008D355D">
      <w:pPr>
        <w:adjustRightInd w:val="0"/>
        <w:contextualSpacing/>
        <w:jc w:val="center"/>
      </w:pPr>
    </w:p>
    <w:p w:rsidR="00A41214" w:rsidRDefault="008D355D" w:rsidP="00A41214">
      <w:pPr>
        <w:adjustRightInd w:val="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D355D">
        <w:br w:type="page"/>
      </w:r>
    </w:p>
    <w:p w:rsidR="00832BC8" w:rsidRDefault="00832BC8" w:rsidP="00A41214">
      <w:pPr>
        <w:adjustRightInd w:val="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32BC8" w:rsidRDefault="00A41214" w:rsidP="00832BC8">
      <w:pPr>
        <w:adjustRightInd w:val="0"/>
        <w:contextualSpacing/>
        <w:jc w:val="center"/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06240" cy="1399540"/>
            <wp:effectExtent l="0" t="0" r="3810" b="0"/>
            <wp:docPr id="4" name="그림 4" descr="D:\Dropbox\Paper Work\Pik3ip1_PLOSOne\Revision Final\Figure\Suppli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Paper Work\Pik3ip1_PLOSOne\Revision Final\Figure\Supplimentary Figure 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C8" w:rsidRDefault="00832BC8" w:rsidP="00832BC8">
      <w:pPr>
        <w:adjustRightInd w:val="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32BC8" w:rsidRPr="008C0420" w:rsidRDefault="008C0420" w:rsidP="00832BC8">
      <w:pPr>
        <w:adjustRightInd w:val="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8C04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S</w:t>
      </w:r>
      <w:r w:rsidRPr="008C0420">
        <w:rPr>
          <w:rFonts w:ascii="Times New Roman" w:eastAsia="Arial Unicode MS" w:hAnsi="Times New Roman" w:cs="Times New Roman" w:hint="eastAsia"/>
          <w:b/>
          <w:color w:val="000000" w:themeColor="text1"/>
          <w:sz w:val="24"/>
          <w:szCs w:val="24"/>
        </w:rPr>
        <w:t xml:space="preserve">upplemental </w:t>
      </w:r>
      <w:r w:rsidRPr="008C04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Figure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B</w:t>
      </w:r>
      <w:r w:rsidRPr="008C0420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832BC8" w:rsidRPr="008C0420">
        <w:rPr>
          <w:rFonts w:ascii="Times New Roman" w:eastAsia="Arial Unicode MS" w:hAnsi="Times New Roman" w:cs="Times New Roman"/>
          <w:b/>
          <w:sz w:val="24"/>
          <w:szCs w:val="24"/>
        </w:rPr>
        <w:t>Pik3ip1 does not interact with p110γ</w:t>
      </w:r>
      <w:r w:rsidRPr="008C0420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832BC8" w:rsidRPr="008C0420">
        <w:rPr>
          <w:rFonts w:ascii="Times New Roman" w:eastAsia="Arial Unicode MS" w:hAnsi="Times New Roman" w:cs="Times New Roman"/>
          <w:sz w:val="24"/>
          <w:szCs w:val="24"/>
        </w:rPr>
        <w:t xml:space="preserve"> The interaction between Pik3ip1 and p110γ was analyzed in adult mouse heart tissue (A) and NRCMs (B) using anti-p110γ or anti-Pik3ip1 antibodies. </w:t>
      </w:r>
    </w:p>
    <w:p w:rsidR="00A41214" w:rsidRDefault="00A41214" w:rsidP="00A41214">
      <w:pPr>
        <w:adjustRightInd w:val="0"/>
        <w:contextualSpacing/>
      </w:pPr>
      <w:r>
        <w:br w:type="page"/>
      </w:r>
    </w:p>
    <w:p w:rsidR="008D355D" w:rsidRDefault="008D355D" w:rsidP="008D355D">
      <w:pPr>
        <w:adjustRightInd w:val="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41214" w:rsidRDefault="00404A01" w:rsidP="007D4B66">
      <w:pPr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639079FD" wp14:editId="38A4D021">
            <wp:extent cx="4848225" cy="1485900"/>
            <wp:effectExtent l="0" t="0" r="9525" b="0"/>
            <wp:docPr id="3" name="그림 3" descr="D:\Dropbox\논문\Plosone_Pik3ip1\Figure and Table\Suppli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opbox\논문\Plosone_Pik3ip1\Figure and Table\Supplimentary Figure 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C8" w:rsidRDefault="00832BC8" w:rsidP="007D4B66">
      <w:pPr>
        <w:adjustRightInd w:val="0"/>
        <w:contextualSpacing/>
        <w:jc w:val="center"/>
      </w:pPr>
    </w:p>
    <w:p w:rsidR="00832BC8" w:rsidRPr="008C0420" w:rsidRDefault="008C0420" w:rsidP="00832BC8">
      <w:pPr>
        <w:adjustRightInd w:val="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8C04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S</w:t>
      </w:r>
      <w:r w:rsidRPr="008C0420">
        <w:rPr>
          <w:rFonts w:ascii="Times New Roman" w:eastAsia="Arial Unicode MS" w:hAnsi="Times New Roman" w:cs="Times New Roman" w:hint="eastAsia"/>
          <w:b/>
          <w:color w:val="000000" w:themeColor="text1"/>
          <w:sz w:val="24"/>
          <w:szCs w:val="24"/>
        </w:rPr>
        <w:t xml:space="preserve">upplemental </w:t>
      </w:r>
      <w:r w:rsidRPr="008C04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Figure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C</w:t>
      </w:r>
      <w:r w:rsidR="00832BC8" w:rsidRPr="00832BC8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832BC8" w:rsidRPr="008C0420">
        <w:rPr>
          <w:rFonts w:ascii="Times New Roman" w:eastAsia="Arial Unicode MS" w:hAnsi="Times New Roman" w:cs="Times New Roman"/>
          <w:b/>
          <w:sz w:val="24"/>
          <w:szCs w:val="24"/>
        </w:rPr>
        <w:t>Silencing of Pik3ip1 does not lead to pathological cardiac hypertrophy.</w:t>
      </w:r>
      <w:r w:rsidR="00832BC8" w:rsidRPr="008C0420">
        <w:rPr>
          <w:rFonts w:ascii="Times New Roman" w:eastAsia="Arial Unicode MS" w:hAnsi="Times New Roman" w:cs="Times New Roman"/>
          <w:sz w:val="24"/>
          <w:szCs w:val="24"/>
        </w:rPr>
        <w:t xml:space="preserve"> (A-C) qRT-PCR analysis of transcripts for </w:t>
      </w:r>
      <w:r w:rsidR="00832BC8" w:rsidRPr="008C0420">
        <w:rPr>
          <w:rFonts w:ascii="Times New Roman" w:eastAsia="Arial Unicode MS" w:hAnsi="Times New Roman" w:cs="Times New Roman"/>
          <w:i/>
          <w:sz w:val="24"/>
          <w:szCs w:val="24"/>
        </w:rPr>
        <w:t xml:space="preserve">Nppa </w:t>
      </w:r>
      <w:r w:rsidR="00832BC8" w:rsidRPr="008C0420">
        <w:rPr>
          <w:rFonts w:ascii="Times New Roman" w:eastAsia="Arial Unicode MS" w:hAnsi="Times New Roman" w:cs="Times New Roman"/>
          <w:sz w:val="24"/>
          <w:szCs w:val="24"/>
        </w:rPr>
        <w:t xml:space="preserve">(A), </w:t>
      </w:r>
      <w:r w:rsidR="00832BC8" w:rsidRPr="008C0420">
        <w:rPr>
          <w:rFonts w:ascii="Times New Roman" w:eastAsia="Arial Unicode MS" w:hAnsi="Times New Roman" w:cs="Times New Roman"/>
          <w:i/>
          <w:sz w:val="24"/>
          <w:szCs w:val="24"/>
        </w:rPr>
        <w:t>Nppb</w:t>
      </w:r>
      <w:r w:rsidR="00832BC8" w:rsidRPr="008C0420">
        <w:rPr>
          <w:rFonts w:ascii="Times New Roman" w:eastAsia="Arial Unicode MS" w:hAnsi="Times New Roman" w:cs="Times New Roman"/>
          <w:sz w:val="24"/>
          <w:szCs w:val="24"/>
        </w:rPr>
        <w:t xml:space="preserve"> (B), and </w:t>
      </w:r>
      <w:r w:rsidR="00832BC8" w:rsidRPr="008C0420">
        <w:rPr>
          <w:rFonts w:ascii="Times New Roman" w:eastAsia="Arial Unicode MS" w:hAnsi="Times New Roman" w:cs="Times New Roman"/>
          <w:i/>
          <w:sz w:val="24"/>
          <w:szCs w:val="24"/>
        </w:rPr>
        <w:t>Myh7</w:t>
      </w:r>
      <w:r w:rsidR="00832BC8" w:rsidRPr="008C0420">
        <w:rPr>
          <w:rFonts w:ascii="Times New Roman" w:eastAsia="Arial Unicode MS" w:hAnsi="Times New Roman" w:cs="Times New Roman"/>
          <w:sz w:val="24"/>
          <w:szCs w:val="24"/>
        </w:rPr>
        <w:t xml:space="preserve"> (C) in siNegative or siPik3ip1-transfected NRCMs. mRNA expression was normalized to 18S. (n = 3). </w:t>
      </w:r>
    </w:p>
    <w:p w:rsidR="00832BC8" w:rsidRDefault="00832BC8" w:rsidP="007D4B66">
      <w:pPr>
        <w:adjustRightInd w:val="0"/>
        <w:contextualSpacing/>
        <w:jc w:val="center"/>
      </w:pPr>
    </w:p>
    <w:p w:rsidR="00A41214" w:rsidRDefault="00A41214">
      <w:pPr>
        <w:widowControl/>
        <w:wordWrap/>
        <w:autoSpaceDE/>
        <w:autoSpaceDN/>
      </w:pPr>
      <w:r>
        <w:br w:type="page"/>
      </w:r>
    </w:p>
    <w:p w:rsidR="00A41214" w:rsidRDefault="00A41214" w:rsidP="00A41214">
      <w:pPr>
        <w:adjustRightInd w:val="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41214" w:rsidRDefault="00D62AB5" w:rsidP="00832BC8">
      <w:pPr>
        <w:adjustRightInd w:val="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81600" cy="2219325"/>
            <wp:effectExtent l="0" t="0" r="0" b="9525"/>
            <wp:docPr id="6" name="그림 6" descr="D:\Dropbox\Paper Work\Pik3ip1_PLOSOne\Revision Final\Figure WO Layer\Supplimentary 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Paper Work\Pik3ip1_PLOSOne\Revision Final\Figure WO Layer\Supplimentary Figure 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C8" w:rsidRPr="008C0420" w:rsidRDefault="008C0420" w:rsidP="00832BC8">
      <w:pPr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C04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S</w:t>
      </w:r>
      <w:r w:rsidRPr="008C0420">
        <w:rPr>
          <w:rFonts w:ascii="Times New Roman" w:eastAsia="Arial Unicode MS" w:hAnsi="Times New Roman" w:cs="Times New Roman" w:hint="eastAsia"/>
          <w:b/>
          <w:color w:val="000000" w:themeColor="text1"/>
          <w:sz w:val="24"/>
          <w:szCs w:val="24"/>
        </w:rPr>
        <w:t xml:space="preserve">upplemental </w:t>
      </w:r>
      <w:r w:rsidRPr="008C04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Figure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D</w:t>
      </w:r>
      <w:r w:rsidR="00832BC8" w:rsidRPr="00832BC8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832BC8" w:rsidRPr="008C0420">
        <w:rPr>
          <w:rFonts w:ascii="Times New Roman" w:eastAsia="Arial Unicode MS" w:hAnsi="Times New Roman" w:cs="Times New Roman"/>
          <w:b/>
          <w:sz w:val="24"/>
          <w:szCs w:val="24"/>
        </w:rPr>
        <w:t>Pik3ip1 does not attenuates AngII-induced cardiomyocyte hypertrophy.</w:t>
      </w:r>
      <w:r w:rsidR="00832BC8" w:rsidRPr="008C04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32BC8" w:rsidRPr="008C0420">
        <w:rPr>
          <w:rFonts w:ascii="Times New Roman" w:hAnsi="Times New Roman" w:cs="Times New Roman"/>
          <w:sz w:val="24"/>
          <w:szCs w:val="24"/>
        </w:rPr>
        <w:t>NRCMs were infected with the indicated adenovirus for 24 h and subsequently treated with or without 100</w:t>
      </w:r>
      <w:r w:rsidR="00503E32" w:rsidRPr="008C0420">
        <w:rPr>
          <w:rFonts w:ascii="Times New Roman" w:hAnsi="Times New Roman" w:cs="Times New Roman"/>
          <w:sz w:val="24"/>
          <w:szCs w:val="24"/>
        </w:rPr>
        <w:t xml:space="preserve"> </w:t>
      </w:r>
      <w:r w:rsidR="00832BC8" w:rsidRPr="008C0420">
        <w:rPr>
          <w:rFonts w:ascii="Times New Roman" w:hAnsi="Times New Roman" w:cs="Times New Roman"/>
          <w:sz w:val="24"/>
          <w:szCs w:val="24"/>
        </w:rPr>
        <w:t xml:space="preserve">nM AngII. (A) Extracts from adenovirus-infected NRCMs treated for 30 min with or without IGF1 were verified by the indicated antibodies. (B) Adenovirus-infected NRCMs were incubated for 24 h with or without AngII, after which protein synthesis was assessed using a leucine incorporation assay </w:t>
      </w:r>
      <w:r w:rsidR="00832BC8" w:rsidRPr="008C0420">
        <w:rPr>
          <w:rFonts w:ascii="Times New Roman" w:eastAsia="Arial Unicode MS" w:hAnsi="Times New Roman" w:cs="Times New Roman"/>
          <w:sz w:val="24"/>
          <w:szCs w:val="24"/>
        </w:rPr>
        <w:t>(n = 4, ** p &lt; 0.01 compared with AdControl-infected NRCMs)</w:t>
      </w:r>
      <w:r w:rsidR="00832BC8" w:rsidRPr="008C0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BC8" w:rsidRPr="00832BC8" w:rsidRDefault="00832BC8" w:rsidP="00A41214">
      <w:pPr>
        <w:adjustRightInd w:val="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41214" w:rsidRDefault="00A41214">
      <w:pPr>
        <w:widowControl/>
        <w:wordWrap/>
        <w:autoSpaceDE/>
        <w:autoSpaceDN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br w:type="page"/>
      </w:r>
    </w:p>
    <w:p w:rsidR="00A41214" w:rsidRDefault="004638C5" w:rsidP="00832BC8">
      <w:pPr>
        <w:adjustRightInd w:val="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743450" cy="3581400"/>
            <wp:effectExtent l="0" t="0" r="0" b="0"/>
            <wp:docPr id="1" name="그림 1" descr="D:\Dropbox\Paper Work\Pik3ip1_PLOSOne\Revision Final\Figure WO Layer\Supplimentary 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Paper Work\Pik3ip1_PLOSOne\Revision Final\Figure WO Layer\Supplimentary Figure 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C8" w:rsidRPr="008C0420" w:rsidRDefault="008C0420" w:rsidP="00832BC8">
      <w:pPr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C04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S</w:t>
      </w:r>
      <w:r w:rsidRPr="008C0420">
        <w:rPr>
          <w:rFonts w:ascii="Times New Roman" w:eastAsia="Arial Unicode MS" w:hAnsi="Times New Roman" w:cs="Times New Roman" w:hint="eastAsia"/>
          <w:b/>
          <w:color w:val="000000" w:themeColor="text1"/>
          <w:sz w:val="24"/>
          <w:szCs w:val="24"/>
        </w:rPr>
        <w:t xml:space="preserve">upplemental </w:t>
      </w:r>
      <w:r w:rsidRPr="008C04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Figure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E</w:t>
      </w:r>
      <w:r w:rsidR="00832BC8" w:rsidRPr="00832BC8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832BC8" w:rsidRPr="008C0420">
        <w:rPr>
          <w:rFonts w:ascii="Times New Roman" w:eastAsia="Arial Unicode MS" w:hAnsi="Times New Roman" w:cs="Times New Roman"/>
          <w:b/>
          <w:sz w:val="24"/>
          <w:szCs w:val="24"/>
        </w:rPr>
        <w:t>Fetal genes were increased in TAC operated mice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832BC8" w:rsidRPr="008C0420">
        <w:rPr>
          <w:rFonts w:ascii="Times New Roman" w:eastAsia="Arial Unicode MS" w:hAnsi="Times New Roman" w:cs="Times New Roman"/>
          <w:sz w:val="24"/>
          <w:szCs w:val="24"/>
        </w:rPr>
        <w:t xml:space="preserve"> (A, B) </w:t>
      </w:r>
      <w:r w:rsidR="00832BC8" w:rsidRPr="008C0420">
        <w:rPr>
          <w:rFonts w:ascii="Times New Roman" w:hAnsi="Times New Roman" w:cs="Times New Roman"/>
          <w:sz w:val="24"/>
          <w:szCs w:val="24"/>
        </w:rPr>
        <w:t xml:space="preserve">qRT-PCR analysis of transcripts for </w:t>
      </w:r>
      <w:r w:rsidR="00832BC8" w:rsidRPr="008C0420">
        <w:rPr>
          <w:rFonts w:ascii="Times New Roman" w:hAnsi="Times New Roman" w:cs="Times New Roman"/>
          <w:i/>
          <w:sz w:val="24"/>
          <w:szCs w:val="24"/>
        </w:rPr>
        <w:t>Nppa, Nppb, Myh7</w:t>
      </w:r>
      <w:r w:rsidR="00832BC8" w:rsidRPr="008C0420">
        <w:rPr>
          <w:rFonts w:ascii="Times New Roman" w:hAnsi="Times New Roman" w:cs="Times New Roman"/>
          <w:sz w:val="24"/>
          <w:szCs w:val="24"/>
        </w:rPr>
        <w:t xml:space="preserve"> in 2</w:t>
      </w:r>
      <w:r w:rsidR="004638C5" w:rsidRPr="008C0420">
        <w:rPr>
          <w:rFonts w:ascii="Times New Roman" w:hAnsi="Times New Roman" w:cs="Times New Roman"/>
          <w:sz w:val="24"/>
          <w:szCs w:val="24"/>
        </w:rPr>
        <w:t>-</w:t>
      </w:r>
      <w:r w:rsidR="00832BC8" w:rsidRPr="008C0420">
        <w:rPr>
          <w:rFonts w:ascii="Times New Roman" w:hAnsi="Times New Roman" w:cs="Times New Roman"/>
          <w:sz w:val="24"/>
          <w:szCs w:val="24"/>
        </w:rPr>
        <w:t>weeks (A) and 4-weeks exercised mice (B) hearts. mRNA expressio</w:t>
      </w:r>
      <w:r w:rsidR="00C90219" w:rsidRPr="008C0420">
        <w:rPr>
          <w:rFonts w:ascii="Times New Roman" w:hAnsi="Times New Roman" w:cs="Times New Roman"/>
          <w:sz w:val="24"/>
          <w:szCs w:val="24"/>
        </w:rPr>
        <w:t>n was normalized to 18S. (n = 3</w:t>
      </w:r>
      <w:r w:rsidR="00832BC8" w:rsidRPr="008C0420">
        <w:rPr>
          <w:rFonts w:ascii="Times New Roman" w:hAnsi="Times New Roman" w:cs="Times New Roman"/>
          <w:sz w:val="24"/>
          <w:szCs w:val="24"/>
        </w:rPr>
        <w:t xml:space="preserve">). (C, D) qRT-PCR analysis of transcripts for </w:t>
      </w:r>
      <w:r w:rsidR="00832BC8" w:rsidRPr="008C0420">
        <w:rPr>
          <w:rFonts w:ascii="Times New Roman" w:hAnsi="Times New Roman" w:cs="Times New Roman"/>
          <w:i/>
          <w:sz w:val="24"/>
          <w:szCs w:val="24"/>
        </w:rPr>
        <w:t xml:space="preserve">Nppa, Nppb, Myh7, </w:t>
      </w:r>
      <w:r w:rsidR="00832BC8" w:rsidRPr="008C0420">
        <w:rPr>
          <w:rFonts w:ascii="Times New Roman" w:hAnsi="Times New Roman" w:cs="Times New Roman"/>
          <w:sz w:val="24"/>
          <w:szCs w:val="24"/>
        </w:rPr>
        <w:t xml:space="preserve">in 1-week and 2-weeks TAC mice hearts. mRNA expression was normalized to 18S. (n = 3, ** p &lt; 0.01 compared with </w:t>
      </w:r>
      <w:r w:rsidR="00C90219" w:rsidRPr="008C0420">
        <w:rPr>
          <w:rFonts w:ascii="Times New Roman" w:hAnsi="Times New Roman" w:cs="Times New Roman"/>
          <w:sz w:val="24"/>
          <w:szCs w:val="24"/>
        </w:rPr>
        <w:t>Sham</w:t>
      </w:r>
      <w:r w:rsidR="00832BC8" w:rsidRPr="008C0420">
        <w:rPr>
          <w:rFonts w:ascii="Times New Roman" w:eastAsia="Arial Unicode MS" w:hAnsi="Times New Roman" w:cs="Times New Roman"/>
          <w:sz w:val="24"/>
          <w:szCs w:val="24"/>
        </w:rPr>
        <w:t>, t test</w:t>
      </w:r>
      <w:r w:rsidR="00832BC8" w:rsidRPr="008C042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32BC8" w:rsidRDefault="00832BC8" w:rsidP="00A41214">
      <w:pPr>
        <w:adjustRightInd w:val="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41214" w:rsidRDefault="00A41214">
      <w:pPr>
        <w:widowControl/>
        <w:wordWrap/>
        <w:autoSpaceDE/>
        <w:autoSpaceDN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br w:type="page"/>
      </w:r>
    </w:p>
    <w:p w:rsidR="00A41214" w:rsidRDefault="00A41214" w:rsidP="00A41214">
      <w:pPr>
        <w:adjustRightInd w:val="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41214" w:rsidRDefault="00A41214" w:rsidP="00A41214">
      <w:pPr>
        <w:adjustRightInd w:val="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32780" cy="1725295"/>
            <wp:effectExtent l="0" t="0" r="1270" b="8255"/>
            <wp:docPr id="7" name="그림 7" descr="D:\Dropbox\Paper Work\Pik3ip1_PLOSOne\Revision Final\Figure WO Layer\Supplimentary Figure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ropbox\Paper Work\Pik3ip1_PLOSOne\Revision Final\Figure WO Layer\Supplimentary Figure 6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C8" w:rsidRPr="008C0420" w:rsidRDefault="008C0420" w:rsidP="00832BC8">
      <w:pPr>
        <w:adjustRightInd w:val="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8C04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S</w:t>
      </w:r>
      <w:r w:rsidRPr="008C0420">
        <w:rPr>
          <w:rFonts w:ascii="Times New Roman" w:eastAsia="Arial Unicode MS" w:hAnsi="Times New Roman" w:cs="Times New Roman" w:hint="eastAsia"/>
          <w:b/>
          <w:color w:val="000000" w:themeColor="text1"/>
          <w:sz w:val="24"/>
          <w:szCs w:val="24"/>
        </w:rPr>
        <w:t xml:space="preserve">upplemental </w:t>
      </w:r>
      <w:r w:rsidRPr="008C04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Figure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F</w:t>
      </w:r>
      <w:r w:rsidR="00832BC8" w:rsidRPr="00832BC8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832BC8" w:rsidRPr="008C0420">
        <w:rPr>
          <w:rFonts w:ascii="Times New Roman" w:eastAsia="Arial Unicode MS" w:hAnsi="Times New Roman" w:cs="Times New Roman"/>
          <w:b/>
          <w:sz w:val="24"/>
          <w:szCs w:val="24"/>
        </w:rPr>
        <w:t>Pik3ip1 was increased in 4</w:t>
      </w:r>
      <w:r w:rsidR="00503E32" w:rsidRPr="008C0420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="00832BC8" w:rsidRPr="008C0420">
        <w:rPr>
          <w:rFonts w:ascii="Times New Roman" w:eastAsia="Arial Unicode MS" w:hAnsi="Times New Roman" w:cs="Times New Roman"/>
          <w:b/>
          <w:sz w:val="24"/>
          <w:szCs w:val="24"/>
        </w:rPr>
        <w:t>weeks exercised myocyte, not fibroblast.</w:t>
      </w:r>
      <w:r w:rsidR="00832BC8" w:rsidRPr="008C0420">
        <w:rPr>
          <w:rFonts w:ascii="Times New Roman" w:eastAsia="Arial Unicode MS" w:hAnsi="Times New Roman" w:cs="Times New Roman"/>
          <w:sz w:val="24"/>
          <w:szCs w:val="24"/>
        </w:rPr>
        <w:t xml:space="preserve"> (A, B) mRNA levels of Pik3ip1 were measured in</w:t>
      </w:r>
      <w:r w:rsidR="00832BC8" w:rsidRPr="008C0420">
        <w:rPr>
          <w:rFonts w:ascii="Times New Roman" w:hAnsi="Times New Roman" w:cs="Times New Roman"/>
          <w:sz w:val="24"/>
          <w:szCs w:val="24"/>
        </w:rPr>
        <w:t xml:space="preserve"> 2-weeks TAC (A) and 4-weeks exercised mice (B) </w:t>
      </w:r>
      <w:r w:rsidR="00832BC8" w:rsidRPr="008C0420">
        <w:rPr>
          <w:rFonts w:ascii="Times New Roman" w:eastAsia="Arial Unicode MS" w:hAnsi="Times New Roman" w:cs="Times New Roman"/>
          <w:sz w:val="24"/>
          <w:szCs w:val="24"/>
        </w:rPr>
        <w:t xml:space="preserve">cardiomyocytes and fibroblasts using quantitative reverse transcription PCR (qRT-PCR). (n = 3, * p &lt; 0.05, t test). </w:t>
      </w:r>
    </w:p>
    <w:p w:rsidR="00832BC8" w:rsidRPr="008C0420" w:rsidRDefault="00832BC8" w:rsidP="00A41214">
      <w:pPr>
        <w:adjustRightInd w:val="0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8D355D" w:rsidRDefault="008D355D" w:rsidP="008D355D">
      <w:pPr>
        <w:widowControl/>
        <w:wordWrap/>
        <w:autoSpaceDE/>
        <w:autoSpaceDN/>
        <w:jc w:val="center"/>
      </w:pPr>
    </w:p>
    <w:p w:rsidR="008D355D" w:rsidRDefault="00A41214" w:rsidP="00A41214">
      <w:pPr>
        <w:widowControl/>
        <w:wordWrap/>
        <w:autoSpaceDE/>
        <w:autoSpaceDN/>
      </w:pPr>
      <w:r>
        <w:br w:type="page"/>
      </w:r>
    </w:p>
    <w:p w:rsidR="008D355D" w:rsidRDefault="008C0420" w:rsidP="008D355D">
      <w:pPr>
        <w:jc w:val="left"/>
        <w:rPr>
          <w:rFonts w:ascii="Times New Roman" w:hAnsi="Times New Roman" w:cs="Times New Roman"/>
          <w:sz w:val="24"/>
          <w:szCs w:val="24"/>
        </w:rPr>
      </w:pPr>
      <w:r w:rsidRPr="008C04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lastRenderedPageBreak/>
        <w:t>S</w:t>
      </w:r>
      <w:r w:rsidRPr="008C0420">
        <w:rPr>
          <w:rFonts w:ascii="Times New Roman" w:eastAsia="Arial Unicode MS" w:hAnsi="Times New Roman" w:cs="Times New Roman" w:hint="eastAsia"/>
          <w:b/>
          <w:color w:val="000000" w:themeColor="text1"/>
          <w:sz w:val="24"/>
          <w:szCs w:val="24"/>
        </w:rPr>
        <w:t xml:space="preserve">upplemental 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Table</w:t>
      </w:r>
      <w:r w:rsidRPr="008C04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A</w:t>
      </w:r>
      <w:r w:rsidRPr="008C0420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8D355D" w:rsidRPr="006D61D2">
        <w:rPr>
          <w:rFonts w:ascii="Times New Roman" w:eastAsia="Arial Unicode MS" w:hAnsi="Times New Roman" w:cs="Times New Roman"/>
          <w:b/>
          <w:sz w:val="24"/>
          <w:szCs w:val="24"/>
        </w:rPr>
        <w:t xml:space="preserve">The primer sets for qRT-PCR and RT-PCR </w:t>
      </w:r>
      <w:r w:rsidR="008D355D" w:rsidRPr="006D61D2">
        <w:rPr>
          <w:rFonts w:ascii="Times New Roman" w:hAnsi="Times New Roman" w:cs="Times New Roman"/>
          <w:sz w:val="24"/>
          <w:szCs w:val="24"/>
        </w:rPr>
        <w:t>F and R represent forward and reverse, respectively.</w:t>
      </w:r>
    </w:p>
    <w:tbl>
      <w:tblPr>
        <w:tblStyle w:val="a6"/>
        <w:tblpPr w:leftFromText="142" w:rightFromText="142" w:vertAnchor="page" w:horzAnchor="margin" w:tblpXSpec="center" w:tblpY="2593"/>
        <w:tblW w:w="8020" w:type="dxa"/>
        <w:tblLook w:val="04A0" w:firstRow="1" w:lastRow="0" w:firstColumn="1" w:lastColumn="0" w:noHBand="0" w:noVBand="1"/>
      </w:tblPr>
      <w:tblGrid>
        <w:gridCol w:w="2899"/>
        <w:gridCol w:w="5121"/>
      </w:tblGrid>
      <w:tr w:rsidR="00A41214" w:rsidRPr="00720541" w:rsidTr="00056A0D">
        <w:trPr>
          <w:trHeight w:val="558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Name of primer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Sequence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Mouse 18s-F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TTCTGGCCAACGGTCTAGACAAC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Mouse 18s-R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CCAGTGGTCTTGGTGTGCTGA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Mouse Pik3ip1-F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CCATGGAGCTGGAAGAGAAG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Mouse Pik3ip1-R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AGCTCCAATAGCGAGGATGA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Mouse Nppa-F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TCGTCTTGGCCTTTTGGCT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Mouse Nppa-R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TCCAGGTGGTCTAGCAGGTTCT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Mouse Nppb-F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AGGGAGAACACGGCATCATT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Mouse Nppb-R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GACAGCACCTTCAGGAGAT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Mouse Myh7-F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CGCATCAAGGAGCTCACC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Mouse Myh7-R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CTGCAGCCGCAGTAGGTT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Rat 18s-F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AAGTTTCAGCACATCCTGCGAGTA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Rat 18s-R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TTGGTGAGGTCAATGTCTGCTTTC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Rat Pik3ip1-F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TGGCAAATAAGGGCTTCCACA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Rat Pik3ip1-R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CCTGGATGGCAAAGGCAGA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Rat Nppa-F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ACCTGCTAGACCACCTGGAGGAG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Rat Nppa-R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CCTTGGCTGTTATCTTCGGTACCG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Rat Nppb-F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GCTGCTTTGGGCACAAGATAG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Rat Nppb-R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GGTCTTCCTACAACAACTTCA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Rat Myh7-F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AAGTCCTCCCTCAAGCTCCTAAGT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Rat Myh7-R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TTGCTTTGCCTTTGCCC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Rat Actn1-F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CGACATCAGGAAGGACCTGT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Rat Actn1-R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ACATCTGCTGGAAGGTGGAC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Rat Vim-F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ATGAAAGTGTGGCTGCCAAGAA</w:t>
            </w:r>
          </w:p>
        </w:tc>
      </w:tr>
      <w:tr w:rsidR="00A41214" w:rsidRPr="00720541" w:rsidTr="00056A0D">
        <w:trPr>
          <w:trHeight w:val="489"/>
        </w:trPr>
        <w:tc>
          <w:tcPr>
            <w:tcW w:w="2899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Rat Vim-R</w:t>
            </w:r>
          </w:p>
        </w:tc>
        <w:tc>
          <w:tcPr>
            <w:tcW w:w="5121" w:type="dxa"/>
            <w:noWrap/>
            <w:hideMark/>
          </w:tcPr>
          <w:p w:rsidR="00A41214" w:rsidRPr="00E86472" w:rsidRDefault="00A41214" w:rsidP="00A4121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647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GTGACTGCACCTGTCTCCGGTA</w:t>
            </w:r>
          </w:p>
        </w:tc>
      </w:tr>
    </w:tbl>
    <w:p w:rsidR="00A41214" w:rsidRDefault="00A41214" w:rsidP="00C82704">
      <w:pPr>
        <w:widowControl/>
        <w:wordWrap/>
        <w:autoSpaceDE/>
        <w:autoSpaceDN/>
        <w:rPr>
          <w:rFonts w:ascii="Times New Roman" w:eastAsia="Arial Unicode MS" w:hAnsi="Times New Roman" w:cs="Times New Roman"/>
          <w:b/>
          <w:sz w:val="24"/>
          <w:szCs w:val="24"/>
        </w:rPr>
        <w:sectPr w:rsidR="00A41214" w:rsidSect="00A41214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8D355D" w:rsidRPr="00832BC8" w:rsidRDefault="008C0420" w:rsidP="00A41214">
      <w:pPr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C04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lastRenderedPageBreak/>
        <w:t>S</w:t>
      </w:r>
      <w:r w:rsidRPr="008C0420">
        <w:rPr>
          <w:rFonts w:ascii="Times New Roman" w:eastAsia="Arial Unicode MS" w:hAnsi="Times New Roman" w:cs="Times New Roman" w:hint="eastAsia"/>
          <w:b/>
          <w:color w:val="000000" w:themeColor="text1"/>
          <w:sz w:val="24"/>
          <w:szCs w:val="24"/>
        </w:rPr>
        <w:t xml:space="preserve">upplemental 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Table B</w:t>
      </w:r>
      <w:r w:rsidRPr="008C0420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832BC8" w:rsidRPr="00832BC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Echocardiographic analysis in TAC operated and exercised mice.</w:t>
      </w:r>
    </w:p>
    <w:tbl>
      <w:tblPr>
        <w:tblStyle w:val="a6"/>
        <w:tblW w:w="13750" w:type="dxa"/>
        <w:tblLayout w:type="fixed"/>
        <w:tblLook w:val="04A0" w:firstRow="1" w:lastRow="0" w:firstColumn="1" w:lastColumn="0" w:noHBand="0" w:noVBand="1"/>
      </w:tblPr>
      <w:tblGrid>
        <w:gridCol w:w="2127"/>
        <w:gridCol w:w="1452"/>
        <w:gridCol w:w="1453"/>
        <w:gridCol w:w="1453"/>
        <w:gridCol w:w="1453"/>
        <w:gridCol w:w="1453"/>
        <w:gridCol w:w="1453"/>
        <w:gridCol w:w="1453"/>
        <w:gridCol w:w="1453"/>
      </w:tblGrid>
      <w:tr w:rsidR="00A41214" w:rsidRPr="009F1827" w:rsidTr="00056A0D">
        <w:trPr>
          <w:trHeight w:val="460"/>
        </w:trPr>
        <w:tc>
          <w:tcPr>
            <w:tcW w:w="2127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1week</w:t>
            </w:r>
          </w:p>
        </w:tc>
        <w:tc>
          <w:tcPr>
            <w:tcW w:w="2906" w:type="dxa"/>
            <w:gridSpan w:val="2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2weeks</w:t>
            </w:r>
          </w:p>
        </w:tc>
        <w:tc>
          <w:tcPr>
            <w:tcW w:w="2906" w:type="dxa"/>
            <w:gridSpan w:val="2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2weeks</w:t>
            </w:r>
          </w:p>
        </w:tc>
        <w:tc>
          <w:tcPr>
            <w:tcW w:w="2906" w:type="dxa"/>
            <w:gridSpan w:val="2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4weeks</w:t>
            </w:r>
          </w:p>
        </w:tc>
      </w:tr>
      <w:tr w:rsidR="00A41214" w:rsidRPr="009F1827" w:rsidTr="00056A0D">
        <w:trPr>
          <w:trHeight w:val="460"/>
        </w:trPr>
        <w:tc>
          <w:tcPr>
            <w:tcW w:w="2127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Sham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TAC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Sham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TAC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Sedentary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Swim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Sedentary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Swim</w:t>
            </w:r>
          </w:p>
        </w:tc>
      </w:tr>
      <w:tr w:rsidR="00A41214" w:rsidRPr="009F1827" w:rsidTr="00056A0D">
        <w:trPr>
          <w:trHeight w:val="460"/>
        </w:trPr>
        <w:tc>
          <w:tcPr>
            <w:tcW w:w="2127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Number of animals</w:t>
            </w:r>
          </w:p>
        </w:tc>
        <w:tc>
          <w:tcPr>
            <w:tcW w:w="1452" w:type="dxa"/>
            <w:noWrap/>
            <w:hideMark/>
          </w:tcPr>
          <w:p w:rsidR="00A41214" w:rsidRPr="009F1827" w:rsidRDefault="00371ED3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371ED3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371ED3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4C511D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A41214" w:rsidRPr="009F1827" w:rsidTr="00056A0D">
        <w:trPr>
          <w:trHeight w:val="460"/>
        </w:trPr>
        <w:tc>
          <w:tcPr>
            <w:tcW w:w="2127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Heart weight/Body weight</w:t>
            </w:r>
          </w:p>
        </w:tc>
        <w:tc>
          <w:tcPr>
            <w:tcW w:w="1452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4.16 ± 0.04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5.62 ± 0.12 *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4.24 ± 0.04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5.78 ± 0.17 *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4.08 ± 0.13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4.20 ± 0.12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4.03 ± 0.05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4.77 ± 0.05 *</w:t>
            </w:r>
          </w:p>
        </w:tc>
      </w:tr>
      <w:tr w:rsidR="00A41214" w:rsidRPr="009F1827" w:rsidTr="00056A0D">
        <w:trPr>
          <w:trHeight w:val="460"/>
        </w:trPr>
        <w:tc>
          <w:tcPr>
            <w:tcW w:w="2127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IVS, mm</w:t>
            </w:r>
          </w:p>
        </w:tc>
        <w:tc>
          <w:tcPr>
            <w:tcW w:w="1452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0.50 ± 0.04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0.76 ± 0.05*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0.44 ± 0.03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0.72 ± 0.04*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0.52 ± 0.04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0.52 ± 0.04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0.52 ± 0.02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0.58 ± 0.04</w:t>
            </w:r>
          </w:p>
        </w:tc>
      </w:tr>
      <w:tr w:rsidR="00A41214" w:rsidRPr="009F1827" w:rsidTr="00056A0D">
        <w:trPr>
          <w:trHeight w:val="460"/>
        </w:trPr>
        <w:tc>
          <w:tcPr>
            <w:tcW w:w="2127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LVPWd</w:t>
            </w:r>
          </w:p>
        </w:tc>
        <w:tc>
          <w:tcPr>
            <w:tcW w:w="1452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0.58 ± 0.04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0.74 ± 0.05*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8902C7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0.58</w:t>
            </w:r>
            <w:r w:rsidR="00A41214"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± 0.06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0.71 ± 0.06*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0.54 ± 0.06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0.54 ± 0.05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371ED3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0.52</w:t>
            </w:r>
            <w:r w:rsidR="00A41214"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±0.05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371ED3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0.68</w:t>
            </w:r>
            <w:r w:rsidR="00A41214"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0.04* </w:t>
            </w:r>
          </w:p>
        </w:tc>
      </w:tr>
      <w:tr w:rsidR="00A41214" w:rsidRPr="009F1827" w:rsidTr="00056A0D">
        <w:trPr>
          <w:trHeight w:val="460"/>
        </w:trPr>
        <w:tc>
          <w:tcPr>
            <w:tcW w:w="2127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LVIDd</w:t>
            </w:r>
          </w:p>
        </w:tc>
        <w:tc>
          <w:tcPr>
            <w:tcW w:w="1452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0.40 ± 0.01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CA1EFB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0.41</w:t>
            </w:r>
            <w:r w:rsidR="00A41214"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±0.02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0.386 ± 0.03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0.42 ±0.02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0.40 ± 0.01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0.40 ± 0.01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CA1EFB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0.39</w:t>
            </w:r>
            <w:r w:rsidR="00A41214"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± 0.01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0.44 ± 0.01</w:t>
            </w:r>
          </w:p>
        </w:tc>
      </w:tr>
      <w:tr w:rsidR="00A41214" w:rsidRPr="009F1827" w:rsidTr="00056A0D">
        <w:trPr>
          <w:trHeight w:val="460"/>
        </w:trPr>
        <w:tc>
          <w:tcPr>
            <w:tcW w:w="2127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FS %</w:t>
            </w:r>
          </w:p>
        </w:tc>
        <w:tc>
          <w:tcPr>
            <w:tcW w:w="1452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41.8 ± 0.4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35.3 ± 1.6</w:t>
            </w:r>
            <w:r w:rsidR="00CA1EF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42.0 ± 1.4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33.1 ± 0.4</w:t>
            </w:r>
            <w:r w:rsidR="00CA1EF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36.5 ± 0.7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36.8 ± 0.6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37.3 ± 0.3</w:t>
            </w:r>
          </w:p>
        </w:tc>
        <w:tc>
          <w:tcPr>
            <w:tcW w:w="1453" w:type="dxa"/>
            <w:noWrap/>
            <w:hideMark/>
          </w:tcPr>
          <w:p w:rsidR="00A41214" w:rsidRPr="009F1827" w:rsidRDefault="00A41214" w:rsidP="00056A0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38.6 ± 1.1</w:t>
            </w:r>
          </w:p>
        </w:tc>
      </w:tr>
    </w:tbl>
    <w:tbl>
      <w:tblPr>
        <w:tblW w:w="142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55"/>
      </w:tblGrid>
      <w:tr w:rsidR="00A41214" w:rsidRPr="009F1827" w:rsidTr="007A49C0">
        <w:trPr>
          <w:trHeight w:val="98"/>
        </w:trPr>
        <w:tc>
          <w:tcPr>
            <w:tcW w:w="1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14" w:rsidRDefault="00A41214" w:rsidP="007A49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  <w:p w:rsidR="00A41214" w:rsidRPr="009F1827" w:rsidRDefault="00A41214" w:rsidP="007A49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TAC indicates aortic </w:t>
            </w:r>
            <w:r w:rsidR="00503E3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transverse </w:t>
            </w: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banding; all parameters indicated are LV diastolic values. LVID, LV internal diameter; IVS, </w:t>
            </w:r>
            <w:r w:rsidR="00832BC8" w:rsidRPr="009F182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interventricular</w:t>
            </w: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septum; LVPW, LV posterior wall; FS, Fractional shortening. Values are mean ± SEM *P&lt;0.05 vs Sham or </w:t>
            </w:r>
            <w:r w:rsidR="00832BC8" w:rsidRPr="009F182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Sedentary</w:t>
            </w:r>
            <w:r w:rsidRPr="009F182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values</w:t>
            </w:r>
          </w:p>
        </w:tc>
      </w:tr>
    </w:tbl>
    <w:p w:rsidR="00A41214" w:rsidRPr="00A41214" w:rsidRDefault="00A41214" w:rsidP="00A41214">
      <w:pPr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</w:p>
    <w:sectPr w:rsidR="00A41214" w:rsidRPr="00A41214" w:rsidSect="00A41214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4C" w:rsidRDefault="00AA1C4C" w:rsidP="00783042">
      <w:pPr>
        <w:spacing w:after="0" w:line="240" w:lineRule="auto"/>
      </w:pPr>
      <w:r>
        <w:separator/>
      </w:r>
    </w:p>
  </w:endnote>
  <w:endnote w:type="continuationSeparator" w:id="0">
    <w:p w:rsidR="00AA1C4C" w:rsidRDefault="00AA1C4C" w:rsidP="0078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4C" w:rsidRDefault="00AA1C4C" w:rsidP="00783042">
      <w:pPr>
        <w:spacing w:after="0" w:line="240" w:lineRule="auto"/>
      </w:pPr>
      <w:r>
        <w:separator/>
      </w:r>
    </w:p>
  </w:footnote>
  <w:footnote w:type="continuationSeparator" w:id="0">
    <w:p w:rsidR="00AA1C4C" w:rsidRDefault="00AA1C4C" w:rsidP="00783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41"/>
    <w:rsid w:val="00051448"/>
    <w:rsid w:val="00056A0D"/>
    <w:rsid w:val="000B5439"/>
    <w:rsid w:val="000E77EF"/>
    <w:rsid w:val="0014258A"/>
    <w:rsid w:val="001566F5"/>
    <w:rsid w:val="001C688A"/>
    <w:rsid w:val="00207185"/>
    <w:rsid w:val="00310B05"/>
    <w:rsid w:val="0034343B"/>
    <w:rsid w:val="00371ED3"/>
    <w:rsid w:val="003A0739"/>
    <w:rsid w:val="003B4A0C"/>
    <w:rsid w:val="003C48F2"/>
    <w:rsid w:val="00404A01"/>
    <w:rsid w:val="00433082"/>
    <w:rsid w:val="004638C5"/>
    <w:rsid w:val="004B2A86"/>
    <w:rsid w:val="004B3E36"/>
    <w:rsid w:val="004C511D"/>
    <w:rsid w:val="00503E32"/>
    <w:rsid w:val="0056589C"/>
    <w:rsid w:val="00672497"/>
    <w:rsid w:val="00720541"/>
    <w:rsid w:val="00720C20"/>
    <w:rsid w:val="007351FF"/>
    <w:rsid w:val="00783042"/>
    <w:rsid w:val="007D0742"/>
    <w:rsid w:val="007D4B66"/>
    <w:rsid w:val="00832BC8"/>
    <w:rsid w:val="00881A05"/>
    <w:rsid w:val="008902C7"/>
    <w:rsid w:val="008C0420"/>
    <w:rsid w:val="008D355D"/>
    <w:rsid w:val="00982388"/>
    <w:rsid w:val="00996452"/>
    <w:rsid w:val="00A41214"/>
    <w:rsid w:val="00AA1C4C"/>
    <w:rsid w:val="00AD46F1"/>
    <w:rsid w:val="00B3356D"/>
    <w:rsid w:val="00C11127"/>
    <w:rsid w:val="00C14501"/>
    <w:rsid w:val="00C24C48"/>
    <w:rsid w:val="00C800DD"/>
    <w:rsid w:val="00C81F00"/>
    <w:rsid w:val="00C82704"/>
    <w:rsid w:val="00C90219"/>
    <w:rsid w:val="00CA1EFB"/>
    <w:rsid w:val="00D0729F"/>
    <w:rsid w:val="00D62AB5"/>
    <w:rsid w:val="00E11569"/>
    <w:rsid w:val="00E55DD1"/>
    <w:rsid w:val="00E86472"/>
    <w:rsid w:val="00F16400"/>
    <w:rsid w:val="00F51195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F4031-D2F6-46C2-B9A2-ED0917B8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목록 표 1 밝게1"/>
    <w:basedOn w:val="a1"/>
    <w:uiPriority w:val="46"/>
    <w:rsid w:val="00720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header"/>
    <w:basedOn w:val="a"/>
    <w:link w:val="Char"/>
    <w:uiPriority w:val="99"/>
    <w:unhideWhenUsed/>
    <w:rsid w:val="007830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83042"/>
  </w:style>
  <w:style w:type="paragraph" w:styleId="a4">
    <w:name w:val="footer"/>
    <w:basedOn w:val="a"/>
    <w:link w:val="Char0"/>
    <w:uiPriority w:val="99"/>
    <w:unhideWhenUsed/>
    <w:rsid w:val="007830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83042"/>
  </w:style>
  <w:style w:type="paragraph" w:styleId="a5">
    <w:name w:val="Balloon Text"/>
    <w:basedOn w:val="a"/>
    <w:link w:val="Char1"/>
    <w:uiPriority w:val="99"/>
    <w:semiHidden/>
    <w:unhideWhenUsed/>
    <w:rsid w:val="009964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96452"/>
    <w:rPr>
      <w:rFonts w:asciiTheme="majorHAnsi" w:eastAsiaTheme="majorEastAsia" w:hAnsiTheme="majorHAnsi" w:cstheme="majorBidi"/>
      <w:sz w:val="18"/>
      <w:szCs w:val="18"/>
    </w:rPr>
  </w:style>
  <w:style w:type="table" w:styleId="2">
    <w:name w:val="Grid Table 2"/>
    <w:basedOn w:val="a1"/>
    <w:uiPriority w:val="47"/>
    <w:rsid w:val="00A412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6">
    <w:name w:val="Table Grid"/>
    <w:basedOn w:val="a1"/>
    <w:uiPriority w:val="39"/>
    <w:rsid w:val="0005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B3E3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송홍기</dc:creator>
  <cp:lastModifiedBy>송홍기</cp:lastModifiedBy>
  <cp:revision>2</cp:revision>
  <cp:lastPrinted>2015-01-14T09:10:00Z</cp:lastPrinted>
  <dcterms:created xsi:type="dcterms:W3CDTF">2015-02-28T07:26:00Z</dcterms:created>
  <dcterms:modified xsi:type="dcterms:W3CDTF">2015-02-28T07:26:00Z</dcterms:modified>
</cp:coreProperties>
</file>