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CD" w:rsidRPr="00BD4EB6" w:rsidRDefault="00D364CD" w:rsidP="008144B7">
      <w:pPr>
        <w:spacing w:after="0"/>
        <w:jc w:val="both"/>
        <w:rPr>
          <w:b/>
          <w:sz w:val="24"/>
          <w:szCs w:val="24"/>
        </w:rPr>
      </w:pPr>
      <w:r w:rsidRPr="00BD4EB6">
        <w:rPr>
          <w:b/>
          <w:sz w:val="24"/>
          <w:szCs w:val="24"/>
        </w:rPr>
        <w:t>Supplementary Material and Methods</w:t>
      </w:r>
    </w:p>
    <w:p w:rsidR="00B966F8" w:rsidRDefault="00B966F8" w:rsidP="008144B7">
      <w:pPr>
        <w:spacing w:after="0" w:line="360" w:lineRule="auto"/>
        <w:jc w:val="both"/>
        <w:rPr>
          <w:b/>
          <w:sz w:val="24"/>
          <w:szCs w:val="24"/>
        </w:rPr>
      </w:pPr>
    </w:p>
    <w:p w:rsidR="00D364CD" w:rsidRPr="0041708A" w:rsidRDefault="00D364CD" w:rsidP="008144B7">
      <w:pPr>
        <w:spacing w:after="0" w:line="360" w:lineRule="auto"/>
        <w:jc w:val="both"/>
        <w:rPr>
          <w:b/>
          <w:i/>
          <w:sz w:val="24"/>
          <w:szCs w:val="24"/>
        </w:rPr>
      </w:pPr>
      <w:r w:rsidRPr="0041708A">
        <w:rPr>
          <w:b/>
          <w:i/>
          <w:sz w:val="24"/>
          <w:szCs w:val="24"/>
        </w:rPr>
        <w:t>CAPS genotyping</w:t>
      </w:r>
    </w:p>
    <w:p w:rsidR="00D364CD" w:rsidRPr="00BD4EB6" w:rsidRDefault="00D364CD" w:rsidP="008144B7">
      <w:pPr>
        <w:spacing w:after="0" w:line="360" w:lineRule="auto"/>
        <w:jc w:val="both"/>
        <w:rPr>
          <w:sz w:val="24"/>
          <w:szCs w:val="24"/>
        </w:rPr>
      </w:pPr>
      <w:r w:rsidRPr="00BD4EB6">
        <w:rPr>
          <w:sz w:val="24"/>
          <w:szCs w:val="24"/>
        </w:rPr>
        <w:t xml:space="preserve">For CAPS screening to validate </w:t>
      </w:r>
      <w:r w:rsidRPr="00BD4EB6">
        <w:rPr>
          <w:i/>
          <w:sz w:val="24"/>
          <w:szCs w:val="24"/>
        </w:rPr>
        <w:t xml:space="preserve">TaWRKY11 </w:t>
      </w:r>
      <w:r w:rsidRPr="00BD4EB6">
        <w:rPr>
          <w:sz w:val="24"/>
          <w:szCs w:val="24"/>
        </w:rPr>
        <w:t xml:space="preserve">deletions, gene-specific </w:t>
      </w:r>
      <w:r w:rsidRPr="00BD4EB6">
        <w:rPr>
          <w:i/>
          <w:sz w:val="24"/>
          <w:szCs w:val="24"/>
        </w:rPr>
        <w:t>TaWRKY11</w:t>
      </w:r>
      <w:r w:rsidRPr="00BD4EB6">
        <w:rPr>
          <w:sz w:val="24"/>
          <w:szCs w:val="24"/>
        </w:rPr>
        <w:t xml:space="preserve"> primers were designed using Primer3 (</w:t>
      </w:r>
      <w:hyperlink r:id="rId4" w:history="1">
        <w:r w:rsidRPr="00BD4EB6">
          <w:rPr>
            <w:rStyle w:val="Hyperlink"/>
            <w:sz w:val="24"/>
            <w:szCs w:val="24"/>
          </w:rPr>
          <w:t>http://bioinfo.ut.ee/primer3-0.4.0/primer3/input.htm</w:t>
        </w:r>
      </w:hyperlink>
      <w:r w:rsidRPr="00BD4EB6">
        <w:rPr>
          <w:sz w:val="24"/>
          <w:szCs w:val="24"/>
        </w:rPr>
        <w:t>) targeting a region conserved between all homoeologues. SNP2CAPS (</w:t>
      </w:r>
      <w:hyperlink r:id="rId5" w:history="1">
        <w:r w:rsidRPr="00BD4EB6">
          <w:rPr>
            <w:rStyle w:val="Hyperlink"/>
            <w:sz w:val="24"/>
            <w:szCs w:val="24"/>
          </w:rPr>
          <w:t>http://pgrc.ipk-gatersleben.de/snp2caps/</w:t>
        </w:r>
      </w:hyperlink>
      <w:r w:rsidRPr="00BD4EB6">
        <w:rPr>
          <w:sz w:val="24"/>
          <w:szCs w:val="24"/>
        </w:rPr>
        <w:t xml:space="preserve">) was used to identify a restriction digest that would produce homoeologue-specific fragments; digestion with </w:t>
      </w:r>
      <w:proofErr w:type="spellStart"/>
      <w:r w:rsidRPr="00BD4EB6">
        <w:rPr>
          <w:sz w:val="24"/>
          <w:szCs w:val="24"/>
        </w:rPr>
        <w:t>ScrFI</w:t>
      </w:r>
      <w:proofErr w:type="spellEnd"/>
      <w:r w:rsidRPr="00BD4EB6">
        <w:rPr>
          <w:sz w:val="24"/>
          <w:szCs w:val="24"/>
        </w:rPr>
        <w:t xml:space="preserve"> was selected which was predicted to yield fragments of 152, 123 and 105 bp for the B, D and A homoeologues</w:t>
      </w:r>
      <w:r w:rsidR="006C6A5E" w:rsidRPr="00BD4EB6">
        <w:rPr>
          <w:sz w:val="24"/>
          <w:szCs w:val="24"/>
        </w:rPr>
        <w:t>, respectively</w:t>
      </w:r>
      <w:r w:rsidRPr="00BD4EB6">
        <w:rPr>
          <w:sz w:val="24"/>
          <w:szCs w:val="24"/>
        </w:rPr>
        <w:t xml:space="preserve">. PCR to amplify </w:t>
      </w:r>
      <w:r w:rsidRPr="00BD4EB6">
        <w:rPr>
          <w:i/>
          <w:sz w:val="24"/>
          <w:szCs w:val="24"/>
        </w:rPr>
        <w:t xml:space="preserve">TaWRKY11 </w:t>
      </w:r>
      <w:r w:rsidRPr="00BD4EB6">
        <w:rPr>
          <w:sz w:val="24"/>
          <w:szCs w:val="24"/>
        </w:rPr>
        <w:t xml:space="preserve">fragments was performed using 5 µL High Fidelity Phusion PCR Buffer (New England </w:t>
      </w:r>
      <w:proofErr w:type="spellStart"/>
      <w:r w:rsidRPr="00BD4EB6">
        <w:rPr>
          <w:sz w:val="24"/>
          <w:szCs w:val="24"/>
        </w:rPr>
        <w:t>BioLabs</w:t>
      </w:r>
      <w:proofErr w:type="spellEnd"/>
      <w:r w:rsidRPr="00BD4EB6">
        <w:rPr>
          <w:sz w:val="24"/>
          <w:szCs w:val="24"/>
        </w:rPr>
        <w:t xml:space="preserve">, Inc.), 0.5 µL 10 </w:t>
      </w:r>
      <w:proofErr w:type="spellStart"/>
      <w:r w:rsidRPr="00BD4EB6">
        <w:rPr>
          <w:sz w:val="24"/>
          <w:szCs w:val="24"/>
        </w:rPr>
        <w:t>mM</w:t>
      </w:r>
      <w:proofErr w:type="spellEnd"/>
      <w:r w:rsidRPr="00BD4EB6">
        <w:rPr>
          <w:sz w:val="24"/>
          <w:szCs w:val="24"/>
        </w:rPr>
        <w:t xml:space="preserve"> </w:t>
      </w:r>
      <w:proofErr w:type="spellStart"/>
      <w:r w:rsidRPr="00BD4EB6">
        <w:rPr>
          <w:sz w:val="24"/>
          <w:szCs w:val="24"/>
        </w:rPr>
        <w:t>dNTPs</w:t>
      </w:r>
      <w:proofErr w:type="spellEnd"/>
      <w:r w:rsidRPr="00BD4EB6">
        <w:rPr>
          <w:sz w:val="24"/>
          <w:szCs w:val="24"/>
        </w:rPr>
        <w:t>, 0.75 µL DMSO, 0.25 µL Phusion proofreading DNA polymerase, 1 uL 10 µM forward and reverse primers, 2 µL ~ 50 ng/µL DNA template and 15.5 µL DNase-free water. Cycling conditions were: hot start at 98</w:t>
      </w:r>
      <w:r w:rsidRPr="00BD4EB6">
        <w:rPr>
          <w:rFonts w:ascii="Times New Roman" w:hAnsi="Times New Roman"/>
          <w:sz w:val="24"/>
          <w:szCs w:val="24"/>
        </w:rPr>
        <w:t>º</w:t>
      </w:r>
      <w:r w:rsidRPr="00BD4EB6">
        <w:rPr>
          <w:sz w:val="24"/>
          <w:szCs w:val="24"/>
        </w:rPr>
        <w:t>C; 1 min at 98</w:t>
      </w:r>
      <w:r w:rsidRPr="00BD4EB6">
        <w:rPr>
          <w:rFonts w:ascii="Times New Roman" w:hAnsi="Times New Roman"/>
          <w:sz w:val="24"/>
          <w:szCs w:val="24"/>
        </w:rPr>
        <w:t>º</w:t>
      </w:r>
      <w:r w:rsidRPr="00BD4EB6">
        <w:rPr>
          <w:sz w:val="24"/>
          <w:szCs w:val="24"/>
        </w:rPr>
        <w:t>C; 15 cycles with -1</w:t>
      </w:r>
      <w:r w:rsidRPr="00BD4EB6">
        <w:rPr>
          <w:rFonts w:ascii="Times New Roman" w:hAnsi="Times New Roman"/>
          <w:sz w:val="24"/>
          <w:szCs w:val="24"/>
        </w:rPr>
        <w:t>º</w:t>
      </w:r>
      <w:r w:rsidRPr="00BD4EB6">
        <w:rPr>
          <w:sz w:val="24"/>
          <w:szCs w:val="24"/>
        </w:rPr>
        <w:t>C annealing temperature per cycle starting with 98</w:t>
      </w:r>
      <w:r w:rsidRPr="00BD4EB6">
        <w:rPr>
          <w:rFonts w:ascii="Times New Roman" w:hAnsi="Times New Roman"/>
          <w:sz w:val="24"/>
          <w:szCs w:val="24"/>
        </w:rPr>
        <w:t>º</w:t>
      </w:r>
      <w:r w:rsidRPr="00BD4EB6">
        <w:rPr>
          <w:sz w:val="24"/>
          <w:szCs w:val="24"/>
        </w:rPr>
        <w:t>C for 15s, 70</w:t>
      </w:r>
      <w:r w:rsidRPr="00BD4EB6">
        <w:rPr>
          <w:rFonts w:ascii="Times New Roman" w:hAnsi="Times New Roman"/>
          <w:sz w:val="24"/>
          <w:szCs w:val="24"/>
        </w:rPr>
        <w:t>º</w:t>
      </w:r>
      <w:r w:rsidRPr="00BD4EB6">
        <w:rPr>
          <w:sz w:val="24"/>
          <w:szCs w:val="24"/>
        </w:rPr>
        <w:t>C for 15s, 72</w:t>
      </w:r>
      <w:r w:rsidRPr="00BD4EB6">
        <w:rPr>
          <w:rFonts w:ascii="Times New Roman" w:hAnsi="Times New Roman"/>
          <w:sz w:val="24"/>
          <w:szCs w:val="24"/>
        </w:rPr>
        <w:t>º</w:t>
      </w:r>
      <w:r w:rsidRPr="00BD4EB6">
        <w:rPr>
          <w:sz w:val="24"/>
          <w:szCs w:val="24"/>
        </w:rPr>
        <w:t>C for 30s; 25 cycles of 98</w:t>
      </w:r>
      <w:r w:rsidRPr="00BD4EB6">
        <w:rPr>
          <w:rFonts w:ascii="Times New Roman" w:hAnsi="Times New Roman"/>
          <w:sz w:val="24"/>
          <w:szCs w:val="24"/>
        </w:rPr>
        <w:t>º</w:t>
      </w:r>
      <w:r w:rsidRPr="00BD4EB6">
        <w:rPr>
          <w:sz w:val="24"/>
          <w:szCs w:val="24"/>
        </w:rPr>
        <w:t>C for 15s, 58</w:t>
      </w:r>
      <w:r w:rsidRPr="00BD4EB6">
        <w:rPr>
          <w:rFonts w:ascii="Times New Roman" w:hAnsi="Times New Roman"/>
          <w:sz w:val="24"/>
          <w:szCs w:val="24"/>
        </w:rPr>
        <w:t>º</w:t>
      </w:r>
      <w:r w:rsidRPr="00BD4EB6">
        <w:rPr>
          <w:sz w:val="24"/>
          <w:szCs w:val="24"/>
        </w:rPr>
        <w:t>C for 15s, 72</w:t>
      </w:r>
      <w:r w:rsidRPr="00BD4EB6">
        <w:rPr>
          <w:rFonts w:ascii="Times New Roman" w:hAnsi="Times New Roman"/>
          <w:sz w:val="24"/>
          <w:szCs w:val="24"/>
        </w:rPr>
        <w:t>º</w:t>
      </w:r>
      <w:r w:rsidRPr="00BD4EB6">
        <w:rPr>
          <w:sz w:val="24"/>
          <w:szCs w:val="24"/>
        </w:rPr>
        <w:t>C for 30s; 72</w:t>
      </w:r>
      <w:r w:rsidRPr="00BD4EB6">
        <w:rPr>
          <w:rFonts w:ascii="Times New Roman" w:hAnsi="Times New Roman"/>
          <w:sz w:val="24"/>
          <w:szCs w:val="24"/>
        </w:rPr>
        <w:t>º</w:t>
      </w:r>
      <w:r w:rsidRPr="00BD4EB6">
        <w:rPr>
          <w:sz w:val="24"/>
          <w:szCs w:val="24"/>
        </w:rPr>
        <w:t>C for 5 mins; hold at 22</w:t>
      </w:r>
      <w:r w:rsidRPr="00BD4EB6">
        <w:rPr>
          <w:rFonts w:ascii="Times New Roman" w:hAnsi="Times New Roman"/>
          <w:sz w:val="24"/>
          <w:szCs w:val="24"/>
        </w:rPr>
        <w:t>º</w:t>
      </w:r>
      <w:r w:rsidRPr="00BD4EB6">
        <w:rPr>
          <w:sz w:val="24"/>
          <w:szCs w:val="24"/>
        </w:rPr>
        <w:t>C. PCR products were then digested at 37</w:t>
      </w:r>
      <w:r w:rsidRPr="00BD4EB6">
        <w:rPr>
          <w:rFonts w:ascii="Times New Roman" w:hAnsi="Times New Roman"/>
          <w:sz w:val="24"/>
          <w:szCs w:val="24"/>
        </w:rPr>
        <w:t>º</w:t>
      </w:r>
      <w:r w:rsidRPr="00BD4EB6">
        <w:rPr>
          <w:sz w:val="24"/>
          <w:szCs w:val="24"/>
        </w:rPr>
        <w:t xml:space="preserve">C overnight using </w:t>
      </w:r>
      <w:proofErr w:type="spellStart"/>
      <w:r w:rsidRPr="00BD4EB6">
        <w:rPr>
          <w:sz w:val="24"/>
          <w:szCs w:val="24"/>
        </w:rPr>
        <w:t>ScrFI</w:t>
      </w:r>
      <w:proofErr w:type="spellEnd"/>
      <w:r w:rsidRPr="00BD4EB6">
        <w:rPr>
          <w:sz w:val="24"/>
          <w:szCs w:val="24"/>
        </w:rPr>
        <w:t xml:space="preserve"> and products were visualized on a 2.5% agarose gel stained with </w:t>
      </w:r>
      <w:proofErr w:type="spellStart"/>
      <w:r w:rsidRPr="00BD4EB6">
        <w:rPr>
          <w:sz w:val="24"/>
          <w:szCs w:val="24"/>
        </w:rPr>
        <w:t>GelRed</w:t>
      </w:r>
      <w:proofErr w:type="spellEnd"/>
      <w:r w:rsidRPr="00BD4EB6">
        <w:rPr>
          <w:sz w:val="24"/>
          <w:szCs w:val="24"/>
        </w:rPr>
        <w:t xml:space="preserve"> (</w:t>
      </w:r>
      <w:proofErr w:type="spellStart"/>
      <w:r w:rsidRPr="00BD4EB6">
        <w:rPr>
          <w:sz w:val="24"/>
          <w:szCs w:val="24"/>
        </w:rPr>
        <w:t>Biotium</w:t>
      </w:r>
      <w:proofErr w:type="spellEnd"/>
      <w:r w:rsidRPr="00BD4EB6">
        <w:rPr>
          <w:sz w:val="24"/>
          <w:szCs w:val="24"/>
        </w:rPr>
        <w:t xml:space="preserve">, Inc., Hayward, CA 94545, USA) run at 75V for 90 mins.  </w:t>
      </w:r>
    </w:p>
    <w:p w:rsidR="008E1BC9" w:rsidRPr="00BD4EB6" w:rsidRDefault="008E1BC9" w:rsidP="008144B7">
      <w:pPr>
        <w:spacing w:after="0" w:line="360" w:lineRule="auto"/>
        <w:jc w:val="both"/>
        <w:rPr>
          <w:b/>
          <w:sz w:val="24"/>
          <w:szCs w:val="24"/>
        </w:rPr>
      </w:pPr>
    </w:p>
    <w:p w:rsidR="00D364CD" w:rsidRPr="0041708A" w:rsidRDefault="00D364CD" w:rsidP="008144B7">
      <w:pPr>
        <w:spacing w:after="0" w:line="360" w:lineRule="auto"/>
        <w:jc w:val="both"/>
        <w:rPr>
          <w:b/>
          <w:i/>
          <w:sz w:val="24"/>
          <w:szCs w:val="24"/>
        </w:rPr>
      </w:pPr>
      <w:r w:rsidRPr="0041708A">
        <w:rPr>
          <w:b/>
          <w:i/>
          <w:sz w:val="24"/>
          <w:szCs w:val="24"/>
        </w:rPr>
        <w:t>PCR genotyping</w:t>
      </w:r>
    </w:p>
    <w:p w:rsidR="00D364CD" w:rsidRPr="00BD4EB6" w:rsidRDefault="00D364CD" w:rsidP="008144B7">
      <w:pPr>
        <w:spacing w:after="0" w:line="360" w:lineRule="auto"/>
        <w:jc w:val="both"/>
        <w:rPr>
          <w:sz w:val="24"/>
          <w:szCs w:val="24"/>
        </w:rPr>
      </w:pPr>
      <w:r w:rsidRPr="00BD4EB6">
        <w:rPr>
          <w:sz w:val="24"/>
          <w:szCs w:val="24"/>
        </w:rPr>
        <w:t xml:space="preserve">For agarose gel-based validation of </w:t>
      </w:r>
      <w:r w:rsidRPr="00BD4EB6">
        <w:rPr>
          <w:i/>
          <w:sz w:val="24"/>
          <w:szCs w:val="24"/>
        </w:rPr>
        <w:t>TaPLDß1</w:t>
      </w:r>
      <w:r w:rsidRPr="00BD4EB6">
        <w:rPr>
          <w:sz w:val="24"/>
          <w:szCs w:val="24"/>
        </w:rPr>
        <w:t xml:space="preserve"> hexas, </w:t>
      </w:r>
      <w:r w:rsidRPr="00BD4EB6">
        <w:rPr>
          <w:i/>
          <w:sz w:val="24"/>
          <w:szCs w:val="24"/>
        </w:rPr>
        <w:t>TaPLDß1</w:t>
      </w:r>
      <w:r w:rsidRPr="00BD4EB6">
        <w:rPr>
          <w:sz w:val="24"/>
          <w:szCs w:val="24"/>
        </w:rPr>
        <w:t xml:space="preserve"> primers designed for the high-throughput probe screen, were combined with primers targeting the wheat gene </w:t>
      </w:r>
      <w:r w:rsidRPr="00BD4EB6">
        <w:rPr>
          <w:i/>
          <w:sz w:val="24"/>
          <w:szCs w:val="24"/>
        </w:rPr>
        <w:t xml:space="preserve">TaNFXL1 </w:t>
      </w:r>
      <w:r w:rsidRPr="00BD4EB6">
        <w:rPr>
          <w:sz w:val="24"/>
          <w:szCs w:val="24"/>
        </w:rPr>
        <w:t>as a control</w:t>
      </w:r>
      <w:r w:rsidRPr="00BD4EB6">
        <w:rPr>
          <w:i/>
          <w:sz w:val="24"/>
          <w:szCs w:val="24"/>
        </w:rPr>
        <w:t xml:space="preserve">. </w:t>
      </w:r>
      <w:r w:rsidRPr="00BD4EB6">
        <w:rPr>
          <w:sz w:val="24"/>
          <w:szCs w:val="24"/>
        </w:rPr>
        <w:t xml:space="preserve">Design of both primer sets is described in </w:t>
      </w:r>
      <w:r w:rsidR="00B668FB">
        <w:rPr>
          <w:sz w:val="24"/>
          <w:szCs w:val="24"/>
        </w:rPr>
        <w:t xml:space="preserve">[16]. </w:t>
      </w:r>
      <w:r w:rsidRPr="00BD4EB6">
        <w:rPr>
          <w:sz w:val="24"/>
          <w:szCs w:val="24"/>
        </w:rPr>
        <w:t xml:space="preserve">Duplex PCR was performed using the conditions described for amplification of </w:t>
      </w:r>
      <w:r w:rsidRPr="00BD4EB6">
        <w:rPr>
          <w:i/>
          <w:sz w:val="24"/>
          <w:szCs w:val="24"/>
        </w:rPr>
        <w:t xml:space="preserve">TaWRKY11 </w:t>
      </w:r>
      <w:r w:rsidRPr="00BD4EB6">
        <w:rPr>
          <w:sz w:val="24"/>
          <w:szCs w:val="24"/>
        </w:rPr>
        <w:t xml:space="preserve">PCR products for CAPS screening, as above. PCR products were visualized on a 1.5% agarose gel stained with </w:t>
      </w:r>
      <w:proofErr w:type="spellStart"/>
      <w:r w:rsidRPr="00BD4EB6">
        <w:rPr>
          <w:sz w:val="24"/>
          <w:szCs w:val="24"/>
        </w:rPr>
        <w:t>GelRed</w:t>
      </w:r>
      <w:proofErr w:type="spellEnd"/>
      <w:r w:rsidRPr="00BD4EB6">
        <w:rPr>
          <w:sz w:val="24"/>
          <w:szCs w:val="24"/>
        </w:rPr>
        <w:t xml:space="preserve"> (</w:t>
      </w:r>
      <w:proofErr w:type="spellStart"/>
      <w:r w:rsidRPr="00BD4EB6">
        <w:rPr>
          <w:sz w:val="24"/>
          <w:szCs w:val="24"/>
        </w:rPr>
        <w:t>Biotium</w:t>
      </w:r>
      <w:proofErr w:type="spellEnd"/>
      <w:r w:rsidRPr="00BD4EB6">
        <w:rPr>
          <w:sz w:val="24"/>
          <w:szCs w:val="24"/>
        </w:rPr>
        <w:t xml:space="preserve">, Inc., Hayward, CA 94545, USA) run at 95V for 65 mins. </w:t>
      </w:r>
    </w:p>
    <w:p w:rsidR="00D364CD" w:rsidRDefault="00D364CD" w:rsidP="008144B7">
      <w:pPr>
        <w:spacing w:after="0"/>
        <w:jc w:val="both"/>
        <w:rPr>
          <w:b/>
          <w:sz w:val="24"/>
          <w:szCs w:val="24"/>
        </w:rPr>
      </w:pPr>
    </w:p>
    <w:p w:rsidR="00B902E9" w:rsidRPr="0041708A" w:rsidRDefault="00B902E9" w:rsidP="008144B7">
      <w:pPr>
        <w:spacing w:after="0" w:line="360" w:lineRule="auto"/>
        <w:jc w:val="both"/>
        <w:rPr>
          <w:b/>
          <w:sz w:val="24"/>
          <w:szCs w:val="24"/>
        </w:rPr>
      </w:pPr>
      <w:r w:rsidRPr="0041708A">
        <w:rPr>
          <w:b/>
          <w:i/>
          <w:sz w:val="24"/>
          <w:szCs w:val="24"/>
        </w:rPr>
        <w:t xml:space="preserve">In </w:t>
      </w:r>
      <w:proofErr w:type="spellStart"/>
      <w:r w:rsidRPr="0041708A">
        <w:rPr>
          <w:b/>
          <w:i/>
          <w:sz w:val="24"/>
          <w:szCs w:val="24"/>
        </w:rPr>
        <w:t>silico</w:t>
      </w:r>
      <w:proofErr w:type="spellEnd"/>
      <w:r w:rsidRPr="0041708A">
        <w:rPr>
          <w:b/>
          <w:sz w:val="24"/>
          <w:szCs w:val="24"/>
        </w:rPr>
        <w:t xml:space="preserve"> assessment of chromosomal location of </w:t>
      </w:r>
      <w:r w:rsidRPr="0041708A">
        <w:rPr>
          <w:b/>
          <w:i/>
          <w:sz w:val="24"/>
          <w:szCs w:val="24"/>
        </w:rPr>
        <w:t>PFT1</w:t>
      </w:r>
      <w:r w:rsidRPr="0041708A">
        <w:rPr>
          <w:b/>
          <w:sz w:val="24"/>
          <w:szCs w:val="24"/>
        </w:rPr>
        <w:t xml:space="preserve"> flanking genes</w:t>
      </w:r>
    </w:p>
    <w:p w:rsidR="00B902E9" w:rsidRPr="00B902E9" w:rsidRDefault="00B902E9" w:rsidP="008144B7">
      <w:pPr>
        <w:spacing w:after="0" w:line="360" w:lineRule="auto"/>
        <w:jc w:val="both"/>
        <w:rPr>
          <w:sz w:val="24"/>
          <w:szCs w:val="24"/>
        </w:rPr>
      </w:pPr>
      <w:r>
        <w:rPr>
          <w:sz w:val="24"/>
          <w:szCs w:val="24"/>
        </w:rPr>
        <w:t xml:space="preserve">As outlined in Results, for genes in the region from 1Mb to 2Mb ‘Up’ of </w:t>
      </w:r>
      <w:r>
        <w:rPr>
          <w:i/>
          <w:sz w:val="24"/>
          <w:szCs w:val="24"/>
        </w:rPr>
        <w:t>BdPFT1</w:t>
      </w:r>
      <w:r>
        <w:rPr>
          <w:sz w:val="24"/>
          <w:szCs w:val="24"/>
        </w:rPr>
        <w:t xml:space="preserve">, </w:t>
      </w:r>
      <w:proofErr w:type="spellStart"/>
      <w:r w:rsidR="008144B7">
        <w:rPr>
          <w:sz w:val="24"/>
          <w:szCs w:val="24"/>
        </w:rPr>
        <w:t>macrosynteny</w:t>
      </w:r>
      <w:proofErr w:type="spellEnd"/>
      <w:r w:rsidR="008144B7">
        <w:rPr>
          <w:sz w:val="24"/>
          <w:szCs w:val="24"/>
        </w:rPr>
        <w:t xml:space="preserve"> appears to have been lost. To assess whether there was a consistent pattern of translocation of these genes, we assessed the chromosomal location of the best match within the CSS for translocated genes in this region, using data from analysis described in Material and Methods. </w:t>
      </w:r>
      <w:r w:rsidR="008144B7">
        <w:rPr>
          <w:sz w:val="24"/>
          <w:szCs w:val="24"/>
        </w:rPr>
        <w:lastRenderedPageBreak/>
        <w:t xml:space="preserve">For </w:t>
      </w:r>
      <w:r w:rsidR="00B40082">
        <w:rPr>
          <w:sz w:val="24"/>
          <w:szCs w:val="24"/>
        </w:rPr>
        <w:t>83</w:t>
      </w:r>
      <w:r w:rsidR="008144B7">
        <w:rPr>
          <w:sz w:val="24"/>
          <w:szCs w:val="24"/>
        </w:rPr>
        <w:t xml:space="preserve"> of the 9</w:t>
      </w:r>
      <w:r w:rsidR="00B40082">
        <w:rPr>
          <w:sz w:val="24"/>
          <w:szCs w:val="24"/>
        </w:rPr>
        <w:t>9</w:t>
      </w:r>
      <w:r w:rsidR="008144B7">
        <w:rPr>
          <w:sz w:val="24"/>
          <w:szCs w:val="24"/>
        </w:rPr>
        <w:t xml:space="preserve"> genes, the best match occurred within the chromosome 4 series. Best matches identified on the A </w:t>
      </w:r>
      <w:proofErr w:type="spellStart"/>
      <w:r w:rsidR="008144B7">
        <w:rPr>
          <w:sz w:val="24"/>
          <w:szCs w:val="24"/>
        </w:rPr>
        <w:t>subgenome</w:t>
      </w:r>
      <w:proofErr w:type="spellEnd"/>
      <w:r w:rsidR="008144B7">
        <w:rPr>
          <w:sz w:val="24"/>
          <w:szCs w:val="24"/>
        </w:rPr>
        <w:t xml:space="preserve"> were predominantly located on chromosome 4AL, while best matches identified on the B and D </w:t>
      </w:r>
      <w:proofErr w:type="spellStart"/>
      <w:r w:rsidR="008144B7">
        <w:rPr>
          <w:sz w:val="24"/>
          <w:szCs w:val="24"/>
        </w:rPr>
        <w:t>subgenomes</w:t>
      </w:r>
      <w:proofErr w:type="spellEnd"/>
      <w:r w:rsidR="008144B7">
        <w:rPr>
          <w:sz w:val="24"/>
          <w:szCs w:val="24"/>
        </w:rPr>
        <w:t xml:space="preserve"> were predominantly located on 4BS and 4DS, respectively. For all genes in this region, we then assessed whether the </w:t>
      </w:r>
      <w:r w:rsidR="00B966F8">
        <w:rPr>
          <w:sz w:val="24"/>
          <w:szCs w:val="24"/>
        </w:rPr>
        <w:t>wheat homoeologues were likely to be identified on 4AL, 4BS and 4DS, using the logic described for our initial analysis of conservation of synteny in th</w:t>
      </w:r>
      <w:r w:rsidR="00B668FB">
        <w:rPr>
          <w:sz w:val="24"/>
          <w:szCs w:val="24"/>
        </w:rPr>
        <w:t xml:space="preserve">e </w:t>
      </w:r>
      <w:r w:rsidR="00B668FB">
        <w:rPr>
          <w:i/>
          <w:sz w:val="24"/>
          <w:szCs w:val="24"/>
        </w:rPr>
        <w:t>TaPFT1</w:t>
      </w:r>
      <w:r w:rsidR="00B966F8">
        <w:rPr>
          <w:sz w:val="24"/>
          <w:szCs w:val="24"/>
        </w:rPr>
        <w:t xml:space="preserve"> region (Material and Methods) implemented using a custom Python script (</w:t>
      </w:r>
      <w:r w:rsidR="00B966F8" w:rsidRPr="00BB3E14">
        <w:rPr>
          <w:sz w:val="24"/>
          <w:szCs w:val="24"/>
        </w:rPr>
        <w:t>PFT1_flank_CSS_hits_s</w:t>
      </w:r>
      <w:r w:rsidR="00B966F8">
        <w:rPr>
          <w:sz w:val="24"/>
          <w:szCs w:val="24"/>
        </w:rPr>
        <w:t>tep4</w:t>
      </w:r>
      <w:r w:rsidR="00B966F8" w:rsidRPr="00BB3E14">
        <w:rPr>
          <w:sz w:val="24"/>
          <w:szCs w:val="24"/>
        </w:rPr>
        <w:t>.py</w:t>
      </w:r>
      <w:r w:rsidR="00B966F8">
        <w:rPr>
          <w:sz w:val="24"/>
          <w:szCs w:val="24"/>
        </w:rPr>
        <w:t xml:space="preserve">). </w:t>
      </w:r>
      <w:r w:rsidR="008144B7">
        <w:rPr>
          <w:sz w:val="24"/>
          <w:szCs w:val="24"/>
        </w:rPr>
        <w:t xml:space="preserve">   </w:t>
      </w:r>
    </w:p>
    <w:p w:rsidR="00B902E9" w:rsidRPr="00BD4EB6" w:rsidRDefault="00B902E9" w:rsidP="008144B7">
      <w:pPr>
        <w:spacing w:after="0"/>
        <w:jc w:val="both"/>
        <w:rPr>
          <w:b/>
          <w:sz w:val="24"/>
          <w:szCs w:val="24"/>
        </w:rPr>
      </w:pPr>
    </w:p>
    <w:p w:rsidR="00B902E9" w:rsidRDefault="00B902E9" w:rsidP="008144B7">
      <w:pPr>
        <w:spacing w:after="0"/>
        <w:jc w:val="both"/>
        <w:rPr>
          <w:b/>
          <w:sz w:val="24"/>
          <w:szCs w:val="24"/>
        </w:rPr>
      </w:pPr>
    </w:p>
    <w:p w:rsidR="00F76E86" w:rsidRPr="00BD4EB6" w:rsidRDefault="00D364CD" w:rsidP="008144B7">
      <w:pPr>
        <w:spacing w:after="0"/>
        <w:jc w:val="both"/>
        <w:rPr>
          <w:b/>
          <w:sz w:val="24"/>
          <w:szCs w:val="24"/>
        </w:rPr>
      </w:pPr>
      <w:r w:rsidRPr="00BD4EB6">
        <w:rPr>
          <w:b/>
          <w:sz w:val="24"/>
          <w:szCs w:val="24"/>
        </w:rPr>
        <w:t xml:space="preserve">Supplementary </w:t>
      </w:r>
      <w:r w:rsidR="00AD639A" w:rsidRPr="00BD4EB6">
        <w:rPr>
          <w:b/>
          <w:sz w:val="24"/>
          <w:szCs w:val="24"/>
        </w:rPr>
        <w:t>Results</w:t>
      </w:r>
    </w:p>
    <w:p w:rsidR="00B966F8" w:rsidRDefault="00B966F8" w:rsidP="008144B7">
      <w:pPr>
        <w:spacing w:after="0" w:line="360" w:lineRule="auto"/>
        <w:jc w:val="both"/>
        <w:rPr>
          <w:b/>
          <w:i/>
          <w:sz w:val="24"/>
          <w:szCs w:val="24"/>
        </w:rPr>
      </w:pPr>
    </w:p>
    <w:p w:rsidR="00560A63" w:rsidRPr="0041708A" w:rsidRDefault="00560A63" w:rsidP="008144B7">
      <w:pPr>
        <w:spacing w:after="0" w:line="360" w:lineRule="auto"/>
        <w:jc w:val="both"/>
        <w:rPr>
          <w:b/>
          <w:sz w:val="24"/>
          <w:szCs w:val="24"/>
        </w:rPr>
      </w:pPr>
      <w:r w:rsidRPr="0041708A">
        <w:rPr>
          <w:b/>
          <w:i/>
          <w:sz w:val="24"/>
          <w:szCs w:val="24"/>
        </w:rPr>
        <w:t xml:space="preserve">In </w:t>
      </w:r>
      <w:proofErr w:type="spellStart"/>
      <w:r w:rsidRPr="0041708A">
        <w:rPr>
          <w:b/>
          <w:i/>
          <w:sz w:val="24"/>
          <w:szCs w:val="24"/>
        </w:rPr>
        <w:t>silico</w:t>
      </w:r>
      <w:proofErr w:type="spellEnd"/>
      <w:r w:rsidRPr="0041708A">
        <w:rPr>
          <w:b/>
          <w:sz w:val="24"/>
          <w:szCs w:val="24"/>
        </w:rPr>
        <w:t xml:space="preserve"> assessment of chromosomal locations of </w:t>
      </w:r>
      <w:r w:rsidRPr="0041708A">
        <w:rPr>
          <w:b/>
          <w:i/>
          <w:sz w:val="24"/>
          <w:szCs w:val="24"/>
        </w:rPr>
        <w:t>TaPFT1</w:t>
      </w:r>
      <w:r w:rsidRPr="0041708A">
        <w:rPr>
          <w:b/>
          <w:sz w:val="24"/>
          <w:szCs w:val="24"/>
        </w:rPr>
        <w:t xml:space="preserve">, </w:t>
      </w:r>
      <w:r w:rsidRPr="0041708A">
        <w:rPr>
          <w:b/>
          <w:i/>
          <w:sz w:val="24"/>
          <w:szCs w:val="24"/>
        </w:rPr>
        <w:t>TaPLD</w:t>
      </w:r>
      <w:r w:rsidRPr="0041708A">
        <w:rPr>
          <w:rFonts w:ascii="Times New Roman" w:hAnsi="Times New Roman" w:cs="Times New Roman"/>
          <w:b/>
          <w:i/>
          <w:sz w:val="24"/>
          <w:szCs w:val="24"/>
        </w:rPr>
        <w:t>ß</w:t>
      </w:r>
      <w:r w:rsidRPr="0041708A">
        <w:rPr>
          <w:b/>
          <w:i/>
          <w:sz w:val="24"/>
          <w:szCs w:val="24"/>
        </w:rPr>
        <w:t>1</w:t>
      </w:r>
      <w:r w:rsidRPr="0041708A">
        <w:rPr>
          <w:b/>
          <w:sz w:val="24"/>
          <w:szCs w:val="24"/>
        </w:rPr>
        <w:t xml:space="preserve">, and </w:t>
      </w:r>
      <w:r w:rsidRPr="0041708A">
        <w:rPr>
          <w:b/>
          <w:i/>
          <w:sz w:val="24"/>
          <w:szCs w:val="24"/>
        </w:rPr>
        <w:t>TaWRKY11</w:t>
      </w:r>
    </w:p>
    <w:p w:rsidR="00560A63" w:rsidRPr="00BD4EB6" w:rsidRDefault="00560A63" w:rsidP="008144B7">
      <w:pPr>
        <w:spacing w:after="0" w:line="360" w:lineRule="auto"/>
        <w:jc w:val="both"/>
        <w:rPr>
          <w:sz w:val="24"/>
          <w:szCs w:val="24"/>
        </w:rPr>
      </w:pPr>
      <w:r w:rsidRPr="00BD4EB6">
        <w:rPr>
          <w:sz w:val="24"/>
          <w:szCs w:val="24"/>
        </w:rPr>
        <w:t xml:space="preserve">Gene sequence of </w:t>
      </w:r>
      <w:r w:rsidRPr="00BD4EB6">
        <w:rPr>
          <w:i/>
          <w:sz w:val="24"/>
          <w:szCs w:val="24"/>
        </w:rPr>
        <w:t>TaPFT1</w:t>
      </w:r>
      <w:r w:rsidRPr="00BD4EB6">
        <w:rPr>
          <w:sz w:val="24"/>
          <w:szCs w:val="24"/>
        </w:rPr>
        <w:t xml:space="preserve">, </w:t>
      </w:r>
      <w:r w:rsidRPr="00BD4EB6">
        <w:rPr>
          <w:i/>
          <w:sz w:val="24"/>
          <w:szCs w:val="24"/>
        </w:rPr>
        <w:t xml:space="preserve">TaPLDß1 </w:t>
      </w:r>
      <w:r w:rsidRPr="00BD4EB6">
        <w:rPr>
          <w:sz w:val="24"/>
          <w:szCs w:val="24"/>
        </w:rPr>
        <w:t xml:space="preserve">and </w:t>
      </w:r>
      <w:r w:rsidRPr="00BD4EB6">
        <w:rPr>
          <w:i/>
          <w:sz w:val="24"/>
          <w:szCs w:val="24"/>
        </w:rPr>
        <w:t xml:space="preserve">TaWRKY11 </w:t>
      </w:r>
      <w:r w:rsidRPr="00BD4EB6">
        <w:rPr>
          <w:sz w:val="24"/>
          <w:szCs w:val="24"/>
        </w:rPr>
        <w:t>used for the design of the high-throughput deletion screening assays was used for a</w:t>
      </w:r>
      <w:r w:rsidR="00801EAE">
        <w:rPr>
          <w:sz w:val="24"/>
          <w:szCs w:val="24"/>
        </w:rPr>
        <w:t xml:space="preserve"> MEGABLAST search</w:t>
      </w:r>
      <w:r w:rsidRPr="00BD4EB6">
        <w:rPr>
          <w:sz w:val="24"/>
          <w:szCs w:val="24"/>
        </w:rPr>
        <w:t xml:space="preserve"> of the CSS, as described in Results. Matches with an E-value of ‘0’, highly likely to be homoeologues or gene duplications, were targeted. Matches to </w:t>
      </w:r>
      <w:r w:rsidRPr="00BD4EB6">
        <w:rPr>
          <w:i/>
          <w:sz w:val="24"/>
          <w:szCs w:val="24"/>
        </w:rPr>
        <w:t xml:space="preserve">TaPFT1 </w:t>
      </w:r>
      <w:r w:rsidRPr="00BD4EB6">
        <w:rPr>
          <w:sz w:val="24"/>
          <w:szCs w:val="24"/>
        </w:rPr>
        <w:t>sequence were identified on the long arms of the three group 5 ch</w:t>
      </w:r>
      <w:r w:rsidR="00712079" w:rsidRPr="00BD4EB6">
        <w:rPr>
          <w:sz w:val="24"/>
          <w:szCs w:val="24"/>
        </w:rPr>
        <w:t>romosomes (</w:t>
      </w:r>
      <w:r w:rsidR="009610BA" w:rsidRPr="00BD4EB6">
        <w:rPr>
          <w:sz w:val="24"/>
          <w:szCs w:val="24"/>
        </w:rPr>
        <w:t xml:space="preserve">Table </w:t>
      </w:r>
      <w:r w:rsidR="005D3AF3">
        <w:rPr>
          <w:sz w:val="24"/>
          <w:szCs w:val="24"/>
        </w:rPr>
        <w:t>S</w:t>
      </w:r>
      <w:r w:rsidR="00B668FB">
        <w:rPr>
          <w:sz w:val="24"/>
          <w:szCs w:val="24"/>
        </w:rPr>
        <w:t>9</w:t>
      </w:r>
      <w:r w:rsidRPr="00BD4EB6">
        <w:rPr>
          <w:sz w:val="24"/>
          <w:szCs w:val="24"/>
        </w:rPr>
        <w:t xml:space="preserve">) and matches to </w:t>
      </w:r>
      <w:r w:rsidRPr="00BD4EB6">
        <w:rPr>
          <w:i/>
          <w:sz w:val="24"/>
          <w:szCs w:val="24"/>
        </w:rPr>
        <w:t>TaPLDß1</w:t>
      </w:r>
      <w:r w:rsidRPr="00BD4EB6">
        <w:rPr>
          <w:sz w:val="24"/>
          <w:szCs w:val="24"/>
        </w:rPr>
        <w:t xml:space="preserve"> were identified on chromosomes on the long </w:t>
      </w:r>
      <w:proofErr w:type="gramStart"/>
      <w:r w:rsidRPr="00BD4EB6">
        <w:rPr>
          <w:sz w:val="24"/>
          <w:szCs w:val="24"/>
        </w:rPr>
        <w:t>arms  of</w:t>
      </w:r>
      <w:proofErr w:type="gramEnd"/>
      <w:r w:rsidRPr="00BD4EB6">
        <w:rPr>
          <w:sz w:val="24"/>
          <w:szCs w:val="24"/>
        </w:rPr>
        <w:t xml:space="preserve"> the three group 1 ch</w:t>
      </w:r>
      <w:r w:rsidR="00712079" w:rsidRPr="00BD4EB6">
        <w:rPr>
          <w:sz w:val="24"/>
          <w:szCs w:val="24"/>
        </w:rPr>
        <w:t>romosomes (</w:t>
      </w:r>
      <w:r w:rsidR="009610BA" w:rsidRPr="00BD4EB6">
        <w:rPr>
          <w:sz w:val="24"/>
          <w:szCs w:val="24"/>
        </w:rPr>
        <w:t xml:space="preserve">Table </w:t>
      </w:r>
      <w:r w:rsidR="005D3AF3">
        <w:rPr>
          <w:sz w:val="24"/>
          <w:szCs w:val="24"/>
        </w:rPr>
        <w:t>S</w:t>
      </w:r>
      <w:r w:rsidR="00B668FB">
        <w:rPr>
          <w:sz w:val="24"/>
          <w:szCs w:val="24"/>
        </w:rPr>
        <w:t>9</w:t>
      </w:r>
      <w:r w:rsidRPr="00BD4EB6">
        <w:rPr>
          <w:sz w:val="24"/>
          <w:szCs w:val="24"/>
        </w:rPr>
        <w:t xml:space="preserve">), consistent with results of screening of </w:t>
      </w:r>
      <w:proofErr w:type="spellStart"/>
      <w:r w:rsidRPr="00BD4EB6">
        <w:rPr>
          <w:sz w:val="24"/>
          <w:szCs w:val="24"/>
        </w:rPr>
        <w:t>nullisomic-tetrasomic</w:t>
      </w:r>
      <w:proofErr w:type="spellEnd"/>
      <w:r w:rsidRPr="00BD4EB6">
        <w:rPr>
          <w:sz w:val="24"/>
          <w:szCs w:val="24"/>
        </w:rPr>
        <w:t xml:space="preserve"> lines using the high-throughput method performed here and in Fitzgerald </w:t>
      </w:r>
      <w:r w:rsidRPr="00BD4EB6">
        <w:rPr>
          <w:i/>
          <w:sz w:val="24"/>
          <w:szCs w:val="24"/>
        </w:rPr>
        <w:t>et al</w:t>
      </w:r>
      <w:r w:rsidRPr="00BD4EB6">
        <w:rPr>
          <w:sz w:val="24"/>
          <w:szCs w:val="24"/>
        </w:rPr>
        <w:t xml:space="preserve">. (2010). Matches to </w:t>
      </w:r>
      <w:r w:rsidRPr="00BD4EB6">
        <w:rPr>
          <w:i/>
          <w:sz w:val="24"/>
          <w:szCs w:val="24"/>
        </w:rPr>
        <w:t xml:space="preserve">TaWRKY11 </w:t>
      </w:r>
      <w:r w:rsidRPr="00BD4EB6">
        <w:rPr>
          <w:sz w:val="24"/>
          <w:szCs w:val="24"/>
        </w:rPr>
        <w:t>were identified on chromosomes 2A</w:t>
      </w:r>
      <w:r w:rsidR="00712079" w:rsidRPr="00BD4EB6">
        <w:rPr>
          <w:sz w:val="24"/>
          <w:szCs w:val="24"/>
        </w:rPr>
        <w:t>L and 2BL (T</w:t>
      </w:r>
      <w:r w:rsidR="009610BA" w:rsidRPr="00BD4EB6">
        <w:rPr>
          <w:sz w:val="24"/>
          <w:szCs w:val="24"/>
        </w:rPr>
        <w:t xml:space="preserve">able </w:t>
      </w:r>
      <w:r w:rsidR="005D3AF3">
        <w:rPr>
          <w:sz w:val="24"/>
          <w:szCs w:val="24"/>
        </w:rPr>
        <w:t>S</w:t>
      </w:r>
      <w:r w:rsidR="00B668FB">
        <w:rPr>
          <w:sz w:val="24"/>
          <w:szCs w:val="24"/>
        </w:rPr>
        <w:t>9</w:t>
      </w:r>
      <w:r w:rsidRPr="00BD4EB6">
        <w:rPr>
          <w:sz w:val="24"/>
          <w:szCs w:val="24"/>
        </w:rPr>
        <w:t xml:space="preserve">). The  corresponding </w:t>
      </w:r>
      <w:r w:rsidRPr="00BD4EB6">
        <w:rPr>
          <w:i/>
          <w:sz w:val="24"/>
          <w:szCs w:val="24"/>
        </w:rPr>
        <w:t>TaWRKY11</w:t>
      </w:r>
      <w:r w:rsidRPr="00BD4EB6">
        <w:rPr>
          <w:sz w:val="24"/>
          <w:szCs w:val="24"/>
        </w:rPr>
        <w:t xml:space="preserve"> sequence was not identified on the 2D chromosome sequence in the CSS, despite screening of </w:t>
      </w:r>
      <w:proofErr w:type="spellStart"/>
      <w:r w:rsidRPr="00BD4EB6">
        <w:rPr>
          <w:sz w:val="24"/>
          <w:szCs w:val="24"/>
        </w:rPr>
        <w:t>nullisomic-tetrasomic</w:t>
      </w:r>
      <w:proofErr w:type="spellEnd"/>
      <w:r w:rsidRPr="00BD4EB6">
        <w:rPr>
          <w:sz w:val="24"/>
          <w:szCs w:val="24"/>
        </w:rPr>
        <w:t xml:space="preserve"> lines suggesting that a homoeologous copy of the gene resides on chromosome 2D. The degree of completeness of the CSS</w:t>
      </w:r>
      <w:r w:rsidR="00DC329F">
        <w:rPr>
          <w:sz w:val="24"/>
          <w:szCs w:val="24"/>
        </w:rPr>
        <w:t xml:space="preserve"> has been estimated at 61% overall [27]; therefore,  although the coverage is likely to be higher for gene regions,  </w:t>
      </w:r>
      <w:r w:rsidRPr="00BD4EB6">
        <w:rPr>
          <w:sz w:val="24"/>
          <w:szCs w:val="24"/>
        </w:rPr>
        <w:t xml:space="preserve"> the most likely explanation for this is that no sequence coverage of the </w:t>
      </w:r>
      <w:r w:rsidRPr="00BD4EB6">
        <w:rPr>
          <w:i/>
          <w:sz w:val="24"/>
          <w:szCs w:val="24"/>
        </w:rPr>
        <w:t>TaWRKY11-D</w:t>
      </w:r>
      <w:r w:rsidRPr="00BD4EB6">
        <w:rPr>
          <w:sz w:val="24"/>
          <w:szCs w:val="24"/>
        </w:rPr>
        <w:t xml:space="preserve"> gene region is present within the CSS. The </w:t>
      </w:r>
      <w:r w:rsidRPr="00BD4EB6">
        <w:rPr>
          <w:i/>
          <w:sz w:val="24"/>
          <w:szCs w:val="24"/>
        </w:rPr>
        <w:t>TaWRKY11</w:t>
      </w:r>
      <w:r w:rsidRPr="00BD4EB6">
        <w:rPr>
          <w:sz w:val="24"/>
          <w:szCs w:val="24"/>
        </w:rPr>
        <w:t xml:space="preserve"> sequence on chromosome 2A possessed sequence identical to the region targeted by the WRKY11prbV</w:t>
      </w:r>
      <w:r w:rsidR="009610BA" w:rsidRPr="00BD4EB6">
        <w:rPr>
          <w:sz w:val="24"/>
          <w:szCs w:val="24"/>
        </w:rPr>
        <w:t xml:space="preserve">IC probe (Figure </w:t>
      </w:r>
      <w:r w:rsidR="005D3AF3">
        <w:rPr>
          <w:sz w:val="24"/>
          <w:szCs w:val="24"/>
        </w:rPr>
        <w:t>S</w:t>
      </w:r>
      <w:r w:rsidR="009610BA" w:rsidRPr="00BD4EB6">
        <w:rPr>
          <w:sz w:val="24"/>
          <w:szCs w:val="24"/>
        </w:rPr>
        <w:t>9</w:t>
      </w:r>
      <w:r w:rsidRPr="00BD4EB6">
        <w:rPr>
          <w:sz w:val="24"/>
          <w:szCs w:val="24"/>
        </w:rPr>
        <w:t xml:space="preserve">), indicating that this probe targeted the </w:t>
      </w:r>
      <w:r w:rsidRPr="00BD4EB6">
        <w:rPr>
          <w:i/>
          <w:sz w:val="24"/>
          <w:szCs w:val="24"/>
        </w:rPr>
        <w:t>TaWRKY11-A</w:t>
      </w:r>
      <w:r w:rsidRPr="00BD4EB6">
        <w:rPr>
          <w:sz w:val="24"/>
          <w:szCs w:val="24"/>
        </w:rPr>
        <w:t xml:space="preserve"> </w:t>
      </w:r>
      <w:proofErr w:type="spellStart"/>
      <w:r w:rsidRPr="00BD4EB6">
        <w:rPr>
          <w:sz w:val="24"/>
          <w:szCs w:val="24"/>
        </w:rPr>
        <w:t>ho</w:t>
      </w:r>
      <w:r w:rsidR="009610BA" w:rsidRPr="00BD4EB6">
        <w:rPr>
          <w:sz w:val="24"/>
          <w:szCs w:val="24"/>
        </w:rPr>
        <w:t>moeologue</w:t>
      </w:r>
      <w:proofErr w:type="spellEnd"/>
      <w:r w:rsidR="009610BA" w:rsidRPr="00BD4EB6">
        <w:rPr>
          <w:sz w:val="24"/>
          <w:szCs w:val="24"/>
        </w:rPr>
        <w:t xml:space="preserve"> (Table </w:t>
      </w:r>
      <w:r w:rsidR="005D3AF3">
        <w:rPr>
          <w:sz w:val="24"/>
          <w:szCs w:val="24"/>
        </w:rPr>
        <w:t>S</w:t>
      </w:r>
      <w:r w:rsidR="009610BA" w:rsidRPr="00BD4EB6">
        <w:rPr>
          <w:sz w:val="24"/>
          <w:szCs w:val="24"/>
        </w:rPr>
        <w:t>3</w:t>
      </w:r>
      <w:r w:rsidRPr="00BD4EB6">
        <w:rPr>
          <w:sz w:val="24"/>
          <w:szCs w:val="24"/>
        </w:rPr>
        <w:t xml:space="preserve">) and complementing results of </w:t>
      </w:r>
      <w:proofErr w:type="spellStart"/>
      <w:r w:rsidRPr="00BD4EB6">
        <w:rPr>
          <w:sz w:val="24"/>
          <w:szCs w:val="24"/>
        </w:rPr>
        <w:t>nullisomic-tetrasomic</w:t>
      </w:r>
      <w:proofErr w:type="spellEnd"/>
      <w:r w:rsidRPr="00BD4EB6">
        <w:rPr>
          <w:sz w:val="24"/>
          <w:szCs w:val="24"/>
        </w:rPr>
        <w:t xml:space="preserve"> screening performed as described above. Furthermore, the </w:t>
      </w:r>
      <w:r w:rsidRPr="00BD4EB6">
        <w:rPr>
          <w:i/>
          <w:sz w:val="24"/>
          <w:szCs w:val="24"/>
        </w:rPr>
        <w:t xml:space="preserve">TaWRKY11 </w:t>
      </w:r>
      <w:r w:rsidRPr="00BD4EB6">
        <w:rPr>
          <w:sz w:val="24"/>
          <w:szCs w:val="24"/>
        </w:rPr>
        <w:t>sequence on chrom</w:t>
      </w:r>
      <w:r w:rsidR="009610BA" w:rsidRPr="00BD4EB6">
        <w:rPr>
          <w:sz w:val="24"/>
          <w:szCs w:val="24"/>
        </w:rPr>
        <w:t xml:space="preserve">osome 2B (Figure </w:t>
      </w:r>
      <w:r w:rsidR="005D3AF3">
        <w:rPr>
          <w:sz w:val="24"/>
          <w:szCs w:val="24"/>
        </w:rPr>
        <w:t>S</w:t>
      </w:r>
      <w:r w:rsidR="009610BA" w:rsidRPr="00BD4EB6">
        <w:rPr>
          <w:sz w:val="24"/>
          <w:szCs w:val="24"/>
        </w:rPr>
        <w:t>9</w:t>
      </w:r>
      <w:r w:rsidRPr="00BD4EB6">
        <w:rPr>
          <w:sz w:val="24"/>
          <w:szCs w:val="24"/>
        </w:rPr>
        <w:t xml:space="preserve">) possessed sequence identical to the regions targeted by the WRKY11prbNED probe, as predicted by </w:t>
      </w:r>
      <w:proofErr w:type="spellStart"/>
      <w:r w:rsidRPr="00BD4EB6">
        <w:rPr>
          <w:sz w:val="24"/>
          <w:szCs w:val="24"/>
        </w:rPr>
        <w:t>nullisomic-tetrasomic</w:t>
      </w:r>
      <w:proofErr w:type="spellEnd"/>
      <w:r w:rsidRPr="00BD4EB6">
        <w:rPr>
          <w:sz w:val="24"/>
          <w:szCs w:val="24"/>
        </w:rPr>
        <w:t xml:space="preserve"> screening. </w:t>
      </w:r>
    </w:p>
    <w:p w:rsidR="008D5B9D" w:rsidRPr="00BD4EB6" w:rsidRDefault="008D5B9D" w:rsidP="008144B7">
      <w:pPr>
        <w:spacing w:after="0" w:line="360" w:lineRule="auto"/>
        <w:jc w:val="both"/>
        <w:rPr>
          <w:b/>
          <w:sz w:val="24"/>
          <w:szCs w:val="24"/>
        </w:rPr>
      </w:pPr>
    </w:p>
    <w:p w:rsidR="00AD639A" w:rsidRPr="00403227" w:rsidRDefault="00AD639A" w:rsidP="008144B7">
      <w:pPr>
        <w:spacing w:after="0" w:line="360" w:lineRule="auto"/>
        <w:jc w:val="both"/>
        <w:rPr>
          <w:b/>
          <w:i/>
          <w:sz w:val="24"/>
          <w:szCs w:val="24"/>
        </w:rPr>
      </w:pPr>
      <w:r w:rsidRPr="00403227">
        <w:rPr>
          <w:b/>
          <w:i/>
          <w:sz w:val="24"/>
          <w:szCs w:val="24"/>
        </w:rPr>
        <w:t>Gel-based validation of tetras and hexas</w:t>
      </w:r>
    </w:p>
    <w:p w:rsidR="00AD639A" w:rsidRDefault="001E046A" w:rsidP="008144B7">
      <w:pPr>
        <w:spacing w:after="0" w:line="360" w:lineRule="auto"/>
        <w:jc w:val="both"/>
        <w:rPr>
          <w:sz w:val="24"/>
          <w:szCs w:val="24"/>
        </w:rPr>
      </w:pPr>
      <w:r>
        <w:rPr>
          <w:sz w:val="24"/>
          <w:szCs w:val="24"/>
        </w:rPr>
        <w:t xml:space="preserve">A subset of </w:t>
      </w:r>
      <w:r>
        <w:rPr>
          <w:i/>
          <w:sz w:val="24"/>
          <w:szCs w:val="24"/>
        </w:rPr>
        <w:t xml:space="preserve">TaPFT1 </w:t>
      </w:r>
      <w:r>
        <w:rPr>
          <w:sz w:val="24"/>
          <w:szCs w:val="24"/>
        </w:rPr>
        <w:t xml:space="preserve">and </w:t>
      </w:r>
      <w:r>
        <w:rPr>
          <w:i/>
          <w:sz w:val="24"/>
          <w:szCs w:val="24"/>
        </w:rPr>
        <w:t xml:space="preserve">TaWRKY11 </w:t>
      </w:r>
      <w:r>
        <w:rPr>
          <w:sz w:val="24"/>
          <w:szCs w:val="24"/>
        </w:rPr>
        <w:t xml:space="preserve">tetras confirmed using the probe screening method were validated independently using agarose gel-based CAPS screening. </w:t>
      </w:r>
      <w:r w:rsidR="00AD639A" w:rsidRPr="00BD4EB6">
        <w:rPr>
          <w:sz w:val="24"/>
          <w:szCs w:val="24"/>
        </w:rPr>
        <w:t xml:space="preserve">For validation of the genotype of </w:t>
      </w:r>
      <w:r w:rsidR="00AD639A" w:rsidRPr="00BD4EB6">
        <w:rPr>
          <w:i/>
          <w:sz w:val="24"/>
          <w:szCs w:val="24"/>
        </w:rPr>
        <w:t>TaPFT1</w:t>
      </w:r>
      <w:r w:rsidR="00AD639A" w:rsidRPr="00BD4EB6">
        <w:rPr>
          <w:sz w:val="24"/>
          <w:szCs w:val="24"/>
        </w:rPr>
        <w:t xml:space="preserve"> tetras identified using the high-throughput probe-based method, the homoeologue-specific CAPS screen described </w:t>
      </w:r>
      <w:r w:rsidR="00B668FB">
        <w:rPr>
          <w:sz w:val="24"/>
          <w:szCs w:val="24"/>
        </w:rPr>
        <w:t xml:space="preserve">in [16] </w:t>
      </w:r>
      <w:r w:rsidR="00AD639A" w:rsidRPr="00BD4EB6">
        <w:rPr>
          <w:sz w:val="24"/>
          <w:szCs w:val="24"/>
        </w:rPr>
        <w:t>was used (e.g. Figure</w:t>
      </w:r>
      <w:r w:rsidR="00785195" w:rsidRPr="00BD4EB6">
        <w:rPr>
          <w:sz w:val="24"/>
          <w:szCs w:val="24"/>
        </w:rPr>
        <w:t xml:space="preserve"> </w:t>
      </w:r>
      <w:r w:rsidR="005D3AF3">
        <w:rPr>
          <w:sz w:val="24"/>
          <w:szCs w:val="24"/>
        </w:rPr>
        <w:t>S</w:t>
      </w:r>
      <w:r w:rsidR="00785195" w:rsidRPr="00BD4EB6">
        <w:rPr>
          <w:sz w:val="24"/>
          <w:szCs w:val="24"/>
        </w:rPr>
        <w:t>10</w:t>
      </w:r>
      <w:r w:rsidR="00AD639A" w:rsidRPr="00BD4EB6">
        <w:rPr>
          <w:sz w:val="24"/>
          <w:szCs w:val="24"/>
        </w:rPr>
        <w:t xml:space="preserve">). In all cases, tetras identified by the high-throughput method and confirmed at F3 stage were confirmed using the CAPS method. For validation of </w:t>
      </w:r>
      <w:r w:rsidR="00AD639A" w:rsidRPr="00BD4EB6">
        <w:rPr>
          <w:i/>
          <w:sz w:val="24"/>
          <w:szCs w:val="24"/>
        </w:rPr>
        <w:t>TaWRKY11</w:t>
      </w:r>
      <w:r w:rsidR="00AD639A" w:rsidRPr="00BD4EB6">
        <w:rPr>
          <w:sz w:val="24"/>
          <w:szCs w:val="24"/>
        </w:rPr>
        <w:t xml:space="preserve"> tetras, a </w:t>
      </w:r>
      <w:r w:rsidR="00AD639A" w:rsidRPr="00BD4EB6">
        <w:rPr>
          <w:i/>
          <w:sz w:val="24"/>
          <w:szCs w:val="24"/>
        </w:rPr>
        <w:t xml:space="preserve">TaWRKY11 </w:t>
      </w:r>
      <w:r w:rsidR="00AD639A" w:rsidRPr="00BD4EB6">
        <w:rPr>
          <w:sz w:val="24"/>
          <w:szCs w:val="24"/>
        </w:rPr>
        <w:t>homoeologue-specific CAPS screen was designed (</w:t>
      </w:r>
      <w:r w:rsidR="00A83E3B">
        <w:rPr>
          <w:sz w:val="24"/>
          <w:szCs w:val="24"/>
        </w:rPr>
        <w:t xml:space="preserve">Supplementary </w:t>
      </w:r>
      <w:r w:rsidR="00AD639A" w:rsidRPr="00BD4EB6">
        <w:rPr>
          <w:sz w:val="24"/>
          <w:szCs w:val="24"/>
        </w:rPr>
        <w:t>Materials and Methods</w:t>
      </w:r>
      <w:r w:rsidR="005D3AF3">
        <w:rPr>
          <w:sz w:val="24"/>
          <w:szCs w:val="24"/>
        </w:rPr>
        <w:t>, above</w:t>
      </w:r>
      <w:r w:rsidR="00AD639A" w:rsidRPr="00BD4EB6">
        <w:rPr>
          <w:sz w:val="24"/>
          <w:szCs w:val="24"/>
        </w:rPr>
        <w:t xml:space="preserve">). As for </w:t>
      </w:r>
      <w:r w:rsidR="00AD639A" w:rsidRPr="00BD4EB6">
        <w:rPr>
          <w:i/>
          <w:sz w:val="24"/>
          <w:szCs w:val="24"/>
        </w:rPr>
        <w:t>TaPFT1</w:t>
      </w:r>
      <w:r w:rsidR="00AD639A" w:rsidRPr="00BD4EB6">
        <w:rPr>
          <w:sz w:val="24"/>
          <w:szCs w:val="24"/>
        </w:rPr>
        <w:t xml:space="preserve">, in all cases, </w:t>
      </w:r>
      <w:r w:rsidR="00AD639A" w:rsidRPr="00BD4EB6">
        <w:rPr>
          <w:i/>
          <w:sz w:val="24"/>
          <w:szCs w:val="24"/>
        </w:rPr>
        <w:t xml:space="preserve">TaWRKY11 </w:t>
      </w:r>
      <w:r w:rsidR="00AD639A" w:rsidRPr="00BD4EB6">
        <w:rPr>
          <w:sz w:val="24"/>
          <w:szCs w:val="24"/>
        </w:rPr>
        <w:t>tetras identified by the high-throughput method and confirmed at F3 stage were also confirmed using the CAPS method (e.g. Figure</w:t>
      </w:r>
      <w:r w:rsidR="00785195" w:rsidRPr="00BD4EB6">
        <w:rPr>
          <w:sz w:val="24"/>
          <w:szCs w:val="24"/>
        </w:rPr>
        <w:t xml:space="preserve"> </w:t>
      </w:r>
      <w:r w:rsidR="005D3AF3">
        <w:rPr>
          <w:sz w:val="24"/>
          <w:szCs w:val="24"/>
        </w:rPr>
        <w:t>S</w:t>
      </w:r>
      <w:r w:rsidR="00785195" w:rsidRPr="00BD4EB6">
        <w:rPr>
          <w:sz w:val="24"/>
          <w:szCs w:val="24"/>
        </w:rPr>
        <w:t>10</w:t>
      </w:r>
      <w:r w:rsidR="00AD639A" w:rsidRPr="00BD4EB6">
        <w:rPr>
          <w:sz w:val="24"/>
          <w:szCs w:val="24"/>
        </w:rPr>
        <w:t xml:space="preserve">). For independent validation of </w:t>
      </w:r>
      <w:r>
        <w:rPr>
          <w:sz w:val="24"/>
          <w:szCs w:val="24"/>
        </w:rPr>
        <w:t xml:space="preserve">all </w:t>
      </w:r>
      <w:r w:rsidR="00AD639A" w:rsidRPr="00BD4EB6">
        <w:rPr>
          <w:i/>
          <w:sz w:val="24"/>
          <w:szCs w:val="24"/>
        </w:rPr>
        <w:t>TaPLDB1</w:t>
      </w:r>
      <w:r w:rsidR="00AD639A" w:rsidRPr="00BD4EB6">
        <w:rPr>
          <w:sz w:val="24"/>
          <w:szCs w:val="24"/>
        </w:rPr>
        <w:t xml:space="preserve"> hexas, a duplex PCR incorporating primers targeting all homoeologues of </w:t>
      </w:r>
      <w:r w:rsidR="00AD639A" w:rsidRPr="00BD4EB6">
        <w:rPr>
          <w:i/>
          <w:sz w:val="24"/>
          <w:szCs w:val="24"/>
        </w:rPr>
        <w:t xml:space="preserve">TaPLDß1 </w:t>
      </w:r>
      <w:r w:rsidR="00AD639A" w:rsidRPr="00BD4EB6">
        <w:rPr>
          <w:sz w:val="24"/>
          <w:szCs w:val="24"/>
        </w:rPr>
        <w:t>and control primers was used (</w:t>
      </w:r>
      <w:r w:rsidR="00A83E3B">
        <w:rPr>
          <w:sz w:val="24"/>
          <w:szCs w:val="24"/>
        </w:rPr>
        <w:t xml:space="preserve">Supplementary </w:t>
      </w:r>
      <w:r w:rsidR="00AD639A" w:rsidRPr="00BD4EB6">
        <w:rPr>
          <w:sz w:val="24"/>
          <w:szCs w:val="24"/>
        </w:rPr>
        <w:t>Materials and Methods</w:t>
      </w:r>
      <w:r w:rsidR="005D3AF3">
        <w:rPr>
          <w:sz w:val="24"/>
          <w:szCs w:val="24"/>
        </w:rPr>
        <w:t>, above</w:t>
      </w:r>
      <w:r w:rsidR="00AD639A" w:rsidRPr="00BD4EB6">
        <w:rPr>
          <w:sz w:val="24"/>
          <w:szCs w:val="24"/>
        </w:rPr>
        <w:t xml:space="preserve">). For one line identified as a </w:t>
      </w:r>
      <w:proofErr w:type="spellStart"/>
      <w:r w:rsidR="00AD639A" w:rsidRPr="00BD4EB6">
        <w:rPr>
          <w:sz w:val="24"/>
          <w:szCs w:val="24"/>
        </w:rPr>
        <w:t>hexa</w:t>
      </w:r>
      <w:proofErr w:type="spellEnd"/>
      <w:r w:rsidR="00AD639A" w:rsidRPr="00BD4EB6">
        <w:rPr>
          <w:sz w:val="24"/>
          <w:szCs w:val="24"/>
        </w:rPr>
        <w:t xml:space="preserve"> using the high-throughput screen, the presence of at least one </w:t>
      </w:r>
      <w:r w:rsidR="00AD639A" w:rsidRPr="00BD4EB6">
        <w:rPr>
          <w:i/>
          <w:sz w:val="24"/>
          <w:szCs w:val="24"/>
        </w:rPr>
        <w:t>TaPLDß1</w:t>
      </w:r>
      <w:r w:rsidR="00AD639A" w:rsidRPr="00BD4EB6">
        <w:rPr>
          <w:sz w:val="24"/>
          <w:szCs w:val="24"/>
        </w:rPr>
        <w:t xml:space="preserve"> homoeologue was indicated by the duplex PCR. In all other cases, the gel-based screen confirmed the </w:t>
      </w:r>
      <w:proofErr w:type="spellStart"/>
      <w:r w:rsidR="00AD639A" w:rsidRPr="00BD4EB6">
        <w:rPr>
          <w:sz w:val="24"/>
          <w:szCs w:val="24"/>
        </w:rPr>
        <w:t>hexa</w:t>
      </w:r>
      <w:proofErr w:type="spellEnd"/>
      <w:r w:rsidR="00AD639A" w:rsidRPr="00BD4EB6">
        <w:rPr>
          <w:sz w:val="24"/>
          <w:szCs w:val="24"/>
        </w:rPr>
        <w:t xml:space="preserve"> status of these lines (e.g. Figure</w:t>
      </w:r>
      <w:r w:rsidR="00785195" w:rsidRPr="00BD4EB6">
        <w:rPr>
          <w:sz w:val="24"/>
          <w:szCs w:val="24"/>
        </w:rPr>
        <w:t xml:space="preserve"> </w:t>
      </w:r>
      <w:r w:rsidR="005D3AF3">
        <w:rPr>
          <w:sz w:val="24"/>
          <w:szCs w:val="24"/>
        </w:rPr>
        <w:t>S</w:t>
      </w:r>
      <w:r w:rsidR="00785195" w:rsidRPr="00BD4EB6">
        <w:rPr>
          <w:sz w:val="24"/>
          <w:szCs w:val="24"/>
        </w:rPr>
        <w:t>10</w:t>
      </w:r>
      <w:r w:rsidR="00AD639A" w:rsidRPr="00BD4EB6">
        <w:rPr>
          <w:sz w:val="24"/>
          <w:szCs w:val="24"/>
        </w:rPr>
        <w:t>).</w:t>
      </w:r>
      <w:r w:rsidR="00AD639A" w:rsidRPr="009F303C">
        <w:rPr>
          <w:sz w:val="24"/>
          <w:szCs w:val="24"/>
        </w:rPr>
        <w:t xml:space="preserve">  </w:t>
      </w:r>
    </w:p>
    <w:p w:rsidR="00B966F8" w:rsidRDefault="00B966F8" w:rsidP="008144B7">
      <w:pPr>
        <w:spacing w:after="0" w:line="360" w:lineRule="auto"/>
        <w:jc w:val="both"/>
        <w:rPr>
          <w:sz w:val="24"/>
          <w:szCs w:val="24"/>
        </w:rPr>
      </w:pPr>
    </w:p>
    <w:p w:rsidR="00B966F8" w:rsidRPr="00403227" w:rsidRDefault="00B966F8" w:rsidP="00B966F8">
      <w:pPr>
        <w:spacing w:after="0" w:line="360" w:lineRule="auto"/>
        <w:jc w:val="both"/>
        <w:rPr>
          <w:b/>
          <w:i/>
          <w:sz w:val="24"/>
          <w:szCs w:val="24"/>
        </w:rPr>
      </w:pPr>
      <w:r w:rsidRPr="00403227">
        <w:rPr>
          <w:b/>
          <w:sz w:val="24"/>
          <w:szCs w:val="24"/>
        </w:rPr>
        <w:t xml:space="preserve">In </w:t>
      </w:r>
      <w:proofErr w:type="spellStart"/>
      <w:r w:rsidRPr="00403227">
        <w:rPr>
          <w:b/>
          <w:sz w:val="24"/>
          <w:szCs w:val="24"/>
        </w:rPr>
        <w:t>silico</w:t>
      </w:r>
      <w:proofErr w:type="spellEnd"/>
      <w:r w:rsidRPr="00403227">
        <w:rPr>
          <w:b/>
          <w:i/>
          <w:sz w:val="24"/>
          <w:szCs w:val="24"/>
        </w:rPr>
        <w:t xml:space="preserve"> assessment of chromosomal location of </w:t>
      </w:r>
      <w:bookmarkStart w:id="0" w:name="_GoBack"/>
      <w:r w:rsidRPr="00403227">
        <w:rPr>
          <w:b/>
          <w:sz w:val="24"/>
          <w:szCs w:val="24"/>
        </w:rPr>
        <w:t xml:space="preserve">PFT1 </w:t>
      </w:r>
      <w:bookmarkEnd w:id="0"/>
      <w:r w:rsidRPr="00403227">
        <w:rPr>
          <w:b/>
          <w:i/>
          <w:sz w:val="24"/>
          <w:szCs w:val="24"/>
        </w:rPr>
        <w:t>flanking genes</w:t>
      </w:r>
    </w:p>
    <w:p w:rsidR="00B966F8" w:rsidRPr="00B966F8" w:rsidRDefault="00B966F8" w:rsidP="008144B7">
      <w:pPr>
        <w:spacing w:after="0" w:line="360" w:lineRule="auto"/>
        <w:jc w:val="both"/>
        <w:rPr>
          <w:sz w:val="24"/>
          <w:szCs w:val="24"/>
        </w:rPr>
      </w:pPr>
      <w:r>
        <w:rPr>
          <w:sz w:val="24"/>
          <w:szCs w:val="24"/>
        </w:rPr>
        <w:t xml:space="preserve">For the region from 1Mb to 2Mb up from </w:t>
      </w:r>
      <w:r>
        <w:rPr>
          <w:i/>
          <w:sz w:val="24"/>
          <w:szCs w:val="24"/>
        </w:rPr>
        <w:t>BdPFT1</w:t>
      </w:r>
      <w:r>
        <w:rPr>
          <w:sz w:val="24"/>
          <w:szCs w:val="24"/>
        </w:rPr>
        <w:t xml:space="preserve">, </w:t>
      </w:r>
      <w:proofErr w:type="spellStart"/>
      <w:r>
        <w:rPr>
          <w:sz w:val="24"/>
          <w:szCs w:val="24"/>
        </w:rPr>
        <w:t>macrosynteny</w:t>
      </w:r>
      <w:proofErr w:type="spellEnd"/>
      <w:r>
        <w:rPr>
          <w:sz w:val="24"/>
          <w:szCs w:val="24"/>
        </w:rPr>
        <w:t xml:space="preserve"> appears to have been lost between wheat and Brachypodium. For most genes in this region, the best match </w:t>
      </w:r>
      <w:r w:rsidR="000B0573">
        <w:rPr>
          <w:sz w:val="24"/>
          <w:szCs w:val="24"/>
        </w:rPr>
        <w:t>within the CSS was identified within the chromosome 4 series, on 4AL, 4BS, or 4DS. Therefore, we assessed whether a putative homoeologue was present on 4AL, 4BS, and 4DS for all translocated genes within this region (Supplementary Materials and Methods</w:t>
      </w:r>
      <w:r w:rsidR="005D3AF3">
        <w:rPr>
          <w:sz w:val="24"/>
          <w:szCs w:val="24"/>
        </w:rPr>
        <w:t>, above</w:t>
      </w:r>
      <w:r w:rsidR="000B0573">
        <w:rPr>
          <w:sz w:val="24"/>
          <w:szCs w:val="24"/>
        </w:rPr>
        <w:t xml:space="preserve">). As outlined in </w:t>
      </w:r>
      <w:r w:rsidR="00FD498A">
        <w:rPr>
          <w:sz w:val="24"/>
          <w:szCs w:val="24"/>
        </w:rPr>
        <w:t>File S6</w:t>
      </w:r>
      <w:r w:rsidR="000B0573">
        <w:rPr>
          <w:sz w:val="24"/>
          <w:szCs w:val="24"/>
        </w:rPr>
        <w:t xml:space="preserve">, for the majority of genes this was found to be the case. </w:t>
      </w:r>
    </w:p>
    <w:p w:rsidR="00B902E9" w:rsidRDefault="00B902E9" w:rsidP="008144B7">
      <w:pPr>
        <w:spacing w:after="0" w:line="360" w:lineRule="auto"/>
        <w:jc w:val="both"/>
        <w:rPr>
          <w:sz w:val="24"/>
          <w:szCs w:val="24"/>
        </w:rPr>
      </w:pPr>
    </w:p>
    <w:p w:rsidR="00B902E9" w:rsidRDefault="00B902E9" w:rsidP="008144B7">
      <w:pPr>
        <w:spacing w:after="0" w:line="360" w:lineRule="auto"/>
        <w:jc w:val="both"/>
      </w:pPr>
    </w:p>
    <w:p w:rsidR="008144B7" w:rsidRDefault="008144B7">
      <w:pPr>
        <w:spacing w:after="0" w:line="360" w:lineRule="auto"/>
        <w:jc w:val="both"/>
      </w:pPr>
    </w:p>
    <w:sectPr w:rsidR="008144B7" w:rsidSect="00F76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9A"/>
    <w:rsid w:val="00026B50"/>
    <w:rsid w:val="000B0573"/>
    <w:rsid w:val="000D7A2A"/>
    <w:rsid w:val="001A379A"/>
    <w:rsid w:val="001B0B06"/>
    <w:rsid w:val="001B1C83"/>
    <w:rsid w:val="001D2D4A"/>
    <w:rsid w:val="001E046A"/>
    <w:rsid w:val="001F7673"/>
    <w:rsid w:val="002B06B0"/>
    <w:rsid w:val="002E2C6F"/>
    <w:rsid w:val="0033565C"/>
    <w:rsid w:val="00403227"/>
    <w:rsid w:val="0041708A"/>
    <w:rsid w:val="0045591A"/>
    <w:rsid w:val="00464E4F"/>
    <w:rsid w:val="00560A63"/>
    <w:rsid w:val="005C3803"/>
    <w:rsid w:val="005D3AF3"/>
    <w:rsid w:val="006C6A5E"/>
    <w:rsid w:val="00712079"/>
    <w:rsid w:val="00715079"/>
    <w:rsid w:val="00743D20"/>
    <w:rsid w:val="007724FE"/>
    <w:rsid w:val="00785195"/>
    <w:rsid w:val="007852CC"/>
    <w:rsid w:val="00785E47"/>
    <w:rsid w:val="00801EAE"/>
    <w:rsid w:val="008144B7"/>
    <w:rsid w:val="00834720"/>
    <w:rsid w:val="008C7DEE"/>
    <w:rsid w:val="008D5B9D"/>
    <w:rsid w:val="008E1BC9"/>
    <w:rsid w:val="009610BA"/>
    <w:rsid w:val="00A009A7"/>
    <w:rsid w:val="00A04ED9"/>
    <w:rsid w:val="00A67E77"/>
    <w:rsid w:val="00A76628"/>
    <w:rsid w:val="00A83E3B"/>
    <w:rsid w:val="00AC35D1"/>
    <w:rsid w:val="00AD639A"/>
    <w:rsid w:val="00B40082"/>
    <w:rsid w:val="00B668FB"/>
    <w:rsid w:val="00B902E9"/>
    <w:rsid w:val="00B966F8"/>
    <w:rsid w:val="00BD4EB6"/>
    <w:rsid w:val="00CD16C1"/>
    <w:rsid w:val="00CF2D41"/>
    <w:rsid w:val="00D238E6"/>
    <w:rsid w:val="00D364CD"/>
    <w:rsid w:val="00D66D71"/>
    <w:rsid w:val="00DA035C"/>
    <w:rsid w:val="00DB4710"/>
    <w:rsid w:val="00DC329F"/>
    <w:rsid w:val="00DF4F7A"/>
    <w:rsid w:val="00EB4172"/>
    <w:rsid w:val="00F76E86"/>
    <w:rsid w:val="00F95897"/>
    <w:rsid w:val="00FB7685"/>
    <w:rsid w:val="00FD498A"/>
    <w:rsid w:val="00FE7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6C1B-D9CC-45F6-887C-6240A9C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64CD"/>
    <w:rPr>
      <w:color w:val="0000FF"/>
      <w:u w:val="single"/>
    </w:rPr>
  </w:style>
  <w:style w:type="character" w:styleId="CommentReference">
    <w:name w:val="annotation reference"/>
    <w:basedOn w:val="DefaultParagraphFont"/>
    <w:rsid w:val="00D238E6"/>
    <w:rPr>
      <w:sz w:val="16"/>
      <w:szCs w:val="16"/>
    </w:rPr>
  </w:style>
  <w:style w:type="paragraph" w:styleId="CommentText">
    <w:name w:val="annotation text"/>
    <w:basedOn w:val="Normal"/>
    <w:link w:val="CommentTextChar"/>
    <w:rsid w:val="00D238E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D238E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2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grc.ipk-gatersleben.de/snp2caps/" TargetMode="External"/><Relationship Id="rId4" Type="http://schemas.openxmlformats.org/officeDocument/2006/relationships/hyperlink" Target="http://bioinfo.ut.ee/primer3-0.4.0/primer3/inp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Tim (PI, St. Lucia)</dc:creator>
  <cp:lastModifiedBy>Tim Fitzgerald</cp:lastModifiedBy>
  <cp:revision>5</cp:revision>
  <dcterms:created xsi:type="dcterms:W3CDTF">2014-12-03T11:23:00Z</dcterms:created>
  <dcterms:modified xsi:type="dcterms:W3CDTF">2015-01-08T21:45:00Z</dcterms:modified>
</cp:coreProperties>
</file>