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23E" w:rsidRDefault="00690EEC">
      <w:r w:rsidRPr="00690EEC">
        <w:rPr>
          <w:rFonts w:ascii="Arial" w:hAnsi="Arial" w:cs="Arial"/>
          <w:noProof/>
          <w:lang w:eastAsia="de-DE"/>
        </w:rPr>
        <w:drawing>
          <wp:inline distT="0" distB="0" distL="0" distR="0" wp14:anchorId="64617B2C" wp14:editId="0ABF3967">
            <wp:extent cx="5238750" cy="3333750"/>
            <wp:effectExtent l="0" t="0" r="19050" b="19050"/>
            <wp:docPr id="12" name="Diagramm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90EEC" w:rsidRDefault="00690EEC">
      <w:bookmarkStart w:id="0" w:name="_GoBack"/>
      <w:bookmarkEnd w:id="0"/>
    </w:p>
    <w:sectPr w:rsidR="00690E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EEC"/>
    <w:rsid w:val="0048023E"/>
    <w:rsid w:val="00690EEC"/>
    <w:rsid w:val="006C79EF"/>
    <w:rsid w:val="008409E6"/>
    <w:rsid w:val="00937958"/>
    <w:rsid w:val="00C50863"/>
    <w:rsid w:val="00F2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Arial" panose="020B0604020202020204" pitchFamily="34" charset="0"/>
                <a:cs typeface="Arial" panose="020B0604020202020204" pitchFamily="34" charset="0"/>
              </a:defRPr>
            </a:pPr>
            <a:r>
              <a:rPr lang="en-US">
                <a:latin typeface="Arial" panose="020B0604020202020204" pitchFamily="34" charset="0"/>
                <a:cs typeface="Arial" panose="020B0604020202020204" pitchFamily="34" charset="0"/>
              </a:rPr>
              <a:t>Centrifugation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with EMA</c:v>
          </c:tx>
          <c:spPr>
            <a:ln w="28575">
              <a:noFill/>
            </a:ln>
          </c:spPr>
          <c:marker>
            <c:spPr>
              <a:solidFill>
                <a:srgbClr val="C00000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6.2334526366022429E-2"/>
                  <c:y val="0.29805104789199499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 = 0.8149x + 0.8601
R² = 0.8663</a:t>
                    </a:r>
                    <a:endParaRPr lang="en-US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  <c:spPr>
                <a:solidFill>
                  <a:schemeClr val="accent2"/>
                </a:solidFill>
              </c:spPr>
            </c:trendlineLbl>
          </c:trendline>
          <c:xVal>
            <c:numRef>
              <c:f>(Tabelle1!$F$8:$F$13;Tabelle1!$O$8:$O$13;Tabelle1!$X$8:$X$13)</c:f>
              <c:numCache>
                <c:formatCode>General</c:formatCode>
                <c:ptCount val="18"/>
                <c:pt idx="0">
                  <c:v>6.1335389083702179</c:v>
                </c:pt>
                <c:pt idx="1">
                  <c:v>5.1335389083702179</c:v>
                </c:pt>
                <c:pt idx="2">
                  <c:v>4.1335389083702179</c:v>
                </c:pt>
                <c:pt idx="3">
                  <c:v>3.1335389083702174</c:v>
                </c:pt>
                <c:pt idx="4">
                  <c:v>2.1335389083702174</c:v>
                </c:pt>
                <c:pt idx="5">
                  <c:v>1.1335389083702174</c:v>
                </c:pt>
                <c:pt idx="6">
                  <c:v>5.5611013836490564</c:v>
                </c:pt>
                <c:pt idx="7">
                  <c:v>4.5611013836490564</c:v>
                </c:pt>
                <c:pt idx="8">
                  <c:v>3.5611013836490559</c:v>
                </c:pt>
                <c:pt idx="9">
                  <c:v>2.5611013836490559</c:v>
                </c:pt>
                <c:pt idx="10">
                  <c:v>1.5611013836490559</c:v>
                </c:pt>
                <c:pt idx="11">
                  <c:v>0.56110138364905604</c:v>
                </c:pt>
                <c:pt idx="12">
                  <c:v>6.4409090820652173</c:v>
                </c:pt>
                <c:pt idx="13">
                  <c:v>5.4409090820652173</c:v>
                </c:pt>
                <c:pt idx="14">
                  <c:v>4.4409090820652173</c:v>
                </c:pt>
                <c:pt idx="15">
                  <c:v>3.4409090820652177</c:v>
                </c:pt>
                <c:pt idx="16">
                  <c:v>2.4409090820652177</c:v>
                </c:pt>
                <c:pt idx="17">
                  <c:v>1.4409090820652177</c:v>
                </c:pt>
              </c:numCache>
            </c:numRef>
          </c:xVal>
          <c:yVal>
            <c:numRef>
              <c:f>(Tabelle1!$D$8:$D$13;Tabelle1!$M$8:$M$13;Tabelle1!$V$8:$V$13)</c:f>
              <c:numCache>
                <c:formatCode>General</c:formatCode>
                <c:ptCount val="18"/>
                <c:pt idx="0">
                  <c:v>6.1398790864012369</c:v>
                </c:pt>
                <c:pt idx="1">
                  <c:v>5.1205739312058496</c:v>
                </c:pt>
                <c:pt idx="2">
                  <c:v>4.238046103128795</c:v>
                </c:pt>
                <c:pt idx="3">
                  <c:v>2.8656960599160706</c:v>
                </c:pt>
                <c:pt idx="4">
                  <c:v>2.3765769570565118</c:v>
                </c:pt>
                <c:pt idx="5">
                  <c:v>2.0293837776852097</c:v>
                </c:pt>
                <c:pt idx="6">
                  <c:v>6.2304489213782741</c:v>
                </c:pt>
                <c:pt idx="7">
                  <c:v>5.2405492482825995</c:v>
                </c:pt>
                <c:pt idx="8">
                  <c:v>4.0453229787866576</c:v>
                </c:pt>
                <c:pt idx="9">
                  <c:v>2.2764618041732443</c:v>
                </c:pt>
                <c:pt idx="10">
                  <c:v>2.6766936096248664</c:v>
                </c:pt>
                <c:pt idx="11">
                  <c:v>2.5276299008713385</c:v>
                </c:pt>
                <c:pt idx="12">
                  <c:v>5.924279286061882</c:v>
                </c:pt>
                <c:pt idx="13">
                  <c:v>4.9666109866819346</c:v>
                </c:pt>
                <c:pt idx="14">
                  <c:v>4.1903316981702918</c:v>
                </c:pt>
                <c:pt idx="15">
                  <c:v>3.3031960574204891</c:v>
                </c:pt>
                <c:pt idx="16">
                  <c:v>1.8149131812750738</c:v>
                </c:pt>
                <c:pt idx="17">
                  <c:v>1.515873843711679</c:v>
                </c:pt>
              </c:numCache>
            </c:numRef>
          </c:yVal>
          <c:smooth val="0"/>
        </c:ser>
        <c:ser>
          <c:idx val="1"/>
          <c:order val="1"/>
          <c:tx>
            <c:v>without EMA</c:v>
          </c:tx>
          <c:spPr>
            <a:ln w="28575">
              <a:noFill/>
            </a:ln>
          </c:spPr>
          <c:marker>
            <c:spPr>
              <a:solidFill>
                <a:schemeClr val="accent1"/>
              </a:solidFill>
              <a:ln>
                <a:noFill/>
              </a:ln>
            </c:spPr>
          </c:marker>
          <c:trendline>
            <c:trendlineType val="linear"/>
            <c:dispRSqr val="1"/>
            <c:dispEq val="1"/>
            <c:trendlineLbl>
              <c:layout>
                <c:manualLayout>
                  <c:x val="-0.37554741111906464"/>
                  <c:y val="3.394176806912780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r>
                      <a:rPr lang="en-US" baseline="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y = 0.8705x + 1.3519
R² = 0.9249</a:t>
                    </a:r>
                    <a:endParaRPr lang="en-US">
                      <a:latin typeface="Arial" panose="020B0604020202020204" pitchFamily="34" charset="0"/>
                      <a:cs typeface="Arial" panose="020B0604020202020204" pitchFamily="34" charset="0"/>
                    </a:endParaRPr>
                  </a:p>
                </c:rich>
              </c:tx>
              <c:numFmt formatCode="General" sourceLinked="0"/>
            </c:trendlineLbl>
          </c:trendline>
          <c:xVal>
            <c:numRef>
              <c:f>(Tabelle1!$F$25:$F$31;Tabelle1!$O$25:$O$30;Tabelle1!$X$25:$X$31)</c:f>
              <c:numCache>
                <c:formatCode>General</c:formatCode>
                <c:ptCount val="20"/>
                <c:pt idx="0">
                  <c:v>6.1335389083702179</c:v>
                </c:pt>
                <c:pt idx="1">
                  <c:v>5.1335389083702179</c:v>
                </c:pt>
                <c:pt idx="2">
                  <c:v>4.1335389083702179</c:v>
                </c:pt>
                <c:pt idx="3">
                  <c:v>3.1335389083702174</c:v>
                </c:pt>
                <c:pt idx="4">
                  <c:v>2.1335389083702174</c:v>
                </c:pt>
                <c:pt idx="5">
                  <c:v>1.1335389083702174</c:v>
                </c:pt>
                <c:pt idx="6">
                  <c:v>0.13353890837021754</c:v>
                </c:pt>
                <c:pt idx="7">
                  <c:v>5.5611013836490564</c:v>
                </c:pt>
                <c:pt idx="8">
                  <c:v>4.5611013836490564</c:v>
                </c:pt>
                <c:pt idx="9">
                  <c:v>3.5611013836490559</c:v>
                </c:pt>
                <c:pt idx="10">
                  <c:v>2.5611013836490559</c:v>
                </c:pt>
                <c:pt idx="11">
                  <c:v>1.5611013836490559</c:v>
                </c:pt>
                <c:pt idx="12">
                  <c:v>0.56110138364905604</c:v>
                </c:pt>
                <c:pt idx="13">
                  <c:v>6.4409090820652173</c:v>
                </c:pt>
                <c:pt idx="14">
                  <c:v>5.4409090820652173</c:v>
                </c:pt>
                <c:pt idx="15">
                  <c:v>4.4409090820652173</c:v>
                </c:pt>
                <c:pt idx="16">
                  <c:v>3.4409090820652177</c:v>
                </c:pt>
                <c:pt idx="17">
                  <c:v>2.4409090820652177</c:v>
                </c:pt>
                <c:pt idx="18">
                  <c:v>1.4409090820652177</c:v>
                </c:pt>
                <c:pt idx="19" formatCode="0.00E+00">
                  <c:v>0.44090908206521767</c:v>
                </c:pt>
              </c:numCache>
            </c:numRef>
          </c:xVal>
          <c:yVal>
            <c:numRef>
              <c:f>(Tabelle1!$D$25:$D$31;Tabelle1!$M$25:$M$30;Tabelle1!$V$25:$V$31)</c:f>
              <c:numCache>
                <c:formatCode>General</c:formatCode>
                <c:ptCount val="20"/>
                <c:pt idx="0">
                  <c:v>7.1986570869544222</c:v>
                </c:pt>
                <c:pt idx="1">
                  <c:v>5.6674529528899535</c:v>
                </c:pt>
                <c:pt idx="2">
                  <c:v>4.7143297597452332</c:v>
                </c:pt>
                <c:pt idx="3">
                  <c:v>3.6989700043360187</c:v>
                </c:pt>
                <c:pt idx="4">
                  <c:v>2.8149131812750738</c:v>
                </c:pt>
                <c:pt idx="5">
                  <c:v>1.9804578922761</c:v>
                </c:pt>
                <c:pt idx="6">
                  <c:v>1.7656685547590141</c:v>
                </c:pt>
                <c:pt idx="7">
                  <c:v>7.1846914308175984</c:v>
                </c:pt>
                <c:pt idx="8">
                  <c:v>5.8202014594856406</c:v>
                </c:pt>
                <c:pt idx="9">
                  <c:v>4.6748611407378116</c:v>
                </c:pt>
                <c:pt idx="10">
                  <c:v>3.7831886910752575</c:v>
                </c:pt>
                <c:pt idx="11">
                  <c:v>3.1643528557844371</c:v>
                </c:pt>
                <c:pt idx="12">
                  <c:v>2.6580113966571126</c:v>
                </c:pt>
                <c:pt idx="13">
                  <c:v>6.8135809885681917</c:v>
                </c:pt>
                <c:pt idx="14">
                  <c:v>5.9344984512435675</c:v>
                </c:pt>
                <c:pt idx="15">
                  <c:v>4.4548448600085102</c:v>
                </c:pt>
                <c:pt idx="16">
                  <c:v>3.6138418218760693</c:v>
                </c:pt>
                <c:pt idx="17">
                  <c:v>2.8937617620579434</c:v>
                </c:pt>
                <c:pt idx="18">
                  <c:v>2.5477747053878224</c:v>
                </c:pt>
                <c:pt idx="19">
                  <c:v>1.7067177823367587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0730624"/>
        <c:axId val="130732800"/>
      </c:scatterChart>
      <c:valAx>
        <c:axId val="1307306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>
                    <a:latin typeface="Arial" panose="020B0604020202020204" pitchFamily="34" charset="0"/>
                    <a:cs typeface="Arial" panose="020B0604020202020204" pitchFamily="34" charset="0"/>
                  </a:rPr>
                  <a:t>CFU</a:t>
                </a:r>
                <a:r>
                  <a:rPr lang="de-DE" baseline="0">
                    <a:latin typeface="Arial" panose="020B0604020202020204" pitchFamily="34" charset="0"/>
                    <a:cs typeface="Arial" panose="020B0604020202020204" pitchFamily="34" charset="0"/>
                  </a:rPr>
                  <a:t> (log</a:t>
                </a:r>
                <a:r>
                  <a:rPr lang="de-DE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 baseline="0">
                    <a:latin typeface="Arial" panose="020B0604020202020204" pitchFamily="34" charset="0"/>
                    <a:cs typeface="Arial" panose="020B0604020202020204" pitchFamily="34" charset="0"/>
                  </a:rPr>
                  <a:t>) determined by culture enumeration</a:t>
                </a:r>
                <a:endParaRPr lang="de-DE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de-DE"/>
          </a:p>
        </c:txPr>
        <c:crossAx val="130732800"/>
        <c:crosses val="autoZero"/>
        <c:crossBetween val="midCat"/>
      </c:valAx>
      <c:valAx>
        <c:axId val="130732800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latin typeface="Arial" panose="020B0604020202020204" pitchFamily="34" charset="0"/>
                    <a:cs typeface="Arial" panose="020B0604020202020204" pitchFamily="34" charset="0"/>
                  </a:defRPr>
                </a:pPr>
                <a:r>
                  <a:rPr lang="de-DE">
                    <a:latin typeface="Arial" panose="020B0604020202020204" pitchFamily="34" charset="0"/>
                    <a:cs typeface="Arial" panose="020B0604020202020204" pitchFamily="34" charset="0"/>
                  </a:rPr>
                  <a:t>CFU (log</a:t>
                </a:r>
                <a:r>
                  <a:rPr lang="de-DE" baseline="-25000">
                    <a:latin typeface="Arial" panose="020B0604020202020204" pitchFamily="34" charset="0"/>
                    <a:cs typeface="Arial" panose="020B0604020202020204" pitchFamily="34" charset="0"/>
                  </a:rPr>
                  <a:t>10</a:t>
                </a:r>
                <a:r>
                  <a:rPr lang="de-DE">
                    <a:latin typeface="Arial" panose="020B0604020202020204" pitchFamily="34" charset="0"/>
                    <a:cs typeface="Arial" panose="020B0604020202020204" pitchFamily="34" charset="0"/>
                  </a:rPr>
                  <a:t>) calculated from qPCR results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0730624"/>
        <c:crosses val="autoZero"/>
        <c:crossBetween val="midCat"/>
      </c:valAx>
    </c:plotArea>
    <c:legend>
      <c:legendPos val="b"/>
      <c:overlay val="0"/>
      <c:txPr>
        <a:bodyPr/>
        <a:lstStyle/>
        <a:p>
          <a:pPr>
            <a:defRPr>
              <a:latin typeface="Arial" panose="020B0604020202020204" pitchFamily="34" charset="0"/>
              <a:cs typeface="Arial" panose="020B0604020202020204" pitchFamily="34" charset="0"/>
            </a:defRPr>
          </a:pPr>
          <a:endParaRPr lang="de-DE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Lariss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Lariss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Lariss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TiHo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2014-10-02T15:58:00Z</dcterms:created>
  <dcterms:modified xsi:type="dcterms:W3CDTF">2014-11-04T12:51:00Z</dcterms:modified>
</cp:coreProperties>
</file>