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B0" w:rsidRPr="00022D47" w:rsidRDefault="000111B0" w:rsidP="000111B0">
      <w:pPr>
        <w:rPr>
          <w:rFonts w:ascii="Times New Roman" w:hAnsi="Times New Roman"/>
          <w:noProof/>
          <w:sz w:val="24"/>
          <w:szCs w:val="24"/>
          <w:u w:val="single"/>
          <w:lang w:eastAsia="en-GB"/>
        </w:rPr>
      </w:pPr>
      <w:r w:rsidRPr="000111B0">
        <w:rPr>
          <w:rFonts w:ascii="Times New Roman" w:hAnsi="Times New Roman"/>
          <w:b/>
          <w:noProof/>
          <w:sz w:val="24"/>
          <w:szCs w:val="24"/>
          <w:lang w:eastAsia="en-GB"/>
        </w:rPr>
        <w:t xml:space="preserve">Supplementary Figure 3: </w:t>
      </w:r>
      <w:r w:rsidRPr="000111B0">
        <w:rPr>
          <w:rFonts w:ascii="Times New Roman" w:hAnsi="Times New Roman"/>
          <w:b/>
          <w:color w:val="000000"/>
          <w:sz w:val="24"/>
          <w:szCs w:val="24"/>
        </w:rPr>
        <w:t>The false positive rate observed with resampling simulated</w:t>
      </w:r>
      <w:r w:rsidRPr="00022D47">
        <w:rPr>
          <w:rFonts w:ascii="Times New Roman" w:hAnsi="Times New Roman"/>
          <w:b/>
          <w:color w:val="000000"/>
          <w:sz w:val="24"/>
          <w:szCs w:val="24"/>
        </w:rPr>
        <w:t xml:space="preserve"> control data for various </w:t>
      </w:r>
      <w:r>
        <w:rPr>
          <w:rFonts w:ascii="Times New Roman" w:hAnsi="Times New Roman"/>
          <w:b/>
          <w:color w:val="000000"/>
          <w:sz w:val="24"/>
          <w:szCs w:val="24"/>
        </w:rPr>
        <w:t>significant thresholds</w:t>
      </w:r>
    </w:p>
    <w:p w:rsidR="000111B0" w:rsidRPr="00196FEB" w:rsidRDefault="000111B0" w:rsidP="000111B0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The variation in false positive rate for the assessment of the genotype effect (A) and for genotype-by-sex effect (B) for different workflows for various significance thresholds when simulated control data was resampled.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For each effect, the relationship between the FPR and significance threshold was quantified and output sh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own in the table with each graph. Using this relationship, an adjusted p-value threshold can be calculated to achieve the desired FPR.  For example, for the genotype effect a 5% FPR would be achieved using a significance threshold of 0.03. An equivalent line indicates the ideal false positive rate (i.e. 5% at 0.05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threshold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B33DB5" wp14:editId="3A530B71">
            <wp:extent cx="3962400" cy="24479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993"/>
        <w:gridCol w:w="992"/>
      </w:tblGrid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394" w:type="dxa"/>
            <w:gridSpan w:val="4"/>
          </w:tcPr>
          <w:p w:rsidR="000111B0" w:rsidRPr="009F5DB2" w:rsidRDefault="000111B0" w:rsidP="00AA3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FPR ~Significant Threshold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T value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proofErr w:type="spellStart"/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proofErr w:type="spellEnd"/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(&gt;|t|)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Intercept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0.26856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0.0504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5.33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1.12e-5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Significant threshold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156.856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2.1639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72.49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&lt;2e-16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R-Squared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0.9946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>A</w:t>
      </w:r>
    </w:p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EABADB" wp14:editId="2E0F1E01">
            <wp:extent cx="4029075" cy="24479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993"/>
        <w:gridCol w:w="992"/>
      </w:tblGrid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394" w:type="dxa"/>
            <w:gridSpan w:val="4"/>
          </w:tcPr>
          <w:p w:rsidR="000111B0" w:rsidRPr="009F5DB2" w:rsidRDefault="000111B0" w:rsidP="00AA3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FPR ~Significant Threshold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proofErr w:type="spellStart"/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proofErr w:type="spellEnd"/>
            <w:r w:rsidRPr="009F5DB2">
              <w:rPr>
                <w:rFonts w:ascii="Times New Roman" w:hAnsi="Times New Roman"/>
                <w:color w:val="000000"/>
                <w:sz w:val="24"/>
                <w:szCs w:val="24"/>
              </w:rPr>
              <w:t>(&gt;|t|)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Intercept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0.202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0.0303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6.64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3.32e-7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Significant threshold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109.4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1.3052</w:t>
            </w: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83.83</w:t>
            </w: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&lt;2e-16</w:t>
            </w:r>
          </w:p>
        </w:tc>
      </w:tr>
      <w:tr w:rsidR="000111B0" w:rsidTr="00AA325D">
        <w:tc>
          <w:tcPr>
            <w:tcW w:w="223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R-Squared</w:t>
            </w:r>
          </w:p>
        </w:tc>
        <w:tc>
          <w:tcPr>
            <w:tcW w:w="1134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9F5DB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t>0.9946</w:t>
            </w:r>
          </w:p>
        </w:tc>
        <w:tc>
          <w:tcPr>
            <w:tcW w:w="1275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0111B0" w:rsidRPr="009F5DB2" w:rsidRDefault="000111B0" w:rsidP="00AA325D">
            <w:pP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0111B0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0111B0" w:rsidRDefault="000111B0" w:rsidP="000111B0">
      <w:pPr>
        <w:rPr>
          <w:rFonts w:ascii="Times New Roman" w:hAnsi="Times New Roman"/>
          <w:b/>
          <w:noProof/>
          <w:sz w:val="24"/>
          <w:szCs w:val="24"/>
          <w:lang w:eastAsia="en-GB"/>
        </w:rPr>
      </w:pPr>
    </w:p>
    <w:p w:rsidR="000111B0" w:rsidRPr="00A10298" w:rsidRDefault="000111B0" w:rsidP="000111B0">
      <w:pPr>
        <w:rPr>
          <w:rFonts w:ascii="Times New Roman" w:hAnsi="Times New Roman"/>
          <w:noProof/>
          <w:sz w:val="24"/>
          <w:szCs w:val="24"/>
          <w:lang w:eastAsia="en-GB"/>
        </w:rPr>
      </w:pPr>
      <w:r w:rsidRPr="00A10298">
        <w:rPr>
          <w:rFonts w:ascii="Times New Roman" w:hAnsi="Times New Roman"/>
          <w:noProof/>
          <w:sz w:val="24"/>
          <w:szCs w:val="24"/>
          <w:lang w:eastAsia="en-GB"/>
        </w:rPr>
        <w:t>B</w:t>
      </w:r>
    </w:p>
    <w:p w:rsidR="00C30160" w:rsidRDefault="000111B0" w:rsidP="000111B0">
      <w:r>
        <w:rPr>
          <w:rFonts w:ascii="Times New Roman" w:hAnsi="Times New Roman"/>
          <w:noProof/>
          <w:sz w:val="24"/>
          <w:szCs w:val="24"/>
          <w:lang w:eastAsia="en-GB"/>
        </w:rPr>
        <w:br w:type="page"/>
      </w:r>
    </w:p>
    <w:sectPr w:rsidR="00C3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0"/>
    <w:rsid w:val="000111B0"/>
    <w:rsid w:val="00C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1B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1B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tapp1b\user_homes_1b\ntfs_n\nk3\2013\Workflow%20Manuscript\Figures\SimulatedData_Impact_significanceThreshol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Random</c:v>
          </c:tx>
          <c:xVal>
            <c:numRef>
              <c:f>Genotype!$E$20:$E$25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Genotype!$D$20:$D$25</c:f>
              <c:numCache>
                <c:formatCode>General</c:formatCode>
                <c:ptCount val="6"/>
                <c:pt idx="0">
                  <c:v>7.7666666666666702</c:v>
                </c:pt>
                <c:pt idx="1">
                  <c:v>4.1499999999999986</c:v>
                </c:pt>
                <c:pt idx="2">
                  <c:v>1.85</c:v>
                </c:pt>
                <c:pt idx="3">
                  <c:v>1.11666666666667</c:v>
                </c:pt>
                <c:pt idx="4">
                  <c:v>0.4</c:v>
                </c:pt>
                <c:pt idx="5">
                  <c:v>0.25</c:v>
                </c:pt>
              </c:numCache>
            </c:numRef>
          </c:yVal>
          <c:smooth val="1"/>
        </c:ser>
        <c:ser>
          <c:idx val="1"/>
          <c:order val="1"/>
          <c:tx>
            <c:v>MultiGp</c:v>
          </c:tx>
          <c:xVal>
            <c:numRef>
              <c:f>Genotype!$E$26:$E$31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Genotype!$D$26:$D$31</c:f>
              <c:numCache>
                <c:formatCode>General</c:formatCode>
                <c:ptCount val="6"/>
                <c:pt idx="0">
                  <c:v>8.3733333333333295</c:v>
                </c:pt>
                <c:pt idx="1">
                  <c:v>4.4933333333333296</c:v>
                </c:pt>
                <c:pt idx="2">
                  <c:v>2</c:v>
                </c:pt>
                <c:pt idx="3">
                  <c:v>1.1866666666666701</c:v>
                </c:pt>
                <c:pt idx="4">
                  <c:v>0.30666666666666698</c:v>
                </c:pt>
                <c:pt idx="5">
                  <c:v>0.25333333333333302</c:v>
                </c:pt>
              </c:numCache>
            </c:numRef>
          </c:yVal>
          <c:smooth val="1"/>
        </c:ser>
        <c:ser>
          <c:idx val="2"/>
          <c:order val="2"/>
          <c:tx>
            <c:v>OneBatch</c:v>
          </c:tx>
          <c:xVal>
            <c:numRef>
              <c:f>Genotype!$E$2:$E$7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Genotype!$D$2:$D$7</c:f>
              <c:numCache>
                <c:formatCode>General</c:formatCode>
                <c:ptCount val="6"/>
                <c:pt idx="0">
                  <c:v>7.62222222222222</c:v>
                </c:pt>
                <c:pt idx="1">
                  <c:v>4.0888888888888886</c:v>
                </c:pt>
                <c:pt idx="2">
                  <c:v>2.0444444444444398</c:v>
                </c:pt>
                <c:pt idx="3">
                  <c:v>1.2222222222222201</c:v>
                </c:pt>
                <c:pt idx="4">
                  <c:v>0.28888888888888897</c:v>
                </c:pt>
                <c:pt idx="5">
                  <c:v>0.17777777777777801</c:v>
                </c:pt>
              </c:numCache>
            </c:numRef>
          </c:yVal>
          <c:smooth val="1"/>
        </c:ser>
        <c:ser>
          <c:idx val="3"/>
          <c:order val="3"/>
          <c:tx>
            <c:v>2Batch</c:v>
          </c:tx>
          <c:xVal>
            <c:numRef>
              <c:f>Genotype!$E$8:$E$13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Genotype!$D$8:$D$13</c:f>
              <c:numCache>
                <c:formatCode>General</c:formatCode>
                <c:ptCount val="6"/>
                <c:pt idx="0">
                  <c:v>8.3166109253065805</c:v>
                </c:pt>
                <c:pt idx="1">
                  <c:v>4.437012263099219</c:v>
                </c:pt>
                <c:pt idx="2">
                  <c:v>2.0735785953177301</c:v>
                </c:pt>
                <c:pt idx="3">
                  <c:v>1.1371237458193999</c:v>
                </c:pt>
                <c:pt idx="4">
                  <c:v>0.178372352285396</c:v>
                </c:pt>
                <c:pt idx="5">
                  <c:v>0.11148272017837201</c:v>
                </c:pt>
              </c:numCache>
            </c:numRef>
          </c:yVal>
          <c:smooth val="1"/>
        </c:ser>
        <c:ser>
          <c:idx val="4"/>
          <c:order val="4"/>
          <c:tx>
            <c:v>3Batch</c:v>
          </c:tx>
          <c:xVal>
            <c:numRef>
              <c:f>Genotype!$E$14:$E$19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Genotype!$D$14:$D$19</c:f>
              <c:numCache>
                <c:formatCode>General</c:formatCode>
                <c:ptCount val="6"/>
                <c:pt idx="0">
                  <c:v>7.9418344519015696</c:v>
                </c:pt>
                <c:pt idx="1">
                  <c:v>4.4742729306487696</c:v>
                </c:pt>
                <c:pt idx="2">
                  <c:v>2.0357941834451889</c:v>
                </c:pt>
                <c:pt idx="3">
                  <c:v>1.0738255033557</c:v>
                </c:pt>
                <c:pt idx="4">
                  <c:v>0.24608501118568199</c:v>
                </c:pt>
                <c:pt idx="5">
                  <c:v>0.20134228187919501</c:v>
                </c:pt>
              </c:numCache>
            </c:numRef>
          </c:yVal>
          <c:smooth val="1"/>
        </c:ser>
        <c:ser>
          <c:idx val="5"/>
          <c:order val="5"/>
          <c:tx>
            <c:v>Equivalent</c:v>
          </c:tx>
          <c:xVal>
            <c:numRef>
              <c:f>Genotype!$E$32:$E$37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Genotype!$D$32:$D$37</c:f>
              <c:numCache>
                <c:formatCode>General</c:formatCode>
                <c:ptCount val="6"/>
                <c:pt idx="0">
                  <c:v>5</c:v>
                </c:pt>
                <c:pt idx="1">
                  <c:v>2.5</c:v>
                </c:pt>
                <c:pt idx="2">
                  <c:v>1</c:v>
                </c:pt>
                <c:pt idx="3">
                  <c:v>0.5</c:v>
                </c:pt>
                <c:pt idx="4">
                  <c:v>0.1</c:v>
                </c:pt>
                <c:pt idx="5">
                  <c:v>0.05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440192"/>
        <c:axId val="338442112"/>
      </c:scatterChart>
      <c:valAx>
        <c:axId val="33844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GB" sz="1200" baseline="0"/>
                  <a:t>Significant threshold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8442112"/>
        <c:crosses val="autoZero"/>
        <c:crossBetween val="midCat"/>
      </c:valAx>
      <c:valAx>
        <c:axId val="3384421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aseline="0"/>
                  <a:t>False positive rate (%)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844019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Random</c:v>
          </c:tx>
          <c:xVal>
            <c:numRef>
              <c:f>Interaction!$E$20:$E$25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Interaction!$D$20:$D$25</c:f>
              <c:numCache>
                <c:formatCode>General</c:formatCode>
                <c:ptCount val="6"/>
                <c:pt idx="0">
                  <c:v>5.4</c:v>
                </c:pt>
                <c:pt idx="1">
                  <c:v>3.0166666666666702</c:v>
                </c:pt>
                <c:pt idx="2">
                  <c:v>1.2833333333333301</c:v>
                </c:pt>
                <c:pt idx="3">
                  <c:v>0.73333333333333295</c:v>
                </c:pt>
                <c:pt idx="4">
                  <c:v>0.2</c:v>
                </c:pt>
                <c:pt idx="5">
                  <c:v>0.15</c:v>
                </c:pt>
              </c:numCache>
            </c:numRef>
          </c:yVal>
          <c:smooth val="1"/>
        </c:ser>
        <c:ser>
          <c:idx val="1"/>
          <c:order val="1"/>
          <c:tx>
            <c:v>MultiGp</c:v>
          </c:tx>
          <c:xVal>
            <c:numRef>
              <c:f>Interaction!$E$26:$E$31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Interaction!$D$26:$D$31</c:f>
              <c:numCache>
                <c:formatCode>General</c:formatCode>
                <c:ptCount val="6"/>
                <c:pt idx="0">
                  <c:v>5.8</c:v>
                </c:pt>
                <c:pt idx="1">
                  <c:v>3.24</c:v>
                </c:pt>
                <c:pt idx="2">
                  <c:v>1.4266666666666701</c:v>
                </c:pt>
                <c:pt idx="3">
                  <c:v>0.73333333333333295</c:v>
                </c:pt>
                <c:pt idx="4">
                  <c:v>0.18666666666666701</c:v>
                </c:pt>
                <c:pt idx="5">
                  <c:v>0.133333333333333</c:v>
                </c:pt>
              </c:numCache>
            </c:numRef>
          </c:yVal>
          <c:smooth val="1"/>
        </c:ser>
        <c:ser>
          <c:idx val="2"/>
          <c:order val="2"/>
          <c:tx>
            <c:v>OneBatch</c:v>
          </c:tx>
          <c:xVal>
            <c:numRef>
              <c:f>Interaction!$E$2:$E$7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Interaction!$D$2:$D$7</c:f>
              <c:numCache>
                <c:formatCode>General</c:formatCode>
                <c:ptCount val="6"/>
                <c:pt idx="0">
                  <c:v>5.62222222222222</c:v>
                </c:pt>
                <c:pt idx="1">
                  <c:v>2.8444444444444401</c:v>
                </c:pt>
                <c:pt idx="2">
                  <c:v>1.17777777777778</c:v>
                </c:pt>
                <c:pt idx="3">
                  <c:v>0.64444444444444404</c:v>
                </c:pt>
                <c:pt idx="4">
                  <c:v>0.22222222222222199</c:v>
                </c:pt>
                <c:pt idx="5">
                  <c:v>0.2</c:v>
                </c:pt>
              </c:numCache>
            </c:numRef>
          </c:yVal>
          <c:smooth val="1"/>
        </c:ser>
        <c:ser>
          <c:idx val="3"/>
          <c:order val="3"/>
          <c:tx>
            <c:v>2Batch</c:v>
          </c:tx>
          <c:xVal>
            <c:numRef>
              <c:f>Interaction!$E$8:$E$13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Interaction!$D$8:$D$13</c:f>
              <c:numCache>
                <c:formatCode>General</c:formatCode>
                <c:ptCount val="6"/>
                <c:pt idx="0">
                  <c:v>5.6410256410256396</c:v>
                </c:pt>
                <c:pt idx="1">
                  <c:v>3.0769230769230802</c:v>
                </c:pt>
                <c:pt idx="2">
                  <c:v>1.5161649944258599</c:v>
                </c:pt>
                <c:pt idx="3">
                  <c:v>0.98104793756967701</c:v>
                </c:pt>
                <c:pt idx="4">
                  <c:v>0.334448160535117</c:v>
                </c:pt>
                <c:pt idx="5">
                  <c:v>0.26755852842809402</c:v>
                </c:pt>
              </c:numCache>
            </c:numRef>
          </c:yVal>
          <c:smooth val="1"/>
        </c:ser>
        <c:ser>
          <c:idx val="4"/>
          <c:order val="4"/>
          <c:tx>
            <c:v>3Batch</c:v>
          </c:tx>
          <c:xVal>
            <c:numRef>
              <c:f>Interaction!$E$14:$E$19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Interaction!$D$14:$D$19</c:f>
              <c:numCache>
                <c:formatCode>General</c:formatCode>
                <c:ptCount val="6"/>
                <c:pt idx="0">
                  <c:v>5.6375838926174486</c:v>
                </c:pt>
                <c:pt idx="1">
                  <c:v>2.9082774049217002</c:v>
                </c:pt>
                <c:pt idx="2">
                  <c:v>1.34228187919463</c:v>
                </c:pt>
                <c:pt idx="3">
                  <c:v>0.78299776286353495</c:v>
                </c:pt>
                <c:pt idx="4">
                  <c:v>0.38031319910514499</c:v>
                </c:pt>
                <c:pt idx="5">
                  <c:v>0.223713646532438</c:v>
                </c:pt>
              </c:numCache>
            </c:numRef>
          </c:yVal>
          <c:smooth val="1"/>
        </c:ser>
        <c:ser>
          <c:idx val="5"/>
          <c:order val="5"/>
          <c:tx>
            <c:v>Equivalent</c:v>
          </c:tx>
          <c:xVal>
            <c:numRef>
              <c:f>Interaction!$E$32:$E$37</c:f>
              <c:numCache>
                <c:formatCode>General</c:formatCode>
                <c:ptCount val="6"/>
                <c:pt idx="0">
                  <c:v>0.05</c:v>
                </c:pt>
                <c:pt idx="1">
                  <c:v>2.5000000000000001E-2</c:v>
                </c:pt>
                <c:pt idx="2">
                  <c:v>0.01</c:v>
                </c:pt>
                <c:pt idx="3">
                  <c:v>5.0000000000000001E-3</c:v>
                </c:pt>
                <c:pt idx="4">
                  <c:v>1E-3</c:v>
                </c:pt>
                <c:pt idx="5" formatCode="0.00E+00">
                  <c:v>5.0000000000000001E-4</c:v>
                </c:pt>
              </c:numCache>
            </c:numRef>
          </c:xVal>
          <c:yVal>
            <c:numRef>
              <c:f>Interaction!$D$32:$D$37</c:f>
              <c:numCache>
                <c:formatCode>General</c:formatCode>
                <c:ptCount val="6"/>
                <c:pt idx="0">
                  <c:v>5</c:v>
                </c:pt>
                <c:pt idx="1">
                  <c:v>2.5</c:v>
                </c:pt>
                <c:pt idx="2">
                  <c:v>1</c:v>
                </c:pt>
                <c:pt idx="3">
                  <c:v>0.5</c:v>
                </c:pt>
                <c:pt idx="4">
                  <c:v>0.1</c:v>
                </c:pt>
                <c:pt idx="5">
                  <c:v>0.05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483072"/>
        <c:axId val="339263488"/>
      </c:scatterChart>
      <c:valAx>
        <c:axId val="33848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aseline="0"/>
                  <a:t>Significiance</a:t>
                </a:r>
                <a:r>
                  <a:rPr lang="en-GB"/>
                  <a:t> </a:t>
                </a:r>
                <a:r>
                  <a:rPr lang="en-GB" sz="1200" baseline="0"/>
                  <a:t>threshold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9263488"/>
        <c:crosses val="autoZero"/>
        <c:crossBetween val="midCat"/>
      </c:valAx>
      <c:valAx>
        <c:axId val="3392634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GB" sz="1200" baseline="0"/>
                  <a:t>False positive rate (%)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848307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Karp</dc:creator>
  <cp:lastModifiedBy>Natasha Karp</cp:lastModifiedBy>
  <cp:revision>1</cp:revision>
  <dcterms:created xsi:type="dcterms:W3CDTF">2014-06-26T10:02:00Z</dcterms:created>
  <dcterms:modified xsi:type="dcterms:W3CDTF">2014-06-26T10:02:00Z</dcterms:modified>
</cp:coreProperties>
</file>