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D1" w:rsidRDefault="00C84DD1"/>
    <w:tbl>
      <w:tblPr>
        <w:tblW w:w="0" w:type="auto"/>
        <w:tblLook w:val="04A0"/>
      </w:tblPr>
      <w:tblGrid>
        <w:gridCol w:w="4603"/>
        <w:gridCol w:w="4603"/>
      </w:tblGrid>
      <w:tr w:rsidR="00C84DD1" w:rsidRPr="00495733">
        <w:tc>
          <w:tcPr>
            <w:tcW w:w="4603" w:type="dxa"/>
            <w:shd w:val="clear" w:color="auto" w:fill="auto"/>
          </w:tcPr>
          <w:p w:rsidR="00C84DD1" w:rsidRPr="00495733" w:rsidRDefault="00C84DD1" w:rsidP="00C84DD1">
            <w:pPr>
              <w:ind w:right="-433"/>
              <w:rPr>
                <w:rFonts w:ascii="Arial" w:hAnsi="Arial" w:cs="Arial"/>
                <w:sz w:val="20"/>
                <w:szCs w:val="20"/>
              </w:rPr>
            </w:pPr>
          </w:p>
          <w:p w:rsidR="00C84DD1" w:rsidRPr="00495733" w:rsidRDefault="00C84DD1" w:rsidP="00C84DD1">
            <w:pPr>
              <w:ind w:right="-433"/>
              <w:rPr>
                <w:rFonts w:ascii="Arial" w:hAnsi="Arial" w:cs="Arial"/>
                <w:sz w:val="20"/>
                <w:szCs w:val="20"/>
              </w:rPr>
            </w:pPr>
          </w:p>
          <w:p w:rsidR="00C84DD1" w:rsidRPr="00495733" w:rsidRDefault="00C84DD1" w:rsidP="00C84DD1">
            <w:pPr>
              <w:ind w:right="-433"/>
              <w:rPr>
                <w:rFonts w:ascii="Arial" w:hAnsi="Arial" w:cs="Arial"/>
                <w:sz w:val="20"/>
                <w:szCs w:val="20"/>
              </w:rPr>
            </w:pPr>
          </w:p>
          <w:p w:rsidR="00C84DD1" w:rsidRPr="00495733" w:rsidRDefault="00C84DD1" w:rsidP="00C84DD1">
            <w:pPr>
              <w:ind w:right="-433"/>
              <w:rPr>
                <w:rFonts w:ascii="Arial" w:hAnsi="Arial" w:cs="Arial"/>
                <w:sz w:val="20"/>
                <w:szCs w:val="20"/>
              </w:rPr>
            </w:pPr>
          </w:p>
          <w:p w:rsidR="00C84DD1" w:rsidRPr="00495733" w:rsidRDefault="00C84DD1" w:rsidP="00C84DD1">
            <w:pPr>
              <w:ind w:right="-433"/>
              <w:rPr>
                <w:rFonts w:ascii="Arial" w:hAnsi="Arial" w:cs="Arial"/>
                <w:sz w:val="20"/>
                <w:szCs w:val="20"/>
              </w:rPr>
            </w:pPr>
          </w:p>
          <w:p w:rsidR="00C84DD1" w:rsidRPr="00495733" w:rsidRDefault="00C84DD1" w:rsidP="00C84DD1">
            <w:pPr>
              <w:ind w:right="-433"/>
              <w:rPr>
                <w:rFonts w:ascii="Arial" w:hAnsi="Arial" w:cs="Arial"/>
                <w:sz w:val="22"/>
                <w:szCs w:val="22"/>
              </w:rPr>
            </w:pPr>
            <w:r w:rsidRPr="00495733">
              <w:rPr>
                <w:rFonts w:ascii="Arial" w:hAnsi="Arial" w:cs="Arial"/>
                <w:sz w:val="22"/>
                <w:szCs w:val="22"/>
              </w:rPr>
              <w:t>Dr Daniel TETA, Médecin adjoint, PD &amp; MER</w:t>
            </w:r>
          </w:p>
          <w:p w:rsidR="00C84DD1" w:rsidRPr="00495733" w:rsidRDefault="00C84DD1" w:rsidP="00C84DD1">
            <w:pPr>
              <w:ind w:right="-433"/>
              <w:rPr>
                <w:rFonts w:ascii="Arial" w:hAnsi="Arial" w:cs="Arial"/>
                <w:sz w:val="22"/>
                <w:szCs w:val="22"/>
              </w:rPr>
            </w:pPr>
            <w:r w:rsidRPr="00495733">
              <w:rPr>
                <w:rFonts w:ascii="Arial" w:hAnsi="Arial" w:cs="Arial"/>
                <w:sz w:val="22"/>
                <w:szCs w:val="22"/>
              </w:rPr>
              <w:t>Tél : 021 314 11 54 (secr)</w:t>
            </w:r>
          </w:p>
          <w:p w:rsidR="00C84DD1" w:rsidRPr="00495733" w:rsidRDefault="00C84DD1" w:rsidP="00C84DD1">
            <w:pPr>
              <w:ind w:right="-433"/>
              <w:rPr>
                <w:rFonts w:ascii="Arial" w:hAnsi="Arial" w:cs="Arial"/>
                <w:sz w:val="22"/>
                <w:szCs w:val="22"/>
              </w:rPr>
            </w:pPr>
          </w:p>
          <w:p w:rsidR="00C84DD1" w:rsidRPr="00495733" w:rsidRDefault="00C84DD1" w:rsidP="00C84DD1">
            <w:pPr>
              <w:ind w:right="-433"/>
              <w:rPr>
                <w:rFonts w:ascii="Arial" w:hAnsi="Arial" w:cs="Arial"/>
                <w:sz w:val="22"/>
                <w:szCs w:val="22"/>
              </w:rPr>
            </w:pPr>
            <w:r w:rsidRPr="00495733">
              <w:rPr>
                <w:rFonts w:ascii="Arial" w:hAnsi="Arial" w:cs="Arial"/>
                <w:sz w:val="22"/>
                <w:szCs w:val="22"/>
              </w:rPr>
              <w:t>Tél : 021 314 11 31 (desk)</w:t>
            </w:r>
          </w:p>
          <w:p w:rsidR="00C84DD1" w:rsidRPr="00495733" w:rsidRDefault="00C84DD1" w:rsidP="00C84DD1">
            <w:pPr>
              <w:ind w:right="-433"/>
              <w:rPr>
                <w:rFonts w:ascii="Arial" w:hAnsi="Arial" w:cs="Arial"/>
                <w:sz w:val="22"/>
                <w:szCs w:val="22"/>
              </w:rPr>
            </w:pPr>
            <w:r w:rsidRPr="00495733">
              <w:rPr>
                <w:rFonts w:ascii="Arial" w:hAnsi="Arial" w:cs="Arial"/>
                <w:sz w:val="22"/>
                <w:szCs w:val="22"/>
              </w:rPr>
              <w:t>Fax : 021 314 11 39</w:t>
            </w:r>
          </w:p>
          <w:p w:rsidR="00C84DD1" w:rsidRPr="00495733" w:rsidRDefault="00C84DD1" w:rsidP="00C84DD1">
            <w:pPr>
              <w:ind w:right="-433"/>
              <w:rPr>
                <w:rFonts w:ascii="Arial" w:hAnsi="Arial" w:cs="Arial"/>
                <w:sz w:val="22"/>
                <w:szCs w:val="22"/>
              </w:rPr>
            </w:pPr>
          </w:p>
          <w:p w:rsidR="00C84DD1" w:rsidRPr="00495733" w:rsidRDefault="00C84DD1" w:rsidP="00C84DD1">
            <w:pPr>
              <w:ind w:right="-433"/>
              <w:rPr>
                <w:rFonts w:ascii="Arial" w:hAnsi="Arial" w:cs="Arial"/>
                <w:sz w:val="20"/>
                <w:szCs w:val="20"/>
              </w:rPr>
            </w:pPr>
            <w:r w:rsidRPr="00495733">
              <w:rPr>
                <w:rFonts w:ascii="Arial" w:hAnsi="Arial" w:cs="Arial"/>
                <w:sz w:val="22"/>
                <w:szCs w:val="22"/>
              </w:rPr>
              <w:t>daniel.teta@chuv.ch</w:t>
            </w:r>
          </w:p>
        </w:tc>
        <w:tc>
          <w:tcPr>
            <w:tcW w:w="4603" w:type="dxa"/>
            <w:shd w:val="clear" w:color="auto" w:fill="auto"/>
          </w:tcPr>
          <w:p w:rsidR="00C84DD1" w:rsidRPr="00495733" w:rsidRDefault="00C84DD1" w:rsidP="00C84DD1">
            <w:pPr>
              <w:ind w:left="217" w:right="-433"/>
              <w:rPr>
                <w:rFonts w:ascii="Arial" w:hAnsi="Arial" w:cs="Arial"/>
              </w:rPr>
            </w:pPr>
          </w:p>
        </w:tc>
      </w:tr>
    </w:tbl>
    <w:p w:rsidR="00C84DD1" w:rsidRPr="00495733" w:rsidRDefault="00C84DD1">
      <w:pPr>
        <w:rPr>
          <w:rFonts w:ascii="Arial" w:hAnsi="Arial" w:cs="Arial"/>
        </w:rPr>
      </w:pPr>
    </w:p>
    <w:p w:rsidR="00C84DD1" w:rsidRPr="00495733" w:rsidRDefault="00C84DD1">
      <w:pPr>
        <w:rPr>
          <w:rFonts w:ascii="Arial" w:hAnsi="Arial" w:cs="Arial"/>
        </w:rPr>
      </w:pPr>
    </w:p>
    <w:p w:rsidR="00C84DD1" w:rsidRPr="00495733" w:rsidRDefault="00C84DD1">
      <w:pPr>
        <w:rPr>
          <w:rFonts w:ascii="Arial" w:hAnsi="Arial" w:cs="Arial"/>
        </w:rPr>
      </w:pPr>
    </w:p>
    <w:p w:rsidR="00C84DD1" w:rsidRPr="00495733" w:rsidRDefault="00C84DD1" w:rsidP="00C84DD1">
      <w:pPr>
        <w:tabs>
          <w:tab w:val="left" w:pos="4820"/>
        </w:tabs>
        <w:rPr>
          <w:rFonts w:ascii="Arial" w:hAnsi="Arial" w:cs="Arial"/>
        </w:rPr>
      </w:pPr>
      <w:r w:rsidRPr="00495733">
        <w:rPr>
          <w:rFonts w:ascii="Arial" w:hAnsi="Arial" w:cs="Arial"/>
        </w:rPr>
        <w:tab/>
      </w:r>
      <w:r w:rsidR="00DC48BA">
        <w:rPr>
          <w:rFonts w:ascii="Arial" w:hAnsi="Arial" w:cs="Arial"/>
        </w:rPr>
        <w:t>Lausanne, 11th January 2007</w:t>
      </w:r>
    </w:p>
    <w:p w:rsidR="00C84DD1" w:rsidRPr="00495733" w:rsidRDefault="00C84DD1" w:rsidP="00C84DD1">
      <w:pPr>
        <w:tabs>
          <w:tab w:val="left" w:pos="4820"/>
        </w:tabs>
        <w:rPr>
          <w:rFonts w:ascii="Arial" w:hAnsi="Arial" w:cs="Arial"/>
          <w:b/>
        </w:rPr>
      </w:pPr>
    </w:p>
    <w:p w:rsidR="00C84DD1" w:rsidRPr="00495733" w:rsidRDefault="00C84DD1" w:rsidP="00C84DD1">
      <w:pPr>
        <w:tabs>
          <w:tab w:val="left" w:pos="4820"/>
        </w:tabs>
        <w:rPr>
          <w:rFonts w:ascii="Arial" w:hAnsi="Arial" w:cs="Arial"/>
          <w:b/>
        </w:rPr>
      </w:pPr>
    </w:p>
    <w:p w:rsidR="00C84DD1" w:rsidRPr="00495733" w:rsidRDefault="00C84DD1" w:rsidP="00C84DD1">
      <w:pPr>
        <w:tabs>
          <w:tab w:val="left" w:pos="4820"/>
        </w:tabs>
        <w:rPr>
          <w:rFonts w:ascii="Arial" w:hAnsi="Arial" w:cs="Arial"/>
        </w:rPr>
      </w:pPr>
    </w:p>
    <w:p w:rsidR="00C84DD1" w:rsidRPr="00495733" w:rsidRDefault="00C84DD1" w:rsidP="00C84DD1">
      <w:pPr>
        <w:tabs>
          <w:tab w:val="left" w:pos="4820"/>
        </w:tabs>
        <w:rPr>
          <w:rFonts w:ascii="Arial" w:hAnsi="Arial" w:cs="Arial"/>
        </w:rPr>
      </w:pPr>
    </w:p>
    <w:p w:rsidR="00C84DD1" w:rsidRPr="00495733" w:rsidRDefault="00C84DD1" w:rsidP="00C84DD1">
      <w:pPr>
        <w:tabs>
          <w:tab w:val="left" w:pos="4820"/>
        </w:tabs>
        <w:rPr>
          <w:rFonts w:ascii="Arial" w:hAnsi="Arial" w:cs="Arial"/>
          <w:b/>
          <w:lang w:val="en-US"/>
        </w:rPr>
      </w:pPr>
      <w:r w:rsidRPr="00495733">
        <w:rPr>
          <w:rFonts w:ascii="Arial" w:hAnsi="Arial" w:cs="Arial"/>
          <w:b/>
          <w:lang w:val="en-US"/>
        </w:rPr>
        <w:t xml:space="preserve">Effect of glitazones on insulin resistance </w:t>
      </w:r>
      <w:r w:rsidR="00CC1096" w:rsidRPr="00495733">
        <w:rPr>
          <w:rFonts w:ascii="Arial" w:hAnsi="Arial" w:cs="Arial"/>
          <w:b/>
          <w:lang w:val="en-US"/>
        </w:rPr>
        <w:t xml:space="preserve">and body composition </w:t>
      </w:r>
      <w:r w:rsidRPr="00495733">
        <w:rPr>
          <w:rFonts w:ascii="Arial" w:hAnsi="Arial" w:cs="Arial"/>
          <w:b/>
          <w:lang w:val="en-US"/>
        </w:rPr>
        <w:t>in patients with end stage renal disease</w:t>
      </w:r>
    </w:p>
    <w:p w:rsidR="008B731E" w:rsidRPr="00495733" w:rsidRDefault="008B731E" w:rsidP="008B731E">
      <w:pPr>
        <w:rPr>
          <w:rFonts w:ascii="Arial" w:hAnsi="Arial" w:cs="Arial"/>
          <w:i/>
          <w:sz w:val="22"/>
          <w:szCs w:val="22"/>
        </w:rPr>
      </w:pPr>
    </w:p>
    <w:p w:rsidR="008B731E" w:rsidRPr="00495733" w:rsidRDefault="008B731E" w:rsidP="008B731E">
      <w:pPr>
        <w:rPr>
          <w:rFonts w:ascii="Arial" w:hAnsi="Arial" w:cs="Arial"/>
          <w:i/>
          <w:sz w:val="22"/>
          <w:szCs w:val="22"/>
        </w:rPr>
      </w:pPr>
    </w:p>
    <w:p w:rsidR="008B731E" w:rsidRPr="00495733" w:rsidRDefault="008B731E" w:rsidP="008B731E">
      <w:pPr>
        <w:rPr>
          <w:rFonts w:ascii="Arial" w:hAnsi="Arial" w:cs="Arial"/>
          <w:i/>
          <w:sz w:val="22"/>
          <w:szCs w:val="22"/>
        </w:rPr>
      </w:pPr>
    </w:p>
    <w:p w:rsidR="008B731E" w:rsidRPr="00495733" w:rsidRDefault="00495733" w:rsidP="008B731E">
      <w:pPr>
        <w:rPr>
          <w:rFonts w:ascii="Arial" w:hAnsi="Arial" w:cs="Arial"/>
          <w:sz w:val="22"/>
          <w:szCs w:val="22"/>
        </w:rPr>
      </w:pPr>
      <w:r w:rsidRPr="00E120DE">
        <w:rPr>
          <w:rFonts w:ascii="Arial" w:hAnsi="Arial" w:cs="Arial"/>
          <w:b/>
          <w:u w:val="single"/>
        </w:rPr>
        <w:t>I</w:t>
      </w:r>
      <w:r w:rsidR="008B731E" w:rsidRPr="00E120DE">
        <w:rPr>
          <w:rFonts w:ascii="Arial" w:hAnsi="Arial" w:cs="Arial"/>
          <w:b/>
          <w:u w:val="single"/>
        </w:rPr>
        <w:t>nvestigators</w:t>
      </w:r>
      <w:r w:rsidR="008B731E" w:rsidRPr="00E120DE">
        <w:rPr>
          <w:rFonts w:ascii="Arial" w:hAnsi="Arial" w:cs="Arial"/>
          <w:b/>
        </w:rPr>
        <w:t> :</w:t>
      </w:r>
      <w:r w:rsidR="008B731E" w:rsidRPr="00495733">
        <w:rPr>
          <w:rFonts w:ascii="Arial" w:hAnsi="Arial" w:cs="Arial"/>
          <w:b/>
          <w:sz w:val="22"/>
          <w:szCs w:val="22"/>
        </w:rPr>
        <w:t xml:space="preserve"> </w:t>
      </w:r>
      <w:r w:rsidR="008B731E" w:rsidRPr="00495733">
        <w:rPr>
          <w:rFonts w:ascii="Arial" w:hAnsi="Arial" w:cs="Arial"/>
          <w:b/>
          <w:sz w:val="22"/>
          <w:szCs w:val="22"/>
        </w:rPr>
        <w:tab/>
      </w:r>
      <w:r w:rsidR="008B731E" w:rsidRPr="00495733">
        <w:rPr>
          <w:rFonts w:ascii="Arial" w:hAnsi="Arial" w:cs="Arial"/>
          <w:b/>
          <w:sz w:val="22"/>
          <w:szCs w:val="22"/>
        </w:rPr>
        <w:tab/>
      </w:r>
      <w:r w:rsidR="008B731E" w:rsidRPr="00495733">
        <w:rPr>
          <w:rFonts w:ascii="Arial" w:hAnsi="Arial" w:cs="Arial"/>
          <w:sz w:val="22"/>
          <w:szCs w:val="22"/>
        </w:rPr>
        <w:t>Dr PD A Zanchi, MD, Service de Néphrologie</w:t>
      </w:r>
    </w:p>
    <w:p w:rsidR="00495733" w:rsidRPr="00495733" w:rsidRDefault="00495733" w:rsidP="008B731E">
      <w:pPr>
        <w:rPr>
          <w:rFonts w:ascii="Arial" w:hAnsi="Arial" w:cs="Arial"/>
          <w:sz w:val="22"/>
          <w:szCs w:val="22"/>
        </w:rPr>
      </w:pPr>
    </w:p>
    <w:p w:rsidR="008B731E" w:rsidRPr="00495733" w:rsidRDefault="008B731E" w:rsidP="008B731E">
      <w:pPr>
        <w:ind w:left="2124" w:firstLine="708"/>
        <w:rPr>
          <w:rFonts w:ascii="Arial" w:hAnsi="Arial" w:cs="Arial"/>
          <w:sz w:val="22"/>
          <w:szCs w:val="22"/>
        </w:rPr>
      </w:pPr>
      <w:r w:rsidRPr="00495733">
        <w:rPr>
          <w:rFonts w:ascii="Arial" w:hAnsi="Arial" w:cs="Arial"/>
          <w:sz w:val="22"/>
          <w:szCs w:val="22"/>
        </w:rPr>
        <w:t xml:space="preserve">Dr  </w:t>
      </w:r>
      <w:r w:rsidR="00812F6E" w:rsidRPr="00495733">
        <w:rPr>
          <w:rFonts w:ascii="Arial" w:hAnsi="Arial" w:cs="Arial"/>
          <w:sz w:val="22"/>
          <w:szCs w:val="22"/>
        </w:rPr>
        <w:t xml:space="preserve">D </w:t>
      </w:r>
      <w:r w:rsidRPr="00495733">
        <w:rPr>
          <w:rFonts w:ascii="Arial" w:hAnsi="Arial" w:cs="Arial"/>
          <w:sz w:val="22"/>
          <w:szCs w:val="22"/>
        </w:rPr>
        <w:t>Teta MD-PhD, Service de Néphrologie</w:t>
      </w:r>
    </w:p>
    <w:p w:rsidR="008B731E" w:rsidRPr="00495733" w:rsidRDefault="008B731E" w:rsidP="008B731E">
      <w:pPr>
        <w:ind w:left="2124" w:firstLine="708"/>
        <w:rPr>
          <w:rFonts w:ascii="Arial" w:hAnsi="Arial" w:cs="Arial"/>
          <w:sz w:val="22"/>
          <w:szCs w:val="22"/>
        </w:rPr>
      </w:pPr>
      <w:r w:rsidRPr="00495733">
        <w:rPr>
          <w:rFonts w:ascii="Arial" w:hAnsi="Arial" w:cs="Arial"/>
          <w:sz w:val="22"/>
          <w:szCs w:val="22"/>
        </w:rPr>
        <w:t>Prof L Tappy, MD, Département de physiologie</w:t>
      </w:r>
    </w:p>
    <w:p w:rsidR="008B731E" w:rsidRPr="00495733" w:rsidRDefault="008B731E" w:rsidP="008B731E">
      <w:pPr>
        <w:ind w:left="2124" w:firstLine="708"/>
        <w:rPr>
          <w:rFonts w:ascii="Arial" w:hAnsi="Arial" w:cs="Arial"/>
          <w:sz w:val="22"/>
          <w:szCs w:val="22"/>
        </w:rPr>
      </w:pPr>
      <w:r w:rsidRPr="00495733">
        <w:rPr>
          <w:rFonts w:ascii="Arial" w:hAnsi="Arial" w:cs="Arial"/>
          <w:sz w:val="22"/>
          <w:szCs w:val="22"/>
        </w:rPr>
        <w:t xml:space="preserve">Dr PD-MER N Theumann, MD, Service de radiologie </w:t>
      </w:r>
    </w:p>
    <w:p w:rsidR="008B731E" w:rsidRPr="00495733" w:rsidRDefault="008B731E" w:rsidP="008B731E">
      <w:pPr>
        <w:ind w:left="2124" w:firstLine="708"/>
        <w:rPr>
          <w:rFonts w:ascii="Arial" w:hAnsi="Arial" w:cs="Arial"/>
          <w:sz w:val="22"/>
          <w:szCs w:val="22"/>
        </w:rPr>
      </w:pPr>
      <w:r w:rsidRPr="00495733">
        <w:rPr>
          <w:rFonts w:ascii="Arial" w:hAnsi="Arial" w:cs="Arial"/>
          <w:sz w:val="22"/>
          <w:szCs w:val="22"/>
        </w:rPr>
        <w:t xml:space="preserve">Dr G Halabi, MD, Service de Néphrologie </w:t>
      </w:r>
    </w:p>
    <w:p w:rsidR="008B731E" w:rsidRPr="00495733" w:rsidRDefault="008B731E" w:rsidP="008B731E">
      <w:pPr>
        <w:ind w:left="2124" w:firstLine="708"/>
        <w:rPr>
          <w:rFonts w:ascii="Arial" w:hAnsi="Arial" w:cs="Arial"/>
          <w:sz w:val="22"/>
          <w:szCs w:val="22"/>
        </w:rPr>
      </w:pPr>
      <w:r w:rsidRPr="00495733">
        <w:rPr>
          <w:rFonts w:ascii="Arial" w:hAnsi="Arial" w:cs="Arial"/>
          <w:sz w:val="22"/>
          <w:szCs w:val="22"/>
        </w:rPr>
        <w:t>Dr T Gauthier MD, Service de Néphrologie</w:t>
      </w:r>
    </w:p>
    <w:p w:rsidR="008B731E" w:rsidRPr="00495733" w:rsidRDefault="008B731E" w:rsidP="008B731E">
      <w:pPr>
        <w:ind w:left="2124" w:firstLine="708"/>
        <w:rPr>
          <w:rFonts w:ascii="Arial" w:hAnsi="Arial" w:cs="Arial"/>
          <w:sz w:val="22"/>
          <w:szCs w:val="22"/>
        </w:rPr>
      </w:pPr>
      <w:r w:rsidRPr="00495733">
        <w:rPr>
          <w:rFonts w:ascii="Arial" w:hAnsi="Arial" w:cs="Arial"/>
          <w:sz w:val="22"/>
          <w:szCs w:val="22"/>
        </w:rPr>
        <w:t>Dr M Maillard, PhD, Service de Néphrologie</w:t>
      </w:r>
    </w:p>
    <w:p w:rsidR="008B731E" w:rsidRPr="00495733" w:rsidRDefault="008B731E" w:rsidP="008B731E">
      <w:pPr>
        <w:ind w:left="2124" w:firstLine="708"/>
        <w:rPr>
          <w:rFonts w:ascii="Arial" w:hAnsi="Arial" w:cs="Arial"/>
          <w:sz w:val="22"/>
          <w:szCs w:val="22"/>
        </w:rPr>
      </w:pPr>
      <w:r w:rsidRPr="00495733">
        <w:rPr>
          <w:rFonts w:ascii="Arial" w:hAnsi="Arial" w:cs="Arial"/>
          <w:sz w:val="22"/>
          <w:szCs w:val="22"/>
        </w:rPr>
        <w:t>Prof M Roulet, MD, Unité de Nutrition clinique</w:t>
      </w:r>
    </w:p>
    <w:p w:rsidR="008B731E" w:rsidRPr="00495733" w:rsidRDefault="008B731E" w:rsidP="008B731E">
      <w:pPr>
        <w:ind w:left="2124" w:firstLine="708"/>
        <w:rPr>
          <w:rFonts w:ascii="Arial" w:hAnsi="Arial" w:cs="Arial"/>
          <w:sz w:val="22"/>
          <w:szCs w:val="22"/>
        </w:rPr>
      </w:pPr>
      <w:r w:rsidRPr="00495733">
        <w:rPr>
          <w:rFonts w:ascii="Arial" w:hAnsi="Arial" w:cs="Arial"/>
          <w:sz w:val="22"/>
          <w:szCs w:val="22"/>
        </w:rPr>
        <w:t xml:space="preserve">Prof. Michel Burnier, </w:t>
      </w:r>
      <w:r w:rsidR="00812F6E" w:rsidRPr="00495733">
        <w:rPr>
          <w:rFonts w:ascii="Arial" w:hAnsi="Arial" w:cs="Arial"/>
          <w:sz w:val="22"/>
          <w:szCs w:val="22"/>
        </w:rPr>
        <w:t xml:space="preserve">MD, </w:t>
      </w:r>
      <w:r w:rsidRPr="00495733">
        <w:rPr>
          <w:rFonts w:ascii="Arial" w:hAnsi="Arial" w:cs="Arial"/>
          <w:sz w:val="22"/>
          <w:szCs w:val="22"/>
        </w:rPr>
        <w:t>Service de Néphrologie</w:t>
      </w:r>
    </w:p>
    <w:p w:rsidR="008B731E" w:rsidRPr="00495733" w:rsidRDefault="008B731E" w:rsidP="008B731E">
      <w:pPr>
        <w:rPr>
          <w:rFonts w:ascii="Arial" w:hAnsi="Arial" w:cs="Arial"/>
          <w:sz w:val="20"/>
        </w:rPr>
      </w:pPr>
    </w:p>
    <w:p w:rsidR="008B731E" w:rsidRPr="00495733" w:rsidRDefault="008B731E" w:rsidP="008B731E">
      <w:pPr>
        <w:rPr>
          <w:rFonts w:ascii="Arial" w:hAnsi="Arial" w:cs="Arial"/>
          <w:sz w:val="20"/>
        </w:rPr>
      </w:pPr>
    </w:p>
    <w:p w:rsidR="00C84DD1" w:rsidRPr="00495733" w:rsidRDefault="00C84DD1" w:rsidP="00C84DD1">
      <w:pPr>
        <w:tabs>
          <w:tab w:val="left" w:pos="4820"/>
        </w:tabs>
        <w:rPr>
          <w:rFonts w:ascii="Arial" w:hAnsi="Arial" w:cs="Arial"/>
        </w:rPr>
      </w:pPr>
    </w:p>
    <w:p w:rsidR="00C84DD1" w:rsidRPr="00495733" w:rsidRDefault="00C84DD1" w:rsidP="00C84DD1">
      <w:pPr>
        <w:tabs>
          <w:tab w:val="left" w:pos="4820"/>
        </w:tabs>
        <w:rPr>
          <w:rFonts w:ascii="Arial" w:hAnsi="Arial" w:cs="Arial"/>
          <w:b/>
          <w:u w:val="single"/>
          <w:lang w:val="en-US"/>
        </w:rPr>
      </w:pPr>
      <w:r w:rsidRPr="00495733">
        <w:rPr>
          <w:rFonts w:ascii="Arial" w:hAnsi="Arial" w:cs="Arial"/>
          <w:b/>
          <w:u w:val="single"/>
          <w:lang w:val="en-US"/>
        </w:rPr>
        <w:t>Introduction</w:t>
      </w:r>
      <w:r w:rsidR="00E120DE" w:rsidRPr="00E120DE">
        <w:rPr>
          <w:rFonts w:ascii="Arial" w:hAnsi="Arial" w:cs="Arial"/>
          <w:b/>
          <w:lang w:val="en-US"/>
        </w:rPr>
        <w:t xml:space="preserve"> </w:t>
      </w:r>
      <w:r w:rsidR="00E120DE">
        <w:rPr>
          <w:rFonts w:ascii="Arial" w:hAnsi="Arial" w:cs="Arial"/>
          <w:b/>
          <w:u w:val="single"/>
          <w:lang w:val="en-US"/>
        </w:rPr>
        <w:t>:</w:t>
      </w:r>
    </w:p>
    <w:p w:rsidR="00C84DD1" w:rsidRPr="00495733" w:rsidRDefault="00C84DD1" w:rsidP="00C84DD1">
      <w:pPr>
        <w:tabs>
          <w:tab w:val="left" w:pos="4820"/>
        </w:tabs>
        <w:rPr>
          <w:rFonts w:ascii="Arial" w:hAnsi="Arial" w:cs="Arial"/>
          <w:lang w:val="en-US"/>
        </w:rPr>
      </w:pPr>
    </w:p>
    <w:p w:rsidR="00C84DD1" w:rsidRPr="002E2FC3" w:rsidRDefault="00C84DD1" w:rsidP="00E120DE">
      <w:pPr>
        <w:tabs>
          <w:tab w:val="left" w:pos="4820"/>
        </w:tabs>
        <w:jc w:val="both"/>
        <w:rPr>
          <w:rFonts w:ascii="Arial" w:hAnsi="Arial" w:cs="Arial"/>
          <w:sz w:val="22"/>
          <w:szCs w:val="22"/>
          <w:lang w:val="en-US"/>
        </w:rPr>
      </w:pPr>
      <w:r w:rsidRPr="002E2FC3">
        <w:rPr>
          <w:rFonts w:ascii="Arial" w:hAnsi="Arial" w:cs="Arial"/>
          <w:sz w:val="22"/>
          <w:szCs w:val="22"/>
          <w:lang w:val="en-US"/>
        </w:rPr>
        <w:t>Patients with end stage renal disease (ESRD) on dialysis have high cardiovascular mortality, accelerated athe</w:t>
      </w:r>
      <w:r w:rsidR="008B731E" w:rsidRPr="002E2FC3">
        <w:rPr>
          <w:rFonts w:ascii="Arial" w:hAnsi="Arial" w:cs="Arial"/>
          <w:sz w:val="22"/>
          <w:szCs w:val="22"/>
          <w:lang w:val="en-US"/>
        </w:rPr>
        <w:t>rosclerosis, hypertension, accumul</w:t>
      </w:r>
      <w:r w:rsidRPr="002E2FC3">
        <w:rPr>
          <w:rFonts w:ascii="Arial" w:hAnsi="Arial" w:cs="Arial"/>
          <w:sz w:val="22"/>
          <w:szCs w:val="22"/>
          <w:lang w:val="en-US"/>
        </w:rPr>
        <w:t>ation of central fat, a high prevalence of</w:t>
      </w:r>
      <w:r w:rsidR="008B731E" w:rsidRPr="002E2FC3">
        <w:rPr>
          <w:rFonts w:ascii="Arial" w:hAnsi="Arial" w:cs="Arial"/>
          <w:sz w:val="22"/>
          <w:szCs w:val="22"/>
          <w:lang w:val="en-US"/>
        </w:rPr>
        <w:t xml:space="preserve"> protein energy wasting and </w:t>
      </w:r>
      <w:r w:rsidRPr="002E2FC3">
        <w:rPr>
          <w:rFonts w:ascii="Arial" w:hAnsi="Arial" w:cs="Arial"/>
          <w:sz w:val="22"/>
          <w:szCs w:val="22"/>
          <w:lang w:val="en-US"/>
        </w:rPr>
        <w:t>inflammation. These abnormalities are all associat</w:t>
      </w:r>
      <w:r w:rsidR="00495733" w:rsidRPr="002E2FC3">
        <w:rPr>
          <w:rFonts w:ascii="Arial" w:hAnsi="Arial" w:cs="Arial"/>
          <w:sz w:val="22"/>
          <w:szCs w:val="22"/>
          <w:lang w:val="en-US"/>
        </w:rPr>
        <w:t>ed with insulin resistance (IR) which appears to be central in the pathogenesis of these complications</w:t>
      </w:r>
      <w:r w:rsidR="00CE73BA" w:rsidRPr="002E2FC3">
        <w:rPr>
          <w:rFonts w:ascii="Arial" w:hAnsi="Arial" w:cs="Arial"/>
          <w:sz w:val="22"/>
          <w:szCs w:val="22"/>
          <w:lang w:val="en-US"/>
        </w:rPr>
        <w:t>.</w:t>
      </w:r>
    </w:p>
    <w:p w:rsidR="00C84DD1" w:rsidRPr="002E2FC3" w:rsidRDefault="00C84DD1" w:rsidP="00E120DE">
      <w:pPr>
        <w:tabs>
          <w:tab w:val="left" w:pos="4820"/>
        </w:tabs>
        <w:jc w:val="both"/>
        <w:rPr>
          <w:rFonts w:ascii="Arial" w:hAnsi="Arial" w:cs="Arial"/>
          <w:sz w:val="22"/>
          <w:szCs w:val="22"/>
          <w:lang w:val="en-US"/>
        </w:rPr>
      </w:pPr>
    </w:p>
    <w:p w:rsidR="00C84DD1" w:rsidRPr="002E2FC3" w:rsidRDefault="00C84DD1" w:rsidP="00E120DE">
      <w:pPr>
        <w:tabs>
          <w:tab w:val="left" w:pos="4820"/>
        </w:tabs>
        <w:jc w:val="both"/>
        <w:rPr>
          <w:rFonts w:ascii="Arial" w:hAnsi="Arial" w:cs="Arial"/>
          <w:sz w:val="22"/>
          <w:szCs w:val="22"/>
          <w:lang w:val="en-US"/>
        </w:rPr>
      </w:pPr>
      <w:r w:rsidRPr="002E2FC3">
        <w:rPr>
          <w:rFonts w:ascii="Arial" w:hAnsi="Arial" w:cs="Arial"/>
          <w:sz w:val="22"/>
          <w:szCs w:val="22"/>
          <w:lang w:val="en-US"/>
        </w:rPr>
        <w:t>Glitazones are oral antidiabetic drugs known to reduce IR. These drugs act as agonists of peroxysome pro</w:t>
      </w:r>
      <w:r w:rsidR="00CC1096" w:rsidRPr="002E2FC3">
        <w:rPr>
          <w:rFonts w:ascii="Arial" w:hAnsi="Arial" w:cs="Arial"/>
          <w:sz w:val="22"/>
          <w:szCs w:val="22"/>
          <w:lang w:val="en-US"/>
        </w:rPr>
        <w:t>liferator agonists gamma (PPAR-</w:t>
      </w:r>
      <w:r w:rsidR="002F5857" w:rsidRPr="002E2FC3">
        <w:rPr>
          <w:rFonts w:ascii="Arial" w:hAnsi="Arial" w:cs="Arial"/>
          <w:sz w:val="22"/>
          <w:szCs w:val="22"/>
          <w:lang w:val="en-US"/>
        </w:rPr>
        <w:t>g</w:t>
      </w:r>
      <w:r w:rsidR="001F2E5B" w:rsidRPr="002E2FC3">
        <w:rPr>
          <w:rFonts w:ascii="Arial" w:hAnsi="Arial" w:cs="Arial"/>
          <w:sz w:val="22"/>
          <w:szCs w:val="22"/>
          <w:lang w:val="en-US"/>
        </w:rPr>
        <w:t xml:space="preserve">), </w:t>
      </w:r>
      <w:r w:rsidR="004A6D1B" w:rsidRPr="002E2FC3">
        <w:rPr>
          <w:rFonts w:ascii="Arial" w:hAnsi="Arial" w:cs="Arial"/>
          <w:sz w:val="22"/>
          <w:szCs w:val="22"/>
          <w:lang w:val="en-US"/>
        </w:rPr>
        <w:t>wh</w:t>
      </w:r>
      <w:r w:rsidRPr="002E2FC3">
        <w:rPr>
          <w:rFonts w:ascii="Arial" w:hAnsi="Arial" w:cs="Arial"/>
          <w:sz w:val="22"/>
          <w:szCs w:val="22"/>
          <w:lang w:val="en-US"/>
        </w:rPr>
        <w:t>i</w:t>
      </w:r>
      <w:r w:rsidR="004A6D1B" w:rsidRPr="002E2FC3">
        <w:rPr>
          <w:rFonts w:ascii="Arial" w:hAnsi="Arial" w:cs="Arial"/>
          <w:sz w:val="22"/>
          <w:szCs w:val="22"/>
          <w:lang w:val="en-US"/>
        </w:rPr>
        <w:t>c</w:t>
      </w:r>
      <w:r w:rsidRPr="002E2FC3">
        <w:rPr>
          <w:rFonts w:ascii="Arial" w:hAnsi="Arial" w:cs="Arial"/>
          <w:sz w:val="22"/>
          <w:szCs w:val="22"/>
          <w:lang w:val="en-US"/>
        </w:rPr>
        <w:t>h are abundantly expressed in the adipose tissue. Glitazones are essentially prescribed in type 2 d</w:t>
      </w:r>
      <w:r w:rsidR="004A6D1B" w:rsidRPr="002E2FC3">
        <w:rPr>
          <w:rFonts w:ascii="Arial" w:hAnsi="Arial" w:cs="Arial"/>
          <w:sz w:val="22"/>
          <w:szCs w:val="22"/>
          <w:lang w:val="en-US"/>
        </w:rPr>
        <w:t>iabetes patients to reduce glyc</w:t>
      </w:r>
      <w:r w:rsidRPr="002E2FC3">
        <w:rPr>
          <w:rFonts w:ascii="Arial" w:hAnsi="Arial" w:cs="Arial"/>
          <w:sz w:val="22"/>
          <w:szCs w:val="22"/>
          <w:lang w:val="en-US"/>
        </w:rPr>
        <w:t xml:space="preserve">emia but they also have pleiotropic effects. In </w:t>
      </w:r>
      <w:r w:rsidR="004A6D1B" w:rsidRPr="002E2FC3">
        <w:rPr>
          <w:rFonts w:ascii="Arial" w:hAnsi="Arial" w:cs="Arial"/>
          <w:sz w:val="22"/>
          <w:szCs w:val="22"/>
          <w:lang w:val="en-US"/>
        </w:rPr>
        <w:t xml:space="preserve">particular, glitazones </w:t>
      </w:r>
      <w:r w:rsidRPr="002E2FC3">
        <w:rPr>
          <w:rFonts w:ascii="Arial" w:hAnsi="Arial" w:cs="Arial"/>
          <w:sz w:val="22"/>
          <w:szCs w:val="22"/>
          <w:lang w:val="en-US"/>
        </w:rPr>
        <w:t>reduce blood pressure and have anti-atherogenic and anti-inflammatory actions, which make them potentially valuable for dialysis patients.</w:t>
      </w:r>
    </w:p>
    <w:p w:rsidR="00C84DD1" w:rsidRPr="002E2FC3" w:rsidRDefault="00C84DD1" w:rsidP="00E120DE">
      <w:pPr>
        <w:tabs>
          <w:tab w:val="left" w:pos="4820"/>
        </w:tabs>
        <w:jc w:val="both"/>
        <w:rPr>
          <w:rFonts w:ascii="Arial" w:hAnsi="Arial" w:cs="Arial"/>
          <w:sz w:val="22"/>
          <w:szCs w:val="22"/>
          <w:lang w:val="en-US"/>
        </w:rPr>
      </w:pPr>
    </w:p>
    <w:p w:rsidR="00C84DD1" w:rsidRPr="002E2FC3" w:rsidRDefault="00C84DD1" w:rsidP="00E120DE">
      <w:pPr>
        <w:tabs>
          <w:tab w:val="left" w:pos="4820"/>
        </w:tabs>
        <w:jc w:val="both"/>
        <w:rPr>
          <w:rFonts w:ascii="Arial" w:hAnsi="Arial" w:cs="Arial"/>
          <w:sz w:val="22"/>
          <w:szCs w:val="22"/>
          <w:lang w:val="en-US"/>
        </w:rPr>
      </w:pPr>
      <w:r w:rsidRPr="002E2FC3">
        <w:rPr>
          <w:rFonts w:ascii="Arial" w:hAnsi="Arial" w:cs="Arial"/>
          <w:sz w:val="22"/>
          <w:szCs w:val="22"/>
          <w:lang w:val="en-US"/>
        </w:rPr>
        <w:t xml:space="preserve">Glitazones are known to induce adipose tissue redistribution, from visceral (central) to subcutaneous adipose tissue. They also </w:t>
      </w:r>
      <w:r w:rsidR="001F2E5B" w:rsidRPr="002E2FC3">
        <w:rPr>
          <w:rFonts w:ascii="Arial" w:hAnsi="Arial" w:cs="Arial"/>
          <w:sz w:val="22"/>
          <w:szCs w:val="22"/>
          <w:lang w:val="en-US"/>
        </w:rPr>
        <w:t xml:space="preserve">stimulate </w:t>
      </w:r>
      <w:r w:rsidRPr="002E2FC3">
        <w:rPr>
          <w:rFonts w:ascii="Arial" w:hAnsi="Arial" w:cs="Arial"/>
          <w:sz w:val="22"/>
          <w:szCs w:val="22"/>
          <w:lang w:val="en-US"/>
        </w:rPr>
        <w:t>the different</w:t>
      </w:r>
      <w:r w:rsidR="004A6D1B" w:rsidRPr="002E2FC3">
        <w:rPr>
          <w:rFonts w:ascii="Arial" w:hAnsi="Arial" w:cs="Arial"/>
          <w:sz w:val="22"/>
          <w:szCs w:val="22"/>
          <w:lang w:val="en-US"/>
        </w:rPr>
        <w:t>i</w:t>
      </w:r>
      <w:r w:rsidRPr="002E2FC3">
        <w:rPr>
          <w:rFonts w:ascii="Arial" w:hAnsi="Arial" w:cs="Arial"/>
          <w:sz w:val="22"/>
          <w:szCs w:val="22"/>
          <w:lang w:val="en-US"/>
        </w:rPr>
        <w:t>ation of pre-adipocytes into «</w:t>
      </w:r>
      <w:r w:rsidR="00E120DE" w:rsidRPr="002E2FC3">
        <w:rPr>
          <w:rFonts w:ascii="Arial" w:hAnsi="Arial" w:cs="Arial"/>
          <w:sz w:val="22"/>
          <w:szCs w:val="22"/>
          <w:lang w:val="en-US"/>
        </w:rPr>
        <w:t> more favorable adipocytes »</w:t>
      </w:r>
      <w:r w:rsidR="00143545">
        <w:rPr>
          <w:rFonts w:ascii="Arial" w:hAnsi="Arial" w:cs="Arial"/>
          <w:sz w:val="22"/>
          <w:szCs w:val="22"/>
          <w:lang w:val="en-US"/>
        </w:rPr>
        <w:t xml:space="preserve">, increase plasma adiponectin (an insulin-sensitizing adipokine), reduce inflammation </w:t>
      </w:r>
      <w:r w:rsidR="00E120DE" w:rsidRPr="002E2FC3">
        <w:rPr>
          <w:rFonts w:ascii="Arial" w:hAnsi="Arial" w:cs="Arial"/>
          <w:sz w:val="22"/>
          <w:szCs w:val="22"/>
          <w:lang w:val="en-US"/>
        </w:rPr>
        <w:t xml:space="preserve">and this contribute to </w:t>
      </w:r>
      <w:r w:rsidRPr="002E2FC3">
        <w:rPr>
          <w:rFonts w:ascii="Arial" w:hAnsi="Arial" w:cs="Arial"/>
          <w:sz w:val="22"/>
          <w:szCs w:val="22"/>
          <w:lang w:val="en-US"/>
        </w:rPr>
        <w:t>improve dyslipidemia and blood pressure control. Overall glitazones induce a mean weigh gain of 3 kg</w:t>
      </w:r>
      <w:r w:rsidR="004A6D1B" w:rsidRPr="002E2FC3">
        <w:rPr>
          <w:rFonts w:ascii="Arial" w:hAnsi="Arial" w:cs="Arial"/>
          <w:sz w:val="22"/>
          <w:szCs w:val="22"/>
          <w:lang w:val="en-US"/>
        </w:rPr>
        <w:t xml:space="preserve"> </w:t>
      </w:r>
      <w:r w:rsidRPr="002E2FC3">
        <w:rPr>
          <w:rFonts w:ascii="Arial" w:hAnsi="Arial" w:cs="Arial"/>
          <w:sz w:val="22"/>
          <w:szCs w:val="22"/>
          <w:lang w:val="en-US"/>
        </w:rPr>
        <w:t>(1). Some studies showed</w:t>
      </w:r>
      <w:r w:rsidR="00812F6E" w:rsidRPr="002E2FC3">
        <w:rPr>
          <w:rFonts w:ascii="Arial" w:hAnsi="Arial" w:cs="Arial"/>
          <w:sz w:val="22"/>
          <w:szCs w:val="22"/>
          <w:lang w:val="en-US"/>
        </w:rPr>
        <w:t xml:space="preserve"> that there is accu</w:t>
      </w:r>
      <w:r w:rsidR="004A6D1B" w:rsidRPr="002E2FC3">
        <w:rPr>
          <w:rFonts w:ascii="Arial" w:hAnsi="Arial" w:cs="Arial"/>
          <w:sz w:val="22"/>
          <w:szCs w:val="22"/>
          <w:lang w:val="en-US"/>
        </w:rPr>
        <w:t>mu</w:t>
      </w:r>
      <w:r w:rsidR="00812F6E" w:rsidRPr="002E2FC3">
        <w:rPr>
          <w:rFonts w:ascii="Arial" w:hAnsi="Arial" w:cs="Arial"/>
          <w:sz w:val="22"/>
          <w:szCs w:val="22"/>
          <w:lang w:val="en-US"/>
        </w:rPr>
        <w:t>lation of sub</w:t>
      </w:r>
      <w:r w:rsidRPr="002E2FC3">
        <w:rPr>
          <w:rFonts w:ascii="Arial" w:hAnsi="Arial" w:cs="Arial"/>
          <w:sz w:val="22"/>
          <w:szCs w:val="22"/>
          <w:lang w:val="en-US"/>
        </w:rPr>
        <w:t xml:space="preserve">cutaneous adipose tissue, together with a reduction of visceral adipose tissue (2,3). Glitazones have no effect on energy expenditure. This is why the </w:t>
      </w:r>
      <w:r w:rsidR="004A6D1B" w:rsidRPr="002E2FC3">
        <w:rPr>
          <w:rFonts w:ascii="Arial" w:hAnsi="Arial" w:cs="Arial"/>
          <w:sz w:val="22"/>
          <w:szCs w:val="22"/>
          <w:lang w:val="en-US"/>
        </w:rPr>
        <w:t>i</w:t>
      </w:r>
      <w:r w:rsidRPr="002E2FC3">
        <w:rPr>
          <w:rFonts w:ascii="Arial" w:hAnsi="Arial" w:cs="Arial"/>
          <w:sz w:val="22"/>
          <w:szCs w:val="22"/>
          <w:lang w:val="en-US"/>
        </w:rPr>
        <w:t xml:space="preserve">ncrease in body weight may be due to an increase </w:t>
      </w:r>
      <w:r w:rsidR="004A6D1B" w:rsidRPr="002E2FC3">
        <w:rPr>
          <w:rFonts w:ascii="Arial" w:hAnsi="Arial" w:cs="Arial"/>
          <w:sz w:val="22"/>
          <w:szCs w:val="22"/>
          <w:lang w:val="en-US"/>
        </w:rPr>
        <w:t xml:space="preserve">in calorie intake, estimated to </w:t>
      </w:r>
      <w:r w:rsidRPr="002E2FC3">
        <w:rPr>
          <w:rFonts w:ascii="Arial" w:hAnsi="Arial" w:cs="Arial"/>
          <w:sz w:val="22"/>
          <w:szCs w:val="22"/>
          <w:lang w:val="en-US"/>
        </w:rPr>
        <w:t>175 kcal/day in the latter study, although food questionnai</w:t>
      </w:r>
      <w:r w:rsidR="00812F6E" w:rsidRPr="002E2FC3">
        <w:rPr>
          <w:rFonts w:ascii="Arial" w:hAnsi="Arial" w:cs="Arial"/>
          <w:sz w:val="22"/>
          <w:szCs w:val="22"/>
          <w:lang w:val="en-US"/>
        </w:rPr>
        <w:t xml:space="preserve">res failed to show differences </w:t>
      </w:r>
      <w:r w:rsidRPr="002E2FC3">
        <w:rPr>
          <w:rFonts w:ascii="Arial" w:hAnsi="Arial" w:cs="Arial"/>
          <w:sz w:val="22"/>
          <w:szCs w:val="22"/>
          <w:lang w:val="en-US"/>
        </w:rPr>
        <w:t>between glitazones and placebo users. In an animal model of IR, where calorie intake is readily measurable, we were able to show that glitazones clearly increase calorie intake. In addition to ESRD, the dialysis technique</w:t>
      </w:r>
      <w:r w:rsidR="001F2E5B" w:rsidRPr="002E2FC3">
        <w:rPr>
          <w:rFonts w:ascii="Arial" w:hAnsi="Arial" w:cs="Arial"/>
          <w:sz w:val="22"/>
          <w:szCs w:val="22"/>
          <w:lang w:val="en-US"/>
        </w:rPr>
        <w:t xml:space="preserve"> itself</w:t>
      </w:r>
      <w:r w:rsidRPr="002E2FC3">
        <w:rPr>
          <w:rFonts w:ascii="Arial" w:hAnsi="Arial" w:cs="Arial"/>
          <w:sz w:val="22"/>
          <w:szCs w:val="22"/>
          <w:lang w:val="en-US"/>
        </w:rPr>
        <w:t xml:space="preserve"> has a specific impact on body composition. In particular patients on perito</w:t>
      </w:r>
      <w:r w:rsidR="004A6D1B" w:rsidRPr="002E2FC3">
        <w:rPr>
          <w:rFonts w:ascii="Arial" w:hAnsi="Arial" w:cs="Arial"/>
          <w:sz w:val="22"/>
          <w:szCs w:val="22"/>
          <w:lang w:val="en-US"/>
        </w:rPr>
        <w:t>neal dialysis (PD) tend to accumul</w:t>
      </w:r>
      <w:r w:rsidRPr="002E2FC3">
        <w:rPr>
          <w:rFonts w:ascii="Arial" w:hAnsi="Arial" w:cs="Arial"/>
          <w:sz w:val="22"/>
          <w:szCs w:val="22"/>
          <w:lang w:val="en-US"/>
        </w:rPr>
        <w:t>ate more adipose tissue than patients treat</w:t>
      </w:r>
      <w:r w:rsidR="004A6D1B" w:rsidRPr="002E2FC3">
        <w:rPr>
          <w:rFonts w:ascii="Arial" w:hAnsi="Arial" w:cs="Arial"/>
          <w:sz w:val="22"/>
          <w:szCs w:val="22"/>
          <w:lang w:val="en-US"/>
        </w:rPr>
        <w:t>e</w:t>
      </w:r>
      <w:r w:rsidRPr="002E2FC3">
        <w:rPr>
          <w:rFonts w:ascii="Arial" w:hAnsi="Arial" w:cs="Arial"/>
          <w:sz w:val="22"/>
          <w:szCs w:val="22"/>
          <w:lang w:val="en-US"/>
        </w:rPr>
        <w:t>d by hemodialysis (HD). As a consequence, we would like to investigate w</w:t>
      </w:r>
      <w:r w:rsidR="004A6D1B" w:rsidRPr="002E2FC3">
        <w:rPr>
          <w:rFonts w:ascii="Arial" w:hAnsi="Arial" w:cs="Arial"/>
          <w:sz w:val="22"/>
          <w:szCs w:val="22"/>
          <w:lang w:val="en-US"/>
        </w:rPr>
        <w:t>h</w:t>
      </w:r>
      <w:r w:rsidR="001F2E5B" w:rsidRPr="002E2FC3">
        <w:rPr>
          <w:rFonts w:ascii="Arial" w:hAnsi="Arial" w:cs="Arial"/>
          <w:sz w:val="22"/>
          <w:szCs w:val="22"/>
          <w:lang w:val="en-US"/>
        </w:rPr>
        <w:t xml:space="preserve">ether </w:t>
      </w:r>
      <w:r w:rsidRPr="002E2FC3">
        <w:rPr>
          <w:rFonts w:ascii="Arial" w:hAnsi="Arial" w:cs="Arial"/>
          <w:sz w:val="22"/>
          <w:szCs w:val="22"/>
          <w:lang w:val="en-US"/>
        </w:rPr>
        <w:t xml:space="preserve">the effect of glitazones on body composition may differ between treatment modalities. </w:t>
      </w:r>
    </w:p>
    <w:p w:rsidR="00C84DD1" w:rsidRPr="002E2FC3" w:rsidRDefault="00C84DD1" w:rsidP="00E120DE">
      <w:pPr>
        <w:tabs>
          <w:tab w:val="left" w:pos="4820"/>
        </w:tabs>
        <w:jc w:val="both"/>
        <w:rPr>
          <w:rFonts w:ascii="Arial" w:hAnsi="Arial" w:cs="Arial"/>
          <w:sz w:val="22"/>
          <w:szCs w:val="22"/>
          <w:lang w:val="en-US"/>
        </w:rPr>
      </w:pPr>
    </w:p>
    <w:p w:rsidR="00C84DD1" w:rsidRPr="002E2FC3" w:rsidRDefault="00C84DD1" w:rsidP="00E120DE">
      <w:pPr>
        <w:tabs>
          <w:tab w:val="left" w:pos="4820"/>
        </w:tabs>
        <w:jc w:val="both"/>
        <w:rPr>
          <w:rFonts w:ascii="Arial" w:hAnsi="Arial" w:cs="Arial"/>
          <w:sz w:val="22"/>
          <w:szCs w:val="22"/>
          <w:lang w:val="en-US"/>
        </w:rPr>
      </w:pPr>
      <w:r w:rsidRPr="002E2FC3">
        <w:rPr>
          <w:rFonts w:ascii="Arial" w:hAnsi="Arial" w:cs="Arial"/>
          <w:sz w:val="22"/>
          <w:szCs w:val="22"/>
          <w:lang w:val="en-US"/>
        </w:rPr>
        <w:t xml:space="preserve">Two preliminary studies have shown that glitazones may be safely prescribed both in HD </w:t>
      </w:r>
      <w:r w:rsidR="004A6D1B" w:rsidRPr="002E2FC3">
        <w:rPr>
          <w:rFonts w:ascii="Arial" w:hAnsi="Arial" w:cs="Arial"/>
          <w:sz w:val="22"/>
          <w:szCs w:val="22"/>
          <w:lang w:val="en-US"/>
        </w:rPr>
        <w:t>and PD patients (4,5). Pharmacok</w:t>
      </w:r>
      <w:r w:rsidRPr="002E2FC3">
        <w:rPr>
          <w:rFonts w:ascii="Arial" w:hAnsi="Arial" w:cs="Arial"/>
          <w:sz w:val="22"/>
          <w:szCs w:val="22"/>
          <w:lang w:val="en-US"/>
        </w:rPr>
        <w:t>inetic studies showed no accumulation of pioglitazo</w:t>
      </w:r>
      <w:r w:rsidR="00B50C9B" w:rsidRPr="002E2FC3">
        <w:rPr>
          <w:rFonts w:ascii="Arial" w:hAnsi="Arial" w:cs="Arial"/>
          <w:sz w:val="22"/>
          <w:szCs w:val="22"/>
          <w:lang w:val="en-US"/>
        </w:rPr>
        <w:t xml:space="preserve">ne and rosiglitazone and their </w:t>
      </w:r>
      <w:r w:rsidRPr="002E2FC3">
        <w:rPr>
          <w:rFonts w:ascii="Arial" w:hAnsi="Arial" w:cs="Arial"/>
          <w:sz w:val="22"/>
          <w:szCs w:val="22"/>
          <w:lang w:val="en-US"/>
        </w:rPr>
        <w:t>metabolites, and thus their dosage should not be adjusted to renal function (6,7,8,9). The more seriou</w:t>
      </w:r>
      <w:r w:rsidR="004A6D1B" w:rsidRPr="002E2FC3">
        <w:rPr>
          <w:rFonts w:ascii="Arial" w:hAnsi="Arial" w:cs="Arial"/>
          <w:sz w:val="22"/>
          <w:szCs w:val="22"/>
          <w:lang w:val="en-US"/>
        </w:rPr>
        <w:t xml:space="preserve">s side effects, i.e. pulmonary </w:t>
      </w:r>
      <w:r w:rsidRPr="002E2FC3">
        <w:rPr>
          <w:rFonts w:ascii="Arial" w:hAnsi="Arial" w:cs="Arial"/>
          <w:sz w:val="22"/>
          <w:szCs w:val="22"/>
          <w:lang w:val="en-US"/>
        </w:rPr>
        <w:t xml:space="preserve">edema and fluid overload do not appear more prevalent than expected in this population (4,5).  </w:t>
      </w:r>
    </w:p>
    <w:p w:rsidR="00C84DD1" w:rsidRPr="00495733" w:rsidRDefault="00C84DD1" w:rsidP="00C84DD1">
      <w:pPr>
        <w:tabs>
          <w:tab w:val="left" w:pos="4820"/>
        </w:tabs>
        <w:rPr>
          <w:rFonts w:ascii="Arial" w:hAnsi="Arial" w:cs="Arial"/>
          <w:lang w:val="en-US"/>
        </w:rPr>
      </w:pPr>
    </w:p>
    <w:p w:rsidR="00C84DD1" w:rsidRPr="00495733" w:rsidRDefault="00C84DD1" w:rsidP="00B50C9B">
      <w:pPr>
        <w:tabs>
          <w:tab w:val="left" w:pos="4820"/>
        </w:tabs>
        <w:spacing w:after="120"/>
        <w:rPr>
          <w:rFonts w:ascii="Arial" w:hAnsi="Arial" w:cs="Arial"/>
          <w:b/>
          <w:u w:val="single"/>
          <w:lang w:val="en-US"/>
        </w:rPr>
      </w:pPr>
      <w:r w:rsidRPr="00495733">
        <w:rPr>
          <w:rFonts w:ascii="Arial" w:hAnsi="Arial" w:cs="Arial"/>
          <w:b/>
          <w:u w:val="single"/>
          <w:lang w:val="en-US"/>
        </w:rPr>
        <w:t>Aim</w:t>
      </w:r>
      <w:r w:rsidR="002E2FC3">
        <w:rPr>
          <w:rFonts w:ascii="Arial" w:hAnsi="Arial" w:cs="Arial"/>
          <w:b/>
          <w:u w:val="single"/>
          <w:lang w:val="en-US"/>
        </w:rPr>
        <w:t>:</w:t>
      </w:r>
    </w:p>
    <w:p w:rsidR="00C84DD1" w:rsidRPr="002E2FC3" w:rsidRDefault="00B50C9B" w:rsidP="00B50C9B">
      <w:pPr>
        <w:tabs>
          <w:tab w:val="left" w:pos="4820"/>
        </w:tabs>
        <w:spacing w:after="120"/>
        <w:rPr>
          <w:rFonts w:ascii="Arial" w:hAnsi="Arial" w:cs="Arial"/>
          <w:sz w:val="22"/>
          <w:szCs w:val="22"/>
          <w:lang w:val="en-US"/>
        </w:rPr>
      </w:pPr>
      <w:r w:rsidRPr="002E2FC3">
        <w:rPr>
          <w:rFonts w:ascii="Arial" w:hAnsi="Arial" w:cs="Arial"/>
          <w:sz w:val="22"/>
          <w:szCs w:val="22"/>
          <w:lang w:val="en-US"/>
        </w:rPr>
        <w:t>The aim of this stu</w:t>
      </w:r>
      <w:r w:rsidR="00C84DD1" w:rsidRPr="002E2FC3">
        <w:rPr>
          <w:rFonts w:ascii="Arial" w:hAnsi="Arial" w:cs="Arial"/>
          <w:sz w:val="22"/>
          <w:szCs w:val="22"/>
          <w:lang w:val="en-US"/>
        </w:rPr>
        <w:t xml:space="preserve">dy is to investigate the effect of glitazones on </w:t>
      </w:r>
      <w:r w:rsidR="004A6D1B" w:rsidRPr="002E2FC3">
        <w:rPr>
          <w:rFonts w:ascii="Arial" w:hAnsi="Arial" w:cs="Arial"/>
          <w:sz w:val="22"/>
          <w:szCs w:val="22"/>
          <w:lang w:val="en-US"/>
        </w:rPr>
        <w:t xml:space="preserve">IR, </w:t>
      </w:r>
      <w:r w:rsidR="00C84DD1" w:rsidRPr="002E2FC3">
        <w:rPr>
          <w:rFonts w:ascii="Arial" w:hAnsi="Arial" w:cs="Arial"/>
          <w:sz w:val="22"/>
          <w:szCs w:val="22"/>
          <w:lang w:val="en-US"/>
        </w:rPr>
        <w:t xml:space="preserve">body composition, </w:t>
      </w:r>
      <w:r w:rsidR="00ED5939" w:rsidRPr="002E2FC3">
        <w:rPr>
          <w:rFonts w:ascii="Arial" w:hAnsi="Arial" w:cs="Arial"/>
          <w:sz w:val="22"/>
          <w:szCs w:val="22"/>
          <w:lang w:val="en-US"/>
        </w:rPr>
        <w:t xml:space="preserve">plasma adipokines and inflammation </w:t>
      </w:r>
      <w:r w:rsidR="00C84DD1" w:rsidRPr="002E2FC3">
        <w:rPr>
          <w:rFonts w:ascii="Arial" w:hAnsi="Arial" w:cs="Arial"/>
          <w:sz w:val="22"/>
          <w:szCs w:val="22"/>
          <w:lang w:val="en-US"/>
        </w:rPr>
        <w:t>in patients on HD and PD.</w:t>
      </w:r>
    </w:p>
    <w:p w:rsidR="00C84DD1" w:rsidRPr="002E2FC3" w:rsidRDefault="00C84DD1" w:rsidP="00C84DD1">
      <w:pPr>
        <w:tabs>
          <w:tab w:val="left" w:pos="4820"/>
        </w:tabs>
        <w:rPr>
          <w:rFonts w:ascii="Arial" w:hAnsi="Arial" w:cs="Arial"/>
          <w:sz w:val="22"/>
          <w:szCs w:val="22"/>
          <w:lang w:val="en-US"/>
        </w:rPr>
      </w:pPr>
      <w:r w:rsidRPr="002E2FC3">
        <w:rPr>
          <w:rFonts w:ascii="Arial" w:hAnsi="Arial" w:cs="Arial"/>
          <w:sz w:val="22"/>
          <w:szCs w:val="22"/>
          <w:lang w:val="en-US"/>
        </w:rPr>
        <w:t xml:space="preserve">We expect that this treatment, </w:t>
      </w:r>
      <w:r w:rsidR="001F2E5B" w:rsidRPr="002E2FC3">
        <w:rPr>
          <w:rFonts w:ascii="Arial" w:hAnsi="Arial" w:cs="Arial"/>
          <w:sz w:val="22"/>
          <w:szCs w:val="22"/>
          <w:lang w:val="en-US"/>
        </w:rPr>
        <w:t xml:space="preserve">induce fat redistribution towards subcutaneous adipose tissue, </w:t>
      </w:r>
      <w:r w:rsidR="004A6D1B" w:rsidRPr="002E2FC3">
        <w:rPr>
          <w:rFonts w:ascii="Arial" w:hAnsi="Arial" w:cs="Arial"/>
          <w:sz w:val="22"/>
          <w:szCs w:val="22"/>
          <w:lang w:val="en-US"/>
        </w:rPr>
        <w:t>reduce inflammation</w:t>
      </w:r>
      <w:r w:rsidR="001F2E5B" w:rsidRPr="002E2FC3">
        <w:rPr>
          <w:rFonts w:ascii="Arial" w:hAnsi="Arial" w:cs="Arial"/>
          <w:sz w:val="22"/>
          <w:szCs w:val="22"/>
          <w:lang w:val="en-US"/>
        </w:rPr>
        <w:t xml:space="preserve">, improve plasma adipokine profile, </w:t>
      </w:r>
      <w:r w:rsidRPr="002E2FC3">
        <w:rPr>
          <w:rFonts w:ascii="Arial" w:hAnsi="Arial" w:cs="Arial"/>
          <w:sz w:val="22"/>
          <w:szCs w:val="22"/>
          <w:lang w:val="en-US"/>
        </w:rPr>
        <w:t>while reducing IR. If well tolerated, this treatment would in t</w:t>
      </w:r>
      <w:r w:rsidR="004A6D1B" w:rsidRPr="002E2FC3">
        <w:rPr>
          <w:rFonts w:ascii="Arial" w:hAnsi="Arial" w:cs="Arial"/>
          <w:sz w:val="22"/>
          <w:szCs w:val="22"/>
          <w:lang w:val="en-US"/>
        </w:rPr>
        <w:t xml:space="preserve">his case reduce cardiovascular is </w:t>
      </w:r>
      <w:r w:rsidRPr="002E2FC3">
        <w:rPr>
          <w:rFonts w:ascii="Arial" w:hAnsi="Arial" w:cs="Arial"/>
          <w:sz w:val="22"/>
          <w:szCs w:val="22"/>
          <w:lang w:val="en-US"/>
        </w:rPr>
        <w:t>at long term in this population.</w:t>
      </w:r>
    </w:p>
    <w:p w:rsidR="00C84DD1" w:rsidRPr="00495733" w:rsidRDefault="00C84DD1" w:rsidP="00C84DD1">
      <w:pPr>
        <w:tabs>
          <w:tab w:val="left" w:pos="4820"/>
        </w:tabs>
        <w:rPr>
          <w:rFonts w:ascii="Arial" w:hAnsi="Arial" w:cs="Arial"/>
          <w:lang w:val="en-US"/>
        </w:rPr>
      </w:pPr>
    </w:p>
    <w:p w:rsidR="00C84DD1" w:rsidRPr="00495733" w:rsidRDefault="00C84DD1" w:rsidP="00C84DD1">
      <w:pPr>
        <w:tabs>
          <w:tab w:val="left" w:pos="4820"/>
        </w:tabs>
        <w:rPr>
          <w:rFonts w:ascii="Arial" w:hAnsi="Arial" w:cs="Arial"/>
          <w:b/>
          <w:u w:val="single"/>
          <w:lang w:val="en-US"/>
        </w:rPr>
      </w:pPr>
      <w:r w:rsidRPr="00495733">
        <w:rPr>
          <w:rFonts w:ascii="Arial" w:hAnsi="Arial" w:cs="Arial"/>
          <w:b/>
          <w:u w:val="single"/>
          <w:lang w:val="en-US"/>
        </w:rPr>
        <w:t>Study design</w:t>
      </w:r>
      <w:r w:rsidR="002E2FC3">
        <w:rPr>
          <w:rFonts w:ascii="Arial" w:hAnsi="Arial" w:cs="Arial"/>
          <w:b/>
          <w:u w:val="single"/>
          <w:lang w:val="en-US"/>
        </w:rPr>
        <w:t>:</w:t>
      </w:r>
    </w:p>
    <w:p w:rsidR="00C84DD1" w:rsidRPr="00495733" w:rsidRDefault="00C84DD1" w:rsidP="00C84DD1">
      <w:pPr>
        <w:tabs>
          <w:tab w:val="left" w:pos="4820"/>
        </w:tabs>
        <w:rPr>
          <w:rFonts w:ascii="Arial" w:hAnsi="Arial" w:cs="Arial"/>
          <w:lang w:val="en-US"/>
        </w:rPr>
      </w:pPr>
    </w:p>
    <w:p w:rsidR="00C84DD1" w:rsidRPr="002E2FC3" w:rsidRDefault="00C84DD1" w:rsidP="00C84DD1">
      <w:pPr>
        <w:tabs>
          <w:tab w:val="left" w:pos="4820"/>
        </w:tabs>
        <w:rPr>
          <w:rFonts w:ascii="Arial" w:hAnsi="Arial" w:cs="Arial"/>
          <w:sz w:val="22"/>
          <w:szCs w:val="22"/>
          <w:lang w:val="en-US"/>
        </w:rPr>
      </w:pPr>
      <w:r w:rsidRPr="002E2FC3">
        <w:rPr>
          <w:rFonts w:ascii="Arial" w:hAnsi="Arial" w:cs="Arial"/>
          <w:sz w:val="22"/>
          <w:szCs w:val="22"/>
          <w:lang w:val="en-US"/>
        </w:rPr>
        <w:t>Sing</w:t>
      </w:r>
      <w:r w:rsidR="00B8711F" w:rsidRPr="002E2FC3">
        <w:rPr>
          <w:rFonts w:ascii="Arial" w:hAnsi="Arial" w:cs="Arial"/>
          <w:sz w:val="22"/>
          <w:szCs w:val="22"/>
          <w:lang w:val="en-US"/>
        </w:rPr>
        <w:t>le centre, randomized, placebo-</w:t>
      </w:r>
      <w:r w:rsidRPr="002E2FC3">
        <w:rPr>
          <w:rFonts w:ascii="Arial" w:hAnsi="Arial" w:cs="Arial"/>
          <w:sz w:val="22"/>
          <w:szCs w:val="22"/>
          <w:lang w:val="en-US"/>
        </w:rPr>
        <w:t>controlled trial, glitazone versus placebo. Each phase lasts 16 weeks.</w:t>
      </w:r>
    </w:p>
    <w:p w:rsidR="00C84DD1" w:rsidRPr="00495733" w:rsidRDefault="00C84DD1" w:rsidP="00C84DD1">
      <w:pPr>
        <w:tabs>
          <w:tab w:val="left" w:pos="4820"/>
        </w:tabs>
        <w:rPr>
          <w:rFonts w:ascii="Arial" w:hAnsi="Arial" w:cs="Arial"/>
          <w:lang w:val="en-US"/>
        </w:rPr>
      </w:pPr>
    </w:p>
    <w:p w:rsidR="00C84DD1" w:rsidRPr="00E120DE" w:rsidRDefault="00C84DD1" w:rsidP="00C84DD1">
      <w:pPr>
        <w:tabs>
          <w:tab w:val="left" w:pos="4820"/>
        </w:tabs>
        <w:rPr>
          <w:rFonts w:ascii="Arial" w:hAnsi="Arial" w:cs="Arial"/>
          <w:sz w:val="22"/>
          <w:szCs w:val="22"/>
          <w:u w:val="single"/>
        </w:rPr>
      </w:pPr>
      <w:r w:rsidRPr="00E120DE">
        <w:rPr>
          <w:rFonts w:ascii="Arial" w:hAnsi="Arial" w:cs="Arial"/>
          <w:sz w:val="22"/>
          <w:szCs w:val="22"/>
          <w:u w:val="single"/>
        </w:rPr>
        <w:t>Inclusion criteria</w:t>
      </w:r>
    </w:p>
    <w:p w:rsidR="00C84DD1" w:rsidRPr="00495733" w:rsidRDefault="00C84DD1" w:rsidP="00C84DD1">
      <w:pPr>
        <w:numPr>
          <w:ilvl w:val="0"/>
          <w:numId w:val="1"/>
        </w:numPr>
        <w:tabs>
          <w:tab w:val="left" w:pos="4820"/>
        </w:tabs>
        <w:rPr>
          <w:rFonts w:ascii="Arial" w:hAnsi="Arial" w:cs="Arial"/>
          <w:lang w:val="en-US"/>
        </w:rPr>
      </w:pPr>
      <w:r w:rsidRPr="00495733">
        <w:rPr>
          <w:rFonts w:ascii="Arial" w:hAnsi="Arial" w:cs="Arial"/>
          <w:lang w:val="en-US"/>
        </w:rPr>
        <w:t>Patients t</w:t>
      </w:r>
      <w:r w:rsidR="004A6D1B" w:rsidRPr="00495733">
        <w:rPr>
          <w:rFonts w:ascii="Arial" w:hAnsi="Arial" w:cs="Arial"/>
          <w:lang w:val="en-US"/>
        </w:rPr>
        <w:t>r</w:t>
      </w:r>
      <w:r w:rsidRPr="00495733">
        <w:rPr>
          <w:rFonts w:ascii="Arial" w:hAnsi="Arial" w:cs="Arial"/>
          <w:lang w:val="en-US"/>
        </w:rPr>
        <w:t>eated with HD or PD since at least 3 months  recruited at Lausanne University Hospital.</w:t>
      </w:r>
    </w:p>
    <w:p w:rsidR="00C84DD1" w:rsidRPr="00495733" w:rsidRDefault="00C84DD1" w:rsidP="00C84DD1">
      <w:pPr>
        <w:numPr>
          <w:ilvl w:val="0"/>
          <w:numId w:val="1"/>
        </w:numPr>
        <w:tabs>
          <w:tab w:val="left" w:pos="4820"/>
        </w:tabs>
        <w:rPr>
          <w:rFonts w:ascii="Arial" w:hAnsi="Arial" w:cs="Arial"/>
          <w:lang w:val="en-US"/>
        </w:rPr>
      </w:pPr>
      <w:r w:rsidRPr="00495733">
        <w:rPr>
          <w:rFonts w:ascii="Arial" w:hAnsi="Arial" w:cs="Arial"/>
          <w:lang w:val="en-US"/>
        </w:rPr>
        <w:t>Patients not hospitalized, and with no active infection in the last 3 months before inclusion.</w:t>
      </w:r>
    </w:p>
    <w:p w:rsidR="00C84DD1" w:rsidRPr="00495733" w:rsidRDefault="00C84DD1" w:rsidP="00C84DD1">
      <w:pPr>
        <w:numPr>
          <w:ilvl w:val="0"/>
          <w:numId w:val="1"/>
        </w:numPr>
        <w:tabs>
          <w:tab w:val="left" w:pos="4820"/>
        </w:tabs>
        <w:rPr>
          <w:rFonts w:ascii="Arial" w:hAnsi="Arial" w:cs="Arial"/>
        </w:rPr>
      </w:pPr>
      <w:r w:rsidRPr="00495733">
        <w:rPr>
          <w:rFonts w:ascii="Arial" w:hAnsi="Arial" w:cs="Arial"/>
        </w:rPr>
        <w:t>CRP &lt; 20 mg/L</w:t>
      </w:r>
      <w:r w:rsidR="00143545">
        <w:rPr>
          <w:rFonts w:ascii="Arial" w:hAnsi="Arial" w:cs="Arial"/>
        </w:rPr>
        <w:t>.</w:t>
      </w:r>
    </w:p>
    <w:p w:rsidR="00C84DD1" w:rsidRPr="00495733" w:rsidRDefault="00C84DD1" w:rsidP="00C84DD1">
      <w:pPr>
        <w:numPr>
          <w:ilvl w:val="0"/>
          <w:numId w:val="1"/>
        </w:numPr>
        <w:tabs>
          <w:tab w:val="left" w:pos="4820"/>
        </w:tabs>
        <w:rPr>
          <w:rFonts w:ascii="Arial" w:hAnsi="Arial" w:cs="Arial"/>
        </w:rPr>
      </w:pPr>
      <w:r w:rsidRPr="00495733">
        <w:rPr>
          <w:rFonts w:ascii="Arial" w:hAnsi="Arial" w:cs="Arial"/>
        </w:rPr>
        <w:t>Consent form signed</w:t>
      </w:r>
      <w:r w:rsidR="00143545">
        <w:rPr>
          <w:rFonts w:ascii="Arial" w:hAnsi="Arial" w:cs="Arial"/>
        </w:rPr>
        <w:t>.</w:t>
      </w:r>
    </w:p>
    <w:p w:rsidR="00C84DD1" w:rsidRPr="00495733" w:rsidRDefault="00C84DD1" w:rsidP="00C84DD1">
      <w:pPr>
        <w:tabs>
          <w:tab w:val="left" w:pos="4820"/>
        </w:tabs>
        <w:rPr>
          <w:rFonts w:ascii="Arial" w:hAnsi="Arial" w:cs="Arial"/>
        </w:rPr>
      </w:pPr>
    </w:p>
    <w:p w:rsidR="00C84DD1" w:rsidRPr="00E120DE" w:rsidRDefault="00C84DD1" w:rsidP="00C84DD1">
      <w:pPr>
        <w:tabs>
          <w:tab w:val="left" w:pos="4820"/>
        </w:tabs>
        <w:rPr>
          <w:rFonts w:ascii="Arial" w:hAnsi="Arial" w:cs="Arial"/>
          <w:sz w:val="22"/>
          <w:szCs w:val="22"/>
          <w:u w:val="single"/>
        </w:rPr>
      </w:pPr>
      <w:r w:rsidRPr="00E120DE">
        <w:rPr>
          <w:rFonts w:ascii="Arial" w:hAnsi="Arial" w:cs="Arial"/>
          <w:sz w:val="22"/>
          <w:szCs w:val="22"/>
          <w:u w:val="single"/>
        </w:rPr>
        <w:t>Exclusion c</w:t>
      </w:r>
      <w:r w:rsidR="00B8711F" w:rsidRPr="00E120DE">
        <w:rPr>
          <w:rFonts w:ascii="Arial" w:hAnsi="Arial" w:cs="Arial"/>
          <w:sz w:val="22"/>
          <w:szCs w:val="22"/>
          <w:u w:val="single"/>
        </w:rPr>
        <w:t>r</w:t>
      </w:r>
      <w:r w:rsidRPr="00E120DE">
        <w:rPr>
          <w:rFonts w:ascii="Arial" w:hAnsi="Arial" w:cs="Arial"/>
          <w:sz w:val="22"/>
          <w:szCs w:val="22"/>
          <w:u w:val="single"/>
        </w:rPr>
        <w:t>iteria</w:t>
      </w:r>
    </w:p>
    <w:p w:rsidR="0081175D" w:rsidRPr="001F2E5B" w:rsidRDefault="0081175D" w:rsidP="00C84DD1">
      <w:pPr>
        <w:numPr>
          <w:ilvl w:val="0"/>
          <w:numId w:val="2"/>
        </w:numPr>
        <w:tabs>
          <w:tab w:val="left" w:pos="4820"/>
        </w:tabs>
        <w:rPr>
          <w:rFonts w:ascii="Arial" w:hAnsi="Arial" w:cs="Arial"/>
          <w:sz w:val="22"/>
          <w:szCs w:val="22"/>
          <w:lang w:val="en-US"/>
        </w:rPr>
      </w:pPr>
      <w:r w:rsidRPr="001F2E5B">
        <w:rPr>
          <w:rFonts w:ascii="Arial" w:hAnsi="Arial" w:cs="Arial"/>
          <w:sz w:val="22"/>
          <w:szCs w:val="22"/>
          <w:lang w:val="en-GB"/>
        </w:rPr>
        <w:t>Any current inclusion in another protocol.</w:t>
      </w:r>
    </w:p>
    <w:p w:rsidR="00C84DD1" w:rsidRPr="001F2E5B" w:rsidRDefault="00C84DD1" w:rsidP="00C84DD1">
      <w:pPr>
        <w:numPr>
          <w:ilvl w:val="0"/>
          <w:numId w:val="2"/>
        </w:numPr>
        <w:tabs>
          <w:tab w:val="left" w:pos="4820"/>
        </w:tabs>
        <w:rPr>
          <w:rFonts w:ascii="Arial" w:hAnsi="Arial" w:cs="Arial"/>
          <w:sz w:val="22"/>
          <w:szCs w:val="22"/>
          <w:lang w:val="en-US"/>
        </w:rPr>
      </w:pPr>
      <w:r w:rsidRPr="001F2E5B">
        <w:rPr>
          <w:rFonts w:ascii="Arial" w:hAnsi="Arial" w:cs="Arial"/>
          <w:sz w:val="22"/>
          <w:szCs w:val="22"/>
          <w:lang w:val="en-US"/>
        </w:rPr>
        <w:t>Use of glitazone or insulin</w:t>
      </w:r>
      <w:r w:rsidR="005B6508">
        <w:rPr>
          <w:rFonts w:ascii="Arial" w:hAnsi="Arial" w:cs="Arial"/>
          <w:sz w:val="22"/>
          <w:szCs w:val="22"/>
          <w:lang w:val="en-US"/>
        </w:rPr>
        <w:t>.</w:t>
      </w:r>
    </w:p>
    <w:p w:rsidR="00C84DD1" w:rsidRPr="005B6508" w:rsidRDefault="00C84DD1" w:rsidP="00C84DD1">
      <w:pPr>
        <w:numPr>
          <w:ilvl w:val="0"/>
          <w:numId w:val="2"/>
        </w:numPr>
        <w:tabs>
          <w:tab w:val="left" w:pos="4820"/>
        </w:tabs>
        <w:rPr>
          <w:rFonts w:ascii="Arial" w:hAnsi="Arial" w:cs="Arial"/>
          <w:sz w:val="22"/>
          <w:szCs w:val="22"/>
          <w:lang w:val="en-US"/>
        </w:rPr>
      </w:pPr>
      <w:r w:rsidRPr="005B6508">
        <w:rPr>
          <w:rFonts w:ascii="Arial" w:hAnsi="Arial" w:cs="Arial"/>
          <w:sz w:val="22"/>
          <w:szCs w:val="22"/>
          <w:lang w:val="en-US"/>
        </w:rPr>
        <w:t>Estimated survival less than 6 months</w:t>
      </w:r>
      <w:r w:rsidR="005B6508" w:rsidRPr="005B6508">
        <w:rPr>
          <w:rFonts w:ascii="Arial" w:hAnsi="Arial" w:cs="Arial"/>
          <w:sz w:val="22"/>
          <w:szCs w:val="22"/>
          <w:lang w:val="en-US"/>
        </w:rPr>
        <w:t>.</w:t>
      </w:r>
    </w:p>
    <w:p w:rsidR="00C84DD1" w:rsidRPr="001F2E5B" w:rsidRDefault="001F2E5B" w:rsidP="00C84DD1">
      <w:pPr>
        <w:numPr>
          <w:ilvl w:val="0"/>
          <w:numId w:val="2"/>
        </w:numPr>
        <w:tabs>
          <w:tab w:val="left" w:pos="4820"/>
        </w:tabs>
        <w:rPr>
          <w:rFonts w:ascii="Arial" w:hAnsi="Arial" w:cs="Arial"/>
          <w:sz w:val="22"/>
          <w:szCs w:val="22"/>
          <w:lang w:val="en-US"/>
        </w:rPr>
      </w:pPr>
      <w:r>
        <w:rPr>
          <w:rFonts w:ascii="Arial" w:hAnsi="Arial" w:cs="Arial"/>
          <w:sz w:val="22"/>
          <w:szCs w:val="22"/>
          <w:lang w:val="en-US"/>
        </w:rPr>
        <w:t xml:space="preserve">Heart failure class </w:t>
      </w:r>
      <w:r w:rsidR="00C84DD1" w:rsidRPr="001F2E5B">
        <w:rPr>
          <w:rFonts w:ascii="Arial" w:hAnsi="Arial" w:cs="Arial"/>
          <w:sz w:val="22"/>
          <w:szCs w:val="22"/>
          <w:lang w:val="en-US"/>
        </w:rPr>
        <w:t>III and IV</w:t>
      </w:r>
      <w:r>
        <w:rPr>
          <w:rFonts w:ascii="Arial" w:hAnsi="Arial" w:cs="Arial"/>
          <w:sz w:val="22"/>
          <w:szCs w:val="22"/>
          <w:lang w:val="en-US"/>
        </w:rPr>
        <w:t>,</w:t>
      </w:r>
      <w:r w:rsidR="00C84DD1" w:rsidRPr="001F2E5B">
        <w:rPr>
          <w:rFonts w:ascii="Arial" w:hAnsi="Arial" w:cs="Arial"/>
          <w:sz w:val="22"/>
          <w:szCs w:val="22"/>
          <w:lang w:val="en-US"/>
        </w:rPr>
        <w:t xml:space="preserve"> according to NYHA</w:t>
      </w:r>
      <w:r w:rsidR="005B6508">
        <w:rPr>
          <w:rFonts w:ascii="Arial" w:hAnsi="Arial" w:cs="Arial"/>
          <w:sz w:val="22"/>
          <w:szCs w:val="22"/>
          <w:lang w:val="en-US"/>
        </w:rPr>
        <w:t>.</w:t>
      </w:r>
    </w:p>
    <w:p w:rsidR="00C84DD1" w:rsidRPr="001F2E5B" w:rsidRDefault="00C84DD1" w:rsidP="00C84DD1">
      <w:pPr>
        <w:numPr>
          <w:ilvl w:val="0"/>
          <w:numId w:val="2"/>
        </w:numPr>
        <w:tabs>
          <w:tab w:val="left" w:pos="4820"/>
        </w:tabs>
        <w:rPr>
          <w:rFonts w:ascii="Arial" w:hAnsi="Arial" w:cs="Arial"/>
          <w:sz w:val="22"/>
          <w:szCs w:val="22"/>
          <w:lang w:val="en-US"/>
        </w:rPr>
      </w:pPr>
      <w:r w:rsidRPr="001F2E5B">
        <w:rPr>
          <w:rFonts w:ascii="Arial" w:hAnsi="Arial" w:cs="Arial"/>
          <w:sz w:val="22"/>
          <w:szCs w:val="22"/>
          <w:lang w:val="en-US"/>
        </w:rPr>
        <w:t>ASAT, ALAT increased levels of &gt; 2.5 fold and/or active liver disease.</w:t>
      </w:r>
    </w:p>
    <w:p w:rsidR="00C84DD1" w:rsidRPr="001F2E5B" w:rsidRDefault="00C84DD1" w:rsidP="00C84DD1">
      <w:pPr>
        <w:numPr>
          <w:ilvl w:val="0"/>
          <w:numId w:val="2"/>
        </w:numPr>
        <w:tabs>
          <w:tab w:val="left" w:pos="4820"/>
        </w:tabs>
        <w:rPr>
          <w:rFonts w:ascii="Arial" w:hAnsi="Arial" w:cs="Arial"/>
          <w:sz w:val="22"/>
          <w:szCs w:val="22"/>
        </w:rPr>
      </w:pPr>
      <w:r w:rsidRPr="001F2E5B">
        <w:rPr>
          <w:rFonts w:ascii="Arial" w:hAnsi="Arial" w:cs="Arial"/>
          <w:sz w:val="22"/>
          <w:szCs w:val="22"/>
        </w:rPr>
        <w:t>Women without contraception</w:t>
      </w:r>
      <w:r w:rsidR="005B6508">
        <w:rPr>
          <w:rFonts w:ascii="Arial" w:hAnsi="Arial" w:cs="Arial"/>
          <w:sz w:val="22"/>
          <w:szCs w:val="22"/>
        </w:rPr>
        <w:t>.</w:t>
      </w:r>
    </w:p>
    <w:p w:rsidR="00C84DD1" w:rsidRPr="001F2E5B" w:rsidRDefault="005B6508" w:rsidP="00C84DD1">
      <w:pPr>
        <w:numPr>
          <w:ilvl w:val="0"/>
          <w:numId w:val="2"/>
        </w:numPr>
        <w:tabs>
          <w:tab w:val="left" w:pos="4820"/>
        </w:tabs>
        <w:rPr>
          <w:rFonts w:ascii="Arial" w:hAnsi="Arial" w:cs="Arial"/>
          <w:sz w:val="22"/>
          <w:szCs w:val="22"/>
        </w:rPr>
      </w:pPr>
      <w:r>
        <w:rPr>
          <w:rFonts w:ascii="Arial" w:hAnsi="Arial" w:cs="Arial"/>
          <w:sz w:val="22"/>
          <w:szCs w:val="22"/>
        </w:rPr>
        <w:t>P</w:t>
      </w:r>
      <w:r w:rsidR="00C84DD1" w:rsidRPr="001F2E5B">
        <w:rPr>
          <w:rFonts w:ascii="Arial" w:hAnsi="Arial" w:cs="Arial"/>
          <w:sz w:val="22"/>
          <w:szCs w:val="22"/>
        </w:rPr>
        <w:t>ositive pregnancy test</w:t>
      </w:r>
      <w:r>
        <w:rPr>
          <w:rFonts w:ascii="Arial" w:hAnsi="Arial" w:cs="Arial"/>
          <w:sz w:val="22"/>
          <w:szCs w:val="22"/>
        </w:rPr>
        <w:t>.</w:t>
      </w:r>
    </w:p>
    <w:p w:rsidR="00C84DD1" w:rsidRPr="00495733" w:rsidRDefault="00C84DD1" w:rsidP="00C84DD1">
      <w:pPr>
        <w:tabs>
          <w:tab w:val="left" w:pos="4820"/>
        </w:tabs>
        <w:rPr>
          <w:rFonts w:ascii="Arial" w:hAnsi="Arial" w:cs="Arial"/>
        </w:rPr>
      </w:pPr>
    </w:p>
    <w:p w:rsidR="00C84DD1" w:rsidRPr="00495733" w:rsidRDefault="00C84DD1" w:rsidP="00C84DD1">
      <w:pPr>
        <w:tabs>
          <w:tab w:val="left" w:pos="4820"/>
        </w:tabs>
        <w:rPr>
          <w:rFonts w:ascii="Arial" w:hAnsi="Arial" w:cs="Arial"/>
          <w:b/>
        </w:rPr>
      </w:pPr>
    </w:p>
    <w:p w:rsidR="00512783" w:rsidRPr="00E120DE" w:rsidRDefault="00512783" w:rsidP="00C84DD1">
      <w:pPr>
        <w:tabs>
          <w:tab w:val="left" w:pos="4820"/>
        </w:tabs>
        <w:rPr>
          <w:rFonts w:ascii="Arial" w:hAnsi="Arial" w:cs="Arial"/>
          <w:b/>
          <w:u w:val="single"/>
        </w:rPr>
      </w:pPr>
    </w:p>
    <w:p w:rsidR="00C84DD1" w:rsidRPr="00E120DE" w:rsidRDefault="00C84DD1" w:rsidP="00C84DD1">
      <w:pPr>
        <w:tabs>
          <w:tab w:val="left" w:pos="4820"/>
        </w:tabs>
        <w:rPr>
          <w:rFonts w:ascii="Arial" w:hAnsi="Arial" w:cs="Arial"/>
          <w:b/>
          <w:u w:val="single"/>
        </w:rPr>
      </w:pPr>
      <w:r w:rsidRPr="00E120DE">
        <w:rPr>
          <w:rFonts w:ascii="Arial" w:hAnsi="Arial" w:cs="Arial"/>
          <w:b/>
          <w:u w:val="single"/>
        </w:rPr>
        <w:t>Protocol</w:t>
      </w:r>
    </w:p>
    <w:p w:rsidR="00C84DD1" w:rsidRPr="00143545" w:rsidRDefault="00C84DD1" w:rsidP="00C84DD1">
      <w:pPr>
        <w:tabs>
          <w:tab w:val="left" w:pos="4820"/>
        </w:tabs>
        <w:rPr>
          <w:rFonts w:ascii="Arial" w:hAnsi="Arial" w:cs="Arial"/>
          <w:sz w:val="22"/>
          <w:szCs w:val="22"/>
          <w:lang w:val="en-US"/>
        </w:rPr>
      </w:pPr>
      <w:r w:rsidRPr="00143545">
        <w:rPr>
          <w:rFonts w:ascii="Arial" w:hAnsi="Arial" w:cs="Arial"/>
          <w:sz w:val="22"/>
          <w:szCs w:val="22"/>
          <w:lang w:val="en-US"/>
        </w:rPr>
        <w:t>Patients will be randomized into 2 groups, blinded to the patients and the physicians.</w:t>
      </w:r>
    </w:p>
    <w:p w:rsidR="00C84DD1" w:rsidRPr="00143545" w:rsidRDefault="00C84DD1" w:rsidP="00C84DD1">
      <w:pPr>
        <w:tabs>
          <w:tab w:val="left" w:pos="4820"/>
        </w:tabs>
        <w:rPr>
          <w:rFonts w:ascii="Arial" w:hAnsi="Arial" w:cs="Arial"/>
          <w:sz w:val="22"/>
          <w:szCs w:val="22"/>
          <w:lang w:val="en-US"/>
        </w:rPr>
      </w:pPr>
    </w:p>
    <w:p w:rsidR="00C84DD1" w:rsidRPr="00143545" w:rsidRDefault="00B8711F" w:rsidP="00143545">
      <w:pPr>
        <w:tabs>
          <w:tab w:val="left" w:pos="4820"/>
        </w:tabs>
        <w:spacing w:after="120"/>
        <w:rPr>
          <w:rFonts w:ascii="Arial" w:hAnsi="Arial" w:cs="Arial"/>
          <w:sz w:val="22"/>
          <w:szCs w:val="22"/>
          <w:lang w:val="en-US"/>
        </w:rPr>
      </w:pPr>
      <w:r w:rsidRPr="00143545">
        <w:rPr>
          <w:rFonts w:ascii="Arial" w:hAnsi="Arial" w:cs="Arial"/>
          <w:sz w:val="22"/>
          <w:szCs w:val="22"/>
          <w:u w:val="single"/>
          <w:lang w:val="en-US"/>
        </w:rPr>
        <w:t>Group A</w:t>
      </w:r>
      <w:r w:rsidR="00C84DD1" w:rsidRPr="00143545">
        <w:rPr>
          <w:rFonts w:ascii="Arial" w:hAnsi="Arial" w:cs="Arial"/>
          <w:sz w:val="22"/>
          <w:szCs w:val="22"/>
          <w:u w:val="single"/>
          <w:lang w:val="en-US"/>
        </w:rPr>
        <w:t>:</w:t>
      </w:r>
      <w:r w:rsidRPr="00143545">
        <w:rPr>
          <w:rFonts w:ascii="Arial" w:hAnsi="Arial" w:cs="Arial"/>
          <w:sz w:val="22"/>
          <w:szCs w:val="22"/>
          <w:lang w:val="en-US"/>
        </w:rPr>
        <w:t xml:space="preserve"> T</w:t>
      </w:r>
      <w:r w:rsidR="00C84DD1" w:rsidRPr="00143545">
        <w:rPr>
          <w:rFonts w:ascii="Arial" w:hAnsi="Arial" w:cs="Arial"/>
          <w:sz w:val="22"/>
          <w:szCs w:val="22"/>
          <w:lang w:val="en-US"/>
        </w:rPr>
        <w:t>reatment with piog</w:t>
      </w:r>
      <w:r w:rsidR="001F2E5B" w:rsidRPr="00143545">
        <w:rPr>
          <w:rFonts w:ascii="Arial" w:hAnsi="Arial" w:cs="Arial"/>
          <w:sz w:val="22"/>
          <w:szCs w:val="22"/>
          <w:lang w:val="en-US"/>
        </w:rPr>
        <w:t>litazone 45 mg/day for 16 weeks</w:t>
      </w:r>
      <w:r w:rsidR="00C84DD1" w:rsidRPr="00143545">
        <w:rPr>
          <w:rFonts w:ascii="Arial" w:hAnsi="Arial" w:cs="Arial"/>
          <w:sz w:val="22"/>
          <w:szCs w:val="22"/>
          <w:lang w:val="en-US"/>
        </w:rPr>
        <w:t>, than 2 weeks of wash-out, than placebo 16 weeks.</w:t>
      </w:r>
    </w:p>
    <w:p w:rsidR="008C54E4" w:rsidRPr="00143545" w:rsidRDefault="00B8711F" w:rsidP="00143545">
      <w:pPr>
        <w:tabs>
          <w:tab w:val="left" w:pos="4820"/>
        </w:tabs>
        <w:spacing w:after="120"/>
        <w:rPr>
          <w:rFonts w:ascii="Arial" w:hAnsi="Arial" w:cs="Arial"/>
          <w:sz w:val="22"/>
          <w:szCs w:val="22"/>
          <w:lang w:val="en-US"/>
        </w:rPr>
      </w:pPr>
      <w:r w:rsidRPr="00143545">
        <w:rPr>
          <w:rFonts w:ascii="Arial" w:hAnsi="Arial" w:cs="Arial"/>
          <w:sz w:val="22"/>
          <w:szCs w:val="22"/>
          <w:u w:val="single"/>
          <w:lang w:val="en-US"/>
        </w:rPr>
        <w:t>Group B</w:t>
      </w:r>
      <w:r w:rsidR="00C84DD1" w:rsidRPr="00143545">
        <w:rPr>
          <w:rFonts w:ascii="Arial" w:hAnsi="Arial" w:cs="Arial"/>
          <w:sz w:val="22"/>
          <w:szCs w:val="22"/>
          <w:lang w:val="en-US"/>
        </w:rPr>
        <w:t>: Placebo 16 weeks, than w</w:t>
      </w:r>
      <w:r w:rsidR="00E120DE" w:rsidRPr="00143545">
        <w:rPr>
          <w:rFonts w:ascii="Arial" w:hAnsi="Arial" w:cs="Arial"/>
          <w:sz w:val="22"/>
          <w:szCs w:val="22"/>
          <w:lang w:val="en-US"/>
        </w:rPr>
        <w:t>ash-out 2 weeks, than pioglitaz</w:t>
      </w:r>
      <w:r w:rsidR="00C84DD1" w:rsidRPr="00143545">
        <w:rPr>
          <w:rFonts w:ascii="Arial" w:hAnsi="Arial" w:cs="Arial"/>
          <w:sz w:val="22"/>
          <w:szCs w:val="22"/>
          <w:lang w:val="en-US"/>
        </w:rPr>
        <w:t>one 45 mg/day for 16 weeks.</w:t>
      </w:r>
    </w:p>
    <w:p w:rsidR="009434A8" w:rsidRDefault="009434A8" w:rsidP="00512783">
      <w:pPr>
        <w:pStyle w:val="Corpsdetexte3"/>
        <w:autoSpaceDE/>
        <w:autoSpaceDN/>
        <w:adjustRightInd/>
        <w:spacing w:after="120" w:line="240" w:lineRule="auto"/>
        <w:rPr>
          <w:rFonts w:ascii="Arial" w:hAnsi="Arial" w:cs="Arial"/>
          <w:b/>
          <w:bCs/>
          <w:sz w:val="22"/>
          <w:szCs w:val="22"/>
          <w:u w:val="single"/>
        </w:rPr>
      </w:pPr>
    </w:p>
    <w:p w:rsidR="00512783" w:rsidRPr="00495733" w:rsidRDefault="004A6D1B" w:rsidP="00512783">
      <w:pPr>
        <w:pStyle w:val="Corpsdetexte3"/>
        <w:autoSpaceDE/>
        <w:autoSpaceDN/>
        <w:adjustRightInd/>
        <w:spacing w:after="120" w:line="240" w:lineRule="auto"/>
        <w:rPr>
          <w:rFonts w:ascii="Arial" w:hAnsi="Arial" w:cs="Arial"/>
          <w:b/>
          <w:bCs/>
          <w:sz w:val="22"/>
          <w:szCs w:val="22"/>
          <w:u w:val="single"/>
        </w:rPr>
      </w:pPr>
      <w:r w:rsidRPr="00495733">
        <w:rPr>
          <w:rFonts w:ascii="Arial" w:hAnsi="Arial" w:cs="Arial"/>
          <w:b/>
          <w:bCs/>
          <w:sz w:val="22"/>
          <w:szCs w:val="22"/>
          <w:u w:val="single"/>
        </w:rPr>
        <w:t>Design of the study</w:t>
      </w:r>
    </w:p>
    <w:p w:rsidR="00512783" w:rsidRPr="00495733" w:rsidRDefault="00512783" w:rsidP="00512783">
      <w:pPr>
        <w:spacing w:after="120"/>
        <w:jc w:val="both"/>
        <w:rPr>
          <w:rFonts w:ascii="Arial" w:hAnsi="Arial" w:cs="Arial"/>
          <w:sz w:val="22"/>
          <w:szCs w:val="22"/>
          <w:lang w:val="en-GB"/>
        </w:rPr>
      </w:pPr>
    </w:p>
    <w:p w:rsidR="00512783" w:rsidRPr="00495733" w:rsidRDefault="004A6D1B" w:rsidP="00512783">
      <w:pPr>
        <w:pStyle w:val="Titre2"/>
        <w:spacing w:after="120"/>
        <w:rPr>
          <w:rFonts w:ascii="Arial" w:hAnsi="Arial" w:cs="Arial"/>
          <w:b w:val="0"/>
          <w:bCs w:val="0"/>
          <w:sz w:val="22"/>
          <w:szCs w:val="22"/>
        </w:rPr>
      </w:pPr>
      <w:r w:rsidRPr="00495733">
        <w:rPr>
          <w:rFonts w:ascii="Arial" w:hAnsi="Arial" w:cs="Arial"/>
          <w:b w:val="0"/>
          <w:bCs w:val="0"/>
          <w:sz w:val="22"/>
          <w:szCs w:val="22"/>
        </w:rPr>
        <w:lastRenderedPageBreak/>
        <w:t>A graph summarizing the design is show below:</w:t>
      </w:r>
    </w:p>
    <w:p w:rsidR="00143545" w:rsidRDefault="00143545" w:rsidP="00ED5939">
      <w:pPr>
        <w:pStyle w:val="Titre2"/>
        <w:spacing w:after="120"/>
        <w:rPr>
          <w:rFonts w:ascii="Arial" w:hAnsi="Arial" w:cs="Arial"/>
        </w:rPr>
      </w:pPr>
      <w:r w:rsidRPr="00495733">
        <w:rPr>
          <w:rFonts w:ascii="Arial" w:hAnsi="Arial" w:cs="Arial"/>
        </w:rPr>
        <w:object w:dxaOrig="7215" w:dyaOrig="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5pt;height:378.15pt" o:ole="">
            <v:imagedata r:id="rId7" o:title=""/>
          </v:shape>
          <o:OLEObject Type="Embed" ProgID="PowerPoint.Slide.8" ShapeID="_x0000_i1025" DrawAspect="Content" ObjectID="_1456123178" r:id="rId8"/>
        </w:object>
      </w: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143545" w:rsidRDefault="00143545" w:rsidP="00ED5939">
      <w:pPr>
        <w:pStyle w:val="Titre2"/>
        <w:spacing w:after="120"/>
        <w:rPr>
          <w:rFonts w:ascii="Arial" w:hAnsi="Arial" w:cs="Arial"/>
        </w:rPr>
      </w:pPr>
    </w:p>
    <w:p w:rsidR="002B4946" w:rsidRPr="00A60F2B" w:rsidRDefault="004A6D1B" w:rsidP="00ED5939">
      <w:pPr>
        <w:pStyle w:val="Titre2"/>
        <w:spacing w:after="120"/>
        <w:rPr>
          <w:rFonts w:ascii="Arial" w:hAnsi="Arial" w:cs="Arial"/>
          <w:sz w:val="20"/>
        </w:rPr>
      </w:pPr>
      <w:r w:rsidRPr="00A60F2B">
        <w:rPr>
          <w:rFonts w:ascii="Arial" w:hAnsi="Arial" w:cs="Arial"/>
          <w:u w:val="single"/>
        </w:rPr>
        <w:t>End-points</w:t>
      </w:r>
    </w:p>
    <w:p w:rsidR="00512783" w:rsidRPr="00A85B84" w:rsidRDefault="002B4946" w:rsidP="002B4946">
      <w:pPr>
        <w:spacing w:after="120"/>
        <w:jc w:val="both"/>
        <w:rPr>
          <w:rFonts w:ascii="Arial" w:hAnsi="Arial" w:cs="Arial"/>
          <w:sz w:val="22"/>
          <w:szCs w:val="22"/>
          <w:lang w:val="en-GB"/>
        </w:rPr>
      </w:pPr>
      <w:r w:rsidRPr="00A85B84">
        <w:rPr>
          <w:rFonts w:ascii="Arial" w:hAnsi="Arial" w:cs="Arial"/>
          <w:bCs/>
          <w:sz w:val="22"/>
          <w:szCs w:val="22"/>
          <w:lang w:val="en-GB"/>
        </w:rPr>
        <w:t xml:space="preserve">1) </w:t>
      </w:r>
      <w:r w:rsidR="00512783" w:rsidRPr="00A85B84">
        <w:rPr>
          <w:rFonts w:ascii="Arial" w:hAnsi="Arial" w:cs="Arial"/>
          <w:bCs/>
          <w:sz w:val="22"/>
          <w:szCs w:val="22"/>
          <w:lang w:val="en-GB"/>
        </w:rPr>
        <w:t>Body composition </w:t>
      </w:r>
      <w:r w:rsidR="00ED5939" w:rsidRPr="00A85B84">
        <w:rPr>
          <w:rFonts w:ascii="Arial" w:hAnsi="Arial" w:cs="Arial"/>
          <w:bCs/>
          <w:sz w:val="22"/>
          <w:szCs w:val="22"/>
          <w:lang w:val="en-GB"/>
        </w:rPr>
        <w:t>(2x = at the end of each phase)</w:t>
      </w:r>
      <w:r w:rsidR="00512783" w:rsidRPr="00A85B84">
        <w:rPr>
          <w:rFonts w:ascii="Arial" w:hAnsi="Arial" w:cs="Arial"/>
          <w:bCs/>
          <w:sz w:val="22"/>
          <w:szCs w:val="22"/>
          <w:lang w:val="en-GB"/>
        </w:rPr>
        <w:t xml:space="preserve">: </w:t>
      </w:r>
    </w:p>
    <w:p w:rsidR="00512783" w:rsidRPr="00A85B84" w:rsidRDefault="00512783" w:rsidP="00ED5939">
      <w:pPr>
        <w:numPr>
          <w:ilvl w:val="0"/>
          <w:numId w:val="6"/>
        </w:numPr>
        <w:spacing w:after="120"/>
        <w:jc w:val="both"/>
        <w:rPr>
          <w:rFonts w:ascii="Arial" w:hAnsi="Arial" w:cs="Arial"/>
          <w:sz w:val="22"/>
          <w:szCs w:val="22"/>
          <w:lang w:val="en-GB"/>
        </w:rPr>
      </w:pPr>
      <w:r w:rsidRPr="00A85B84">
        <w:rPr>
          <w:rFonts w:ascii="Arial" w:hAnsi="Arial" w:cs="Arial"/>
          <w:bCs/>
          <w:sz w:val="22"/>
          <w:szCs w:val="22"/>
          <w:lang w:val="en-GB"/>
        </w:rPr>
        <w:t>Total and regional body composition by Dual-Energy X-ray Absorptiometry</w:t>
      </w:r>
      <w:r w:rsidR="002B4946" w:rsidRPr="00A85B84">
        <w:rPr>
          <w:rFonts w:ascii="Arial" w:hAnsi="Arial" w:cs="Arial"/>
          <w:bCs/>
          <w:sz w:val="22"/>
          <w:szCs w:val="22"/>
          <w:lang w:val="en-GB"/>
        </w:rPr>
        <w:t xml:space="preserve"> (DXA) </w:t>
      </w:r>
    </w:p>
    <w:p w:rsidR="00512783" w:rsidRPr="00A85B84" w:rsidRDefault="00512783" w:rsidP="00ED5939">
      <w:pPr>
        <w:numPr>
          <w:ilvl w:val="0"/>
          <w:numId w:val="6"/>
        </w:numPr>
        <w:spacing w:after="120"/>
        <w:jc w:val="both"/>
        <w:rPr>
          <w:rFonts w:ascii="Arial" w:hAnsi="Arial" w:cs="Arial"/>
          <w:bCs/>
          <w:sz w:val="22"/>
          <w:szCs w:val="22"/>
          <w:lang w:val="en-GB"/>
        </w:rPr>
      </w:pPr>
      <w:r w:rsidRPr="00A85B84">
        <w:rPr>
          <w:rFonts w:ascii="Arial" w:hAnsi="Arial" w:cs="Arial"/>
          <w:bCs/>
          <w:sz w:val="22"/>
          <w:szCs w:val="22"/>
          <w:lang w:val="en-GB"/>
        </w:rPr>
        <w:t xml:space="preserve">Visceral and sub-cutaneous fat </w:t>
      </w:r>
      <w:r w:rsidR="00143545" w:rsidRPr="00A85B84">
        <w:rPr>
          <w:rFonts w:ascii="Arial" w:hAnsi="Arial" w:cs="Arial"/>
          <w:bCs/>
          <w:sz w:val="22"/>
          <w:szCs w:val="22"/>
          <w:lang w:val="en-GB"/>
        </w:rPr>
        <w:t xml:space="preserve">areas </w:t>
      </w:r>
      <w:r w:rsidRPr="00A85B84">
        <w:rPr>
          <w:rFonts w:ascii="Arial" w:hAnsi="Arial" w:cs="Arial"/>
          <w:bCs/>
          <w:sz w:val="22"/>
          <w:szCs w:val="22"/>
          <w:lang w:val="en-GB"/>
        </w:rPr>
        <w:t xml:space="preserve">by computed tomography </w:t>
      </w:r>
      <w:r w:rsidR="00ED5939" w:rsidRPr="00A85B84">
        <w:rPr>
          <w:rFonts w:ascii="Arial" w:hAnsi="Arial" w:cs="Arial"/>
          <w:bCs/>
          <w:sz w:val="22"/>
          <w:szCs w:val="22"/>
          <w:lang w:val="en-GB"/>
        </w:rPr>
        <w:t>(level L4-L5)</w:t>
      </w:r>
    </w:p>
    <w:p w:rsidR="002B4946" w:rsidRPr="00A85B84" w:rsidRDefault="00512783" w:rsidP="00ED5939">
      <w:pPr>
        <w:numPr>
          <w:ilvl w:val="0"/>
          <w:numId w:val="6"/>
        </w:numPr>
        <w:spacing w:after="120"/>
        <w:jc w:val="both"/>
        <w:rPr>
          <w:rFonts w:ascii="Arial" w:hAnsi="Arial" w:cs="Arial"/>
          <w:bCs/>
          <w:sz w:val="22"/>
          <w:szCs w:val="22"/>
          <w:lang w:val="en-GB"/>
        </w:rPr>
      </w:pPr>
      <w:r w:rsidRPr="00A85B84">
        <w:rPr>
          <w:rFonts w:ascii="Arial" w:hAnsi="Arial" w:cs="Arial"/>
          <w:bCs/>
          <w:sz w:val="22"/>
          <w:szCs w:val="22"/>
          <w:lang w:val="en-GB"/>
        </w:rPr>
        <w:t>Anthropometric measurements: Weight, abdominal circumference, skin folds</w:t>
      </w:r>
    </w:p>
    <w:p w:rsidR="00512783" w:rsidRPr="00A85B84" w:rsidRDefault="00512783" w:rsidP="00512783">
      <w:pPr>
        <w:spacing w:after="120"/>
        <w:ind w:left="1416"/>
        <w:jc w:val="both"/>
        <w:rPr>
          <w:rFonts w:ascii="Arial" w:hAnsi="Arial" w:cs="Arial"/>
          <w:sz w:val="22"/>
          <w:szCs w:val="22"/>
          <w:lang w:val="en-GB"/>
        </w:rPr>
      </w:pPr>
      <w:r w:rsidRPr="00A85B84">
        <w:rPr>
          <w:rFonts w:ascii="Arial" w:hAnsi="Arial" w:cs="Arial"/>
          <w:bCs/>
          <w:sz w:val="22"/>
          <w:szCs w:val="22"/>
          <w:lang w:val="en-GB"/>
        </w:rPr>
        <w:t xml:space="preserve"> </w:t>
      </w:r>
    </w:p>
    <w:p w:rsidR="00143545" w:rsidRPr="00A85B84" w:rsidRDefault="002B4946" w:rsidP="00512783">
      <w:pPr>
        <w:spacing w:after="120"/>
        <w:jc w:val="both"/>
        <w:rPr>
          <w:rFonts w:ascii="Arial" w:hAnsi="Arial" w:cs="Arial"/>
          <w:bCs/>
          <w:sz w:val="22"/>
          <w:szCs w:val="22"/>
          <w:lang w:val="en-GB"/>
        </w:rPr>
      </w:pPr>
      <w:r w:rsidRPr="00A85B84">
        <w:rPr>
          <w:rFonts w:ascii="Arial" w:hAnsi="Arial" w:cs="Arial"/>
          <w:sz w:val="22"/>
          <w:szCs w:val="22"/>
          <w:lang w:val="en-GB"/>
        </w:rPr>
        <w:t>2)</w:t>
      </w:r>
      <w:r w:rsidR="00512783" w:rsidRPr="00A85B84">
        <w:rPr>
          <w:rFonts w:ascii="Arial" w:hAnsi="Arial" w:cs="Arial"/>
          <w:sz w:val="22"/>
          <w:szCs w:val="22"/>
          <w:lang w:val="en-GB"/>
        </w:rPr>
        <w:t xml:space="preserve"> </w:t>
      </w:r>
      <w:r w:rsidR="00143545" w:rsidRPr="00A85B84">
        <w:rPr>
          <w:rFonts w:ascii="Arial" w:hAnsi="Arial" w:cs="Arial"/>
          <w:bCs/>
          <w:sz w:val="22"/>
          <w:szCs w:val="22"/>
          <w:lang w:val="en-GB"/>
        </w:rPr>
        <w:t>Plasma adipokines (2x = at the end of each phase):</w:t>
      </w:r>
    </w:p>
    <w:p w:rsidR="00512783" w:rsidRPr="00A85B84" w:rsidRDefault="002B4946" w:rsidP="00ED5939">
      <w:pPr>
        <w:numPr>
          <w:ilvl w:val="0"/>
          <w:numId w:val="7"/>
        </w:numPr>
        <w:spacing w:after="120"/>
        <w:jc w:val="both"/>
        <w:rPr>
          <w:rFonts w:ascii="Arial" w:hAnsi="Arial" w:cs="Arial"/>
          <w:sz w:val="22"/>
          <w:szCs w:val="22"/>
          <w:lang w:val="en-GB"/>
        </w:rPr>
      </w:pPr>
      <w:r w:rsidRPr="00A85B84">
        <w:rPr>
          <w:rFonts w:ascii="Arial" w:hAnsi="Arial" w:cs="Arial"/>
          <w:sz w:val="22"/>
          <w:szCs w:val="22"/>
          <w:lang w:val="en-GB"/>
        </w:rPr>
        <w:t>Leptin, adiponectin</w:t>
      </w:r>
      <w:r w:rsidR="00143545" w:rsidRPr="00A85B84">
        <w:rPr>
          <w:rFonts w:ascii="Arial" w:hAnsi="Arial" w:cs="Arial"/>
          <w:sz w:val="22"/>
          <w:szCs w:val="22"/>
          <w:lang w:val="en-GB"/>
        </w:rPr>
        <w:t>, TNF-a</w:t>
      </w:r>
    </w:p>
    <w:p w:rsidR="00143545" w:rsidRPr="00A85B84" w:rsidRDefault="00143545" w:rsidP="00143545">
      <w:pPr>
        <w:spacing w:after="120"/>
        <w:ind w:left="720"/>
        <w:jc w:val="both"/>
        <w:rPr>
          <w:rFonts w:ascii="Arial" w:hAnsi="Arial" w:cs="Arial"/>
          <w:sz w:val="22"/>
          <w:szCs w:val="22"/>
          <w:lang w:val="en-GB"/>
        </w:rPr>
      </w:pPr>
    </w:p>
    <w:p w:rsidR="00143545" w:rsidRPr="00A85B84" w:rsidRDefault="00143545" w:rsidP="00143545">
      <w:pPr>
        <w:spacing w:after="120"/>
        <w:jc w:val="both"/>
        <w:rPr>
          <w:rFonts w:ascii="Arial" w:hAnsi="Arial" w:cs="Arial"/>
          <w:sz w:val="22"/>
          <w:szCs w:val="22"/>
          <w:lang w:val="en-GB"/>
        </w:rPr>
      </w:pPr>
      <w:r w:rsidRPr="00A85B84">
        <w:rPr>
          <w:rFonts w:ascii="Arial" w:hAnsi="Arial" w:cs="Arial"/>
          <w:sz w:val="22"/>
          <w:szCs w:val="22"/>
          <w:lang w:val="en-GB"/>
        </w:rPr>
        <w:t xml:space="preserve">3) Inflammation parameters </w:t>
      </w:r>
      <w:r w:rsidRPr="00A85B84">
        <w:rPr>
          <w:rFonts w:ascii="Arial" w:hAnsi="Arial" w:cs="Arial"/>
          <w:bCs/>
          <w:sz w:val="22"/>
          <w:szCs w:val="22"/>
          <w:lang w:val="en-GB"/>
        </w:rPr>
        <w:t>(2x = at the end of each phase):</w:t>
      </w:r>
    </w:p>
    <w:p w:rsidR="00143545" w:rsidRPr="00A85B84" w:rsidRDefault="00143545" w:rsidP="00143545">
      <w:pPr>
        <w:numPr>
          <w:ilvl w:val="0"/>
          <w:numId w:val="7"/>
        </w:numPr>
        <w:spacing w:after="120"/>
        <w:jc w:val="both"/>
        <w:rPr>
          <w:rFonts w:ascii="Arial" w:hAnsi="Arial" w:cs="Arial"/>
          <w:sz w:val="22"/>
          <w:szCs w:val="22"/>
          <w:lang w:val="en-GB"/>
        </w:rPr>
      </w:pPr>
      <w:r w:rsidRPr="00A85B84">
        <w:rPr>
          <w:rFonts w:ascii="Arial" w:hAnsi="Arial" w:cs="Arial"/>
          <w:sz w:val="22"/>
          <w:szCs w:val="22"/>
          <w:lang w:val="en-GB"/>
        </w:rPr>
        <w:t>TNF-a, CRP</w:t>
      </w:r>
    </w:p>
    <w:p w:rsidR="00143545" w:rsidRPr="00A85B84" w:rsidRDefault="00143545" w:rsidP="00143545">
      <w:pPr>
        <w:spacing w:after="120"/>
        <w:ind w:left="720"/>
        <w:jc w:val="both"/>
        <w:rPr>
          <w:rFonts w:ascii="Arial" w:hAnsi="Arial" w:cs="Arial"/>
          <w:sz w:val="22"/>
          <w:szCs w:val="22"/>
          <w:lang w:val="en-GB"/>
        </w:rPr>
      </w:pPr>
    </w:p>
    <w:p w:rsidR="00143545" w:rsidRPr="00A85B84" w:rsidRDefault="00A85B84" w:rsidP="00143545">
      <w:pPr>
        <w:spacing w:after="120"/>
        <w:jc w:val="both"/>
        <w:rPr>
          <w:rFonts w:ascii="Arial" w:hAnsi="Arial" w:cs="Arial"/>
          <w:sz w:val="22"/>
          <w:szCs w:val="22"/>
          <w:lang w:val="en-GB"/>
        </w:rPr>
      </w:pPr>
      <w:r w:rsidRPr="00A85B84">
        <w:rPr>
          <w:rFonts w:ascii="Arial" w:hAnsi="Arial" w:cs="Arial"/>
          <w:sz w:val="22"/>
          <w:szCs w:val="22"/>
          <w:lang w:val="en-GB"/>
        </w:rPr>
        <w:t>4</w:t>
      </w:r>
      <w:r w:rsidR="00143545" w:rsidRPr="00A85B84">
        <w:rPr>
          <w:rFonts w:ascii="Arial" w:hAnsi="Arial" w:cs="Arial"/>
          <w:sz w:val="22"/>
          <w:szCs w:val="22"/>
          <w:lang w:val="en-GB"/>
        </w:rPr>
        <w:t xml:space="preserve">) Blood lipids </w:t>
      </w:r>
      <w:r w:rsidR="00143545" w:rsidRPr="00A85B84">
        <w:rPr>
          <w:rFonts w:ascii="Arial" w:hAnsi="Arial" w:cs="Arial"/>
          <w:bCs/>
          <w:sz w:val="22"/>
          <w:szCs w:val="22"/>
          <w:lang w:val="en-GB"/>
        </w:rPr>
        <w:t>(2x = at the end of each phase):</w:t>
      </w:r>
    </w:p>
    <w:p w:rsidR="00512783" w:rsidRPr="00A85B84" w:rsidRDefault="002B4946" w:rsidP="00ED5939">
      <w:pPr>
        <w:numPr>
          <w:ilvl w:val="0"/>
          <w:numId w:val="7"/>
        </w:numPr>
        <w:spacing w:after="120"/>
        <w:jc w:val="both"/>
        <w:rPr>
          <w:rFonts w:ascii="Arial" w:hAnsi="Arial" w:cs="Arial"/>
          <w:sz w:val="22"/>
          <w:szCs w:val="22"/>
          <w:lang w:val="en-GB"/>
        </w:rPr>
      </w:pPr>
      <w:r w:rsidRPr="00A85B84">
        <w:rPr>
          <w:rFonts w:ascii="Arial" w:hAnsi="Arial" w:cs="Arial"/>
          <w:sz w:val="22"/>
          <w:szCs w:val="22"/>
          <w:lang w:val="en-GB"/>
        </w:rPr>
        <w:t>Total cholesterol, HD</w:t>
      </w:r>
      <w:r w:rsidR="00512783" w:rsidRPr="00A85B84">
        <w:rPr>
          <w:rFonts w:ascii="Arial" w:hAnsi="Arial" w:cs="Arial"/>
          <w:sz w:val="22"/>
          <w:szCs w:val="22"/>
          <w:lang w:val="en-GB"/>
        </w:rPr>
        <w:t>L</w:t>
      </w:r>
      <w:r w:rsidRPr="00A85B84">
        <w:rPr>
          <w:rFonts w:ascii="Arial" w:hAnsi="Arial" w:cs="Arial"/>
          <w:sz w:val="22"/>
          <w:szCs w:val="22"/>
          <w:lang w:val="en-GB"/>
        </w:rPr>
        <w:t>-cholesterol</w:t>
      </w:r>
      <w:r w:rsidR="00512783" w:rsidRPr="00A85B84">
        <w:rPr>
          <w:rFonts w:ascii="Arial" w:hAnsi="Arial" w:cs="Arial"/>
          <w:sz w:val="22"/>
          <w:szCs w:val="22"/>
          <w:lang w:val="en-GB"/>
        </w:rPr>
        <w:t>, triglycerides</w:t>
      </w:r>
    </w:p>
    <w:p w:rsidR="00ED5939" w:rsidRPr="00A85B84" w:rsidRDefault="00ED5939" w:rsidP="00512783">
      <w:pPr>
        <w:spacing w:after="120"/>
        <w:jc w:val="both"/>
        <w:rPr>
          <w:rFonts w:ascii="Arial" w:hAnsi="Arial" w:cs="Arial"/>
          <w:sz w:val="22"/>
          <w:szCs w:val="22"/>
          <w:lang w:val="en-GB"/>
        </w:rPr>
      </w:pPr>
    </w:p>
    <w:p w:rsidR="00512783" w:rsidRPr="00A85B84" w:rsidRDefault="00A85B84" w:rsidP="00512783">
      <w:pPr>
        <w:spacing w:after="120"/>
        <w:jc w:val="both"/>
        <w:rPr>
          <w:rFonts w:ascii="Arial" w:hAnsi="Arial" w:cs="Arial"/>
          <w:bCs/>
          <w:sz w:val="22"/>
          <w:szCs w:val="22"/>
          <w:lang w:val="en-GB"/>
        </w:rPr>
      </w:pPr>
      <w:r w:rsidRPr="00A85B84">
        <w:rPr>
          <w:rFonts w:ascii="Arial" w:hAnsi="Arial" w:cs="Arial"/>
          <w:sz w:val="22"/>
          <w:szCs w:val="22"/>
          <w:lang w:val="en-GB"/>
        </w:rPr>
        <w:t>5</w:t>
      </w:r>
      <w:r w:rsidR="00512783" w:rsidRPr="00A85B84">
        <w:rPr>
          <w:rFonts w:ascii="Arial" w:hAnsi="Arial" w:cs="Arial"/>
          <w:sz w:val="22"/>
          <w:szCs w:val="22"/>
          <w:lang w:val="en-GB"/>
        </w:rPr>
        <w:t xml:space="preserve">) </w:t>
      </w:r>
      <w:r w:rsidR="00512783" w:rsidRPr="00A85B84">
        <w:rPr>
          <w:rFonts w:ascii="Arial" w:hAnsi="Arial" w:cs="Arial"/>
          <w:bCs/>
          <w:sz w:val="22"/>
          <w:szCs w:val="22"/>
          <w:lang w:val="en-GB"/>
        </w:rPr>
        <w:t>Energy expenditure study</w:t>
      </w:r>
      <w:r w:rsidR="00512783" w:rsidRPr="00A85B84">
        <w:rPr>
          <w:rFonts w:ascii="Arial" w:hAnsi="Arial" w:cs="Arial"/>
          <w:sz w:val="22"/>
          <w:szCs w:val="22"/>
          <w:lang w:val="en-GB"/>
        </w:rPr>
        <w:t xml:space="preserve"> </w:t>
      </w:r>
      <w:r w:rsidR="00143545" w:rsidRPr="00A85B84">
        <w:rPr>
          <w:rFonts w:ascii="Arial" w:hAnsi="Arial" w:cs="Arial"/>
          <w:bCs/>
          <w:sz w:val="22"/>
          <w:szCs w:val="22"/>
          <w:lang w:val="en-GB"/>
        </w:rPr>
        <w:t>(2x = at the end of each phase):</w:t>
      </w:r>
    </w:p>
    <w:p w:rsidR="00A85B84" w:rsidRPr="00A85B84" w:rsidRDefault="00143545" w:rsidP="00A85B84">
      <w:pPr>
        <w:numPr>
          <w:ilvl w:val="0"/>
          <w:numId w:val="9"/>
        </w:numPr>
        <w:spacing w:after="120"/>
        <w:jc w:val="both"/>
        <w:rPr>
          <w:rFonts w:ascii="Arial" w:hAnsi="Arial" w:cs="Arial"/>
          <w:bCs/>
          <w:sz w:val="22"/>
          <w:szCs w:val="22"/>
          <w:lang w:val="en-GB"/>
        </w:rPr>
      </w:pPr>
      <w:r w:rsidRPr="00A85B84">
        <w:rPr>
          <w:rFonts w:ascii="Arial" w:hAnsi="Arial" w:cs="Arial"/>
          <w:bCs/>
          <w:sz w:val="22"/>
          <w:szCs w:val="22"/>
          <w:lang w:val="en-GB"/>
        </w:rPr>
        <w:t>Indirect calorimetry</w:t>
      </w:r>
    </w:p>
    <w:p w:rsidR="00A85B84" w:rsidRPr="00A85B84" w:rsidRDefault="00A85B84" w:rsidP="00A85B84">
      <w:pPr>
        <w:spacing w:after="120"/>
        <w:ind w:left="720"/>
        <w:jc w:val="both"/>
        <w:rPr>
          <w:rFonts w:ascii="Arial" w:hAnsi="Arial" w:cs="Arial"/>
          <w:bCs/>
          <w:sz w:val="22"/>
          <w:szCs w:val="22"/>
          <w:lang w:val="en-GB"/>
        </w:rPr>
      </w:pPr>
    </w:p>
    <w:p w:rsidR="00A85B84" w:rsidRPr="00A85B84" w:rsidRDefault="00A85B84" w:rsidP="00A85B84">
      <w:pPr>
        <w:spacing w:after="120"/>
        <w:jc w:val="both"/>
        <w:rPr>
          <w:rFonts w:ascii="Arial" w:hAnsi="Arial" w:cs="Arial"/>
          <w:sz w:val="22"/>
          <w:szCs w:val="22"/>
          <w:lang w:val="en-GB"/>
        </w:rPr>
      </w:pPr>
      <w:r w:rsidRPr="00A85B84">
        <w:rPr>
          <w:rFonts w:ascii="Arial" w:hAnsi="Arial" w:cs="Arial"/>
          <w:sz w:val="22"/>
          <w:szCs w:val="22"/>
          <w:lang w:val="en-GB"/>
        </w:rPr>
        <w:t xml:space="preserve">6) Glycemia and insulin sensitivity </w:t>
      </w:r>
      <w:r w:rsidRPr="00A85B84">
        <w:rPr>
          <w:rFonts w:ascii="Arial" w:hAnsi="Arial" w:cs="Arial"/>
          <w:bCs/>
          <w:sz w:val="22"/>
          <w:szCs w:val="22"/>
          <w:lang w:val="en-GB"/>
        </w:rPr>
        <w:t>(2x = at the end of each phase):</w:t>
      </w:r>
    </w:p>
    <w:p w:rsidR="00A85B84" w:rsidRPr="00A85B84" w:rsidRDefault="00A85B84" w:rsidP="00A85B84">
      <w:pPr>
        <w:numPr>
          <w:ilvl w:val="0"/>
          <w:numId w:val="7"/>
        </w:numPr>
        <w:spacing w:after="120"/>
        <w:jc w:val="both"/>
        <w:rPr>
          <w:rFonts w:ascii="Arial" w:hAnsi="Arial" w:cs="Arial"/>
          <w:sz w:val="22"/>
          <w:szCs w:val="22"/>
          <w:lang w:val="en-GB"/>
        </w:rPr>
      </w:pPr>
      <w:r w:rsidRPr="00A85B84">
        <w:rPr>
          <w:rFonts w:ascii="Arial" w:hAnsi="Arial" w:cs="Arial"/>
          <w:sz w:val="22"/>
          <w:szCs w:val="22"/>
          <w:lang w:val="en-GB"/>
        </w:rPr>
        <w:t>HbA1C, glucose, insulin sensitivity (HOMA index)</w:t>
      </w:r>
    </w:p>
    <w:p w:rsidR="00A85B84" w:rsidRPr="00A85B84" w:rsidRDefault="00A85B84" w:rsidP="00A85B84">
      <w:pPr>
        <w:numPr>
          <w:ilvl w:val="0"/>
          <w:numId w:val="7"/>
        </w:numPr>
        <w:spacing w:after="120"/>
        <w:jc w:val="both"/>
        <w:rPr>
          <w:rFonts w:ascii="Arial" w:hAnsi="Arial" w:cs="Arial"/>
          <w:sz w:val="22"/>
          <w:szCs w:val="22"/>
          <w:lang w:val="en-GB"/>
        </w:rPr>
      </w:pPr>
      <w:r w:rsidRPr="00A85B84">
        <w:rPr>
          <w:rFonts w:ascii="Arial" w:hAnsi="Arial" w:cs="Arial"/>
          <w:bCs/>
          <w:sz w:val="22"/>
          <w:szCs w:val="22"/>
          <w:lang w:val="en-US"/>
        </w:rPr>
        <w:t>Insulin-glucose clamp (2x)</w:t>
      </w:r>
    </w:p>
    <w:p w:rsidR="00A85B84" w:rsidRDefault="00A85B84" w:rsidP="00A85B84">
      <w:pPr>
        <w:spacing w:after="120"/>
        <w:jc w:val="both"/>
        <w:rPr>
          <w:rFonts w:ascii="Arial" w:hAnsi="Arial" w:cs="Arial"/>
          <w:bCs/>
          <w:sz w:val="22"/>
          <w:szCs w:val="22"/>
          <w:lang w:val="en-GB"/>
        </w:rPr>
      </w:pPr>
    </w:p>
    <w:p w:rsidR="00ED5939" w:rsidRPr="00495733" w:rsidRDefault="00ED5939" w:rsidP="00512783">
      <w:pPr>
        <w:spacing w:after="120"/>
        <w:jc w:val="both"/>
        <w:rPr>
          <w:rFonts w:ascii="Arial" w:hAnsi="Arial" w:cs="Arial"/>
          <w:sz w:val="22"/>
          <w:szCs w:val="22"/>
          <w:lang w:val="en-GB"/>
        </w:rPr>
      </w:pPr>
    </w:p>
    <w:p w:rsidR="00512783" w:rsidRPr="00495733" w:rsidRDefault="00512783" w:rsidP="00512783">
      <w:pPr>
        <w:jc w:val="both"/>
        <w:rPr>
          <w:rFonts w:ascii="Arial" w:hAnsi="Arial" w:cs="Arial"/>
          <w:sz w:val="22"/>
          <w:szCs w:val="22"/>
          <w:lang w:val="en-GB"/>
        </w:rPr>
      </w:pPr>
    </w:p>
    <w:p w:rsidR="00512783" w:rsidRPr="00A60F2B" w:rsidRDefault="00512783" w:rsidP="00512783">
      <w:pPr>
        <w:jc w:val="both"/>
        <w:rPr>
          <w:rFonts w:ascii="Arial" w:hAnsi="Arial" w:cs="Arial"/>
          <w:lang w:val="en-GB"/>
        </w:rPr>
      </w:pPr>
    </w:p>
    <w:p w:rsidR="00512783" w:rsidRPr="00A60F2B" w:rsidRDefault="00512783" w:rsidP="00A85B84">
      <w:pPr>
        <w:spacing w:after="120"/>
        <w:jc w:val="both"/>
        <w:rPr>
          <w:rFonts w:ascii="Arial" w:hAnsi="Arial" w:cs="Arial"/>
          <w:b/>
          <w:bCs/>
          <w:u w:val="single"/>
          <w:lang w:val="en-GB"/>
        </w:rPr>
      </w:pPr>
      <w:r w:rsidRPr="00A60F2B">
        <w:rPr>
          <w:rFonts w:ascii="Arial" w:hAnsi="Arial" w:cs="Arial"/>
          <w:b/>
          <w:bCs/>
          <w:u w:val="single"/>
          <w:lang w:val="en-GB"/>
        </w:rPr>
        <w:t>Follow-up:</w:t>
      </w:r>
    </w:p>
    <w:p w:rsidR="00512783" w:rsidRPr="00495733" w:rsidRDefault="002B4946" w:rsidP="00A85B84">
      <w:pPr>
        <w:spacing w:after="120"/>
        <w:jc w:val="both"/>
        <w:rPr>
          <w:rFonts w:ascii="Arial" w:hAnsi="Arial" w:cs="Arial"/>
          <w:sz w:val="22"/>
          <w:szCs w:val="22"/>
          <w:lang w:val="en-GB"/>
        </w:rPr>
      </w:pPr>
      <w:r>
        <w:rPr>
          <w:rFonts w:ascii="Arial" w:hAnsi="Arial" w:cs="Arial"/>
          <w:sz w:val="22"/>
          <w:szCs w:val="22"/>
          <w:lang w:val="en-GB"/>
        </w:rPr>
        <w:t xml:space="preserve">HD </w:t>
      </w:r>
      <w:r w:rsidR="00512783" w:rsidRPr="00495733">
        <w:rPr>
          <w:rFonts w:ascii="Arial" w:hAnsi="Arial" w:cs="Arial"/>
          <w:sz w:val="22"/>
          <w:szCs w:val="22"/>
          <w:lang w:val="en-GB"/>
        </w:rPr>
        <w:t xml:space="preserve">patients are </w:t>
      </w:r>
      <w:r>
        <w:rPr>
          <w:rFonts w:ascii="Arial" w:hAnsi="Arial" w:cs="Arial"/>
          <w:sz w:val="22"/>
          <w:szCs w:val="22"/>
          <w:lang w:val="en-GB"/>
        </w:rPr>
        <w:t xml:space="preserve">routinely </w:t>
      </w:r>
      <w:r w:rsidR="00512783" w:rsidRPr="00495733">
        <w:rPr>
          <w:rFonts w:ascii="Arial" w:hAnsi="Arial" w:cs="Arial"/>
          <w:sz w:val="22"/>
          <w:szCs w:val="22"/>
          <w:lang w:val="en-GB"/>
        </w:rPr>
        <w:t xml:space="preserve">seen </w:t>
      </w:r>
      <w:r w:rsidR="00B8711F" w:rsidRPr="00495733">
        <w:rPr>
          <w:rFonts w:ascii="Arial" w:hAnsi="Arial" w:cs="Arial"/>
          <w:sz w:val="22"/>
          <w:szCs w:val="22"/>
          <w:lang w:val="en-GB"/>
        </w:rPr>
        <w:t>3x a week at the dialysis centre</w:t>
      </w:r>
      <w:r w:rsidR="00512783" w:rsidRPr="00495733">
        <w:rPr>
          <w:rFonts w:ascii="Arial" w:hAnsi="Arial" w:cs="Arial"/>
          <w:sz w:val="22"/>
          <w:szCs w:val="22"/>
          <w:lang w:val="en-GB"/>
        </w:rPr>
        <w:t>. Thus</w:t>
      </w:r>
      <w:r>
        <w:rPr>
          <w:rFonts w:ascii="Arial" w:hAnsi="Arial" w:cs="Arial"/>
          <w:sz w:val="22"/>
          <w:szCs w:val="22"/>
          <w:lang w:val="en-GB"/>
        </w:rPr>
        <w:t>,</w:t>
      </w:r>
      <w:r w:rsidR="00512783" w:rsidRPr="00495733">
        <w:rPr>
          <w:rFonts w:ascii="Arial" w:hAnsi="Arial" w:cs="Arial"/>
          <w:sz w:val="22"/>
          <w:szCs w:val="22"/>
          <w:lang w:val="en-GB"/>
        </w:rPr>
        <w:t xml:space="preserve"> fluid retention will be detected easily. </w:t>
      </w:r>
      <w:r>
        <w:rPr>
          <w:rFonts w:ascii="Arial" w:hAnsi="Arial" w:cs="Arial"/>
          <w:sz w:val="22"/>
          <w:szCs w:val="22"/>
          <w:lang w:val="en-GB"/>
        </w:rPr>
        <w:t xml:space="preserve">PD </w:t>
      </w:r>
      <w:r w:rsidR="00512783" w:rsidRPr="00495733">
        <w:rPr>
          <w:rFonts w:ascii="Arial" w:hAnsi="Arial" w:cs="Arial"/>
          <w:sz w:val="22"/>
          <w:szCs w:val="22"/>
          <w:lang w:val="en-GB"/>
        </w:rPr>
        <w:t>patients will be seen 1x/week and fluid retention will be carefully</w:t>
      </w:r>
      <w:r w:rsidR="00B8711F" w:rsidRPr="00495733">
        <w:rPr>
          <w:rFonts w:ascii="Arial" w:hAnsi="Arial" w:cs="Arial"/>
          <w:sz w:val="22"/>
          <w:szCs w:val="22"/>
          <w:lang w:val="en-GB"/>
        </w:rPr>
        <w:t xml:space="preserve"> </w:t>
      </w:r>
      <w:r w:rsidR="00512783" w:rsidRPr="00495733">
        <w:rPr>
          <w:rFonts w:ascii="Arial" w:hAnsi="Arial" w:cs="Arial"/>
          <w:sz w:val="22"/>
          <w:szCs w:val="22"/>
          <w:lang w:val="en-GB"/>
        </w:rPr>
        <w:t xml:space="preserve">searched for. In case of fluid retention, the dialysis treatment will be adapted to promote more fluid extraction. </w:t>
      </w:r>
    </w:p>
    <w:p w:rsidR="00512783" w:rsidRPr="00495733" w:rsidRDefault="00512783" w:rsidP="00512783">
      <w:pPr>
        <w:spacing w:after="120"/>
        <w:jc w:val="both"/>
        <w:rPr>
          <w:rFonts w:ascii="Arial" w:hAnsi="Arial" w:cs="Arial"/>
          <w:sz w:val="22"/>
          <w:szCs w:val="22"/>
          <w:lang w:val="en-GB"/>
        </w:rPr>
      </w:pPr>
      <w:r w:rsidRPr="00495733">
        <w:rPr>
          <w:rFonts w:ascii="Arial" w:hAnsi="Arial" w:cs="Arial"/>
          <w:sz w:val="22"/>
          <w:szCs w:val="22"/>
          <w:lang w:val="en-GB"/>
        </w:rPr>
        <w:t xml:space="preserve">Liver function </w:t>
      </w:r>
      <w:r w:rsidR="00B8711F" w:rsidRPr="00495733">
        <w:rPr>
          <w:rFonts w:ascii="Arial" w:hAnsi="Arial" w:cs="Arial"/>
          <w:sz w:val="22"/>
          <w:szCs w:val="22"/>
          <w:lang w:val="en-GB"/>
        </w:rPr>
        <w:t>tests</w:t>
      </w:r>
      <w:r w:rsidRPr="00495733">
        <w:rPr>
          <w:rFonts w:ascii="Arial" w:hAnsi="Arial" w:cs="Arial"/>
          <w:sz w:val="22"/>
          <w:szCs w:val="22"/>
          <w:lang w:val="en-GB"/>
        </w:rPr>
        <w:t>: 1x/month</w:t>
      </w:r>
    </w:p>
    <w:p w:rsidR="004A6D1B" w:rsidRPr="00ED5939" w:rsidRDefault="004A6D1B" w:rsidP="009F73A0">
      <w:pPr>
        <w:spacing w:after="120"/>
        <w:jc w:val="both"/>
        <w:rPr>
          <w:rFonts w:ascii="Arial" w:hAnsi="Arial" w:cs="Arial"/>
          <w:sz w:val="22"/>
          <w:szCs w:val="22"/>
          <w:lang w:val="en-GB"/>
        </w:rPr>
      </w:pPr>
    </w:p>
    <w:p w:rsidR="00ED5939" w:rsidRPr="00A60F2B" w:rsidRDefault="0081175D" w:rsidP="00A60F2B">
      <w:pPr>
        <w:pStyle w:val="Titre3"/>
        <w:spacing w:after="120"/>
        <w:rPr>
          <w:rFonts w:ascii="Arial" w:hAnsi="Arial" w:cs="Arial"/>
          <w:b/>
          <w:lang w:val="fr-CH"/>
        </w:rPr>
      </w:pPr>
      <w:r w:rsidRPr="00A60F2B">
        <w:rPr>
          <w:rFonts w:ascii="Arial" w:hAnsi="Arial" w:cs="Arial"/>
          <w:b/>
          <w:lang w:val="fr-CH"/>
        </w:rPr>
        <w:t>Risks</w:t>
      </w:r>
    </w:p>
    <w:p w:rsidR="004A6D1B" w:rsidRPr="00ED5939" w:rsidRDefault="004A6D1B" w:rsidP="00A60F2B">
      <w:pPr>
        <w:spacing w:after="120"/>
        <w:jc w:val="both"/>
        <w:rPr>
          <w:rFonts w:ascii="Arial" w:hAnsi="Arial" w:cs="Arial"/>
          <w:sz w:val="22"/>
          <w:szCs w:val="22"/>
        </w:rPr>
      </w:pPr>
      <w:r w:rsidRPr="00ED5939">
        <w:rPr>
          <w:rFonts w:ascii="Arial" w:hAnsi="Arial" w:cs="Arial"/>
          <w:sz w:val="22"/>
          <w:szCs w:val="22"/>
          <w:u w:val="single"/>
          <w:lang w:val="en-US"/>
        </w:rPr>
        <w:t>Pioglitazone</w:t>
      </w:r>
      <w:r w:rsidRPr="00ED5939">
        <w:rPr>
          <w:rFonts w:ascii="Arial" w:hAnsi="Arial" w:cs="Arial"/>
          <w:sz w:val="22"/>
          <w:szCs w:val="22"/>
          <w:lang w:val="en-US"/>
        </w:rPr>
        <w:t xml:space="preserve">: </w:t>
      </w:r>
      <w:r w:rsidR="0081175D" w:rsidRPr="00ED5939">
        <w:rPr>
          <w:rFonts w:ascii="Arial" w:hAnsi="Arial" w:cs="Arial"/>
          <w:sz w:val="22"/>
          <w:szCs w:val="22"/>
          <w:lang w:val="en-US"/>
        </w:rPr>
        <w:t xml:space="preserve">Two studies have already shown that </w:t>
      </w:r>
      <w:r w:rsidRPr="00ED5939">
        <w:rPr>
          <w:rFonts w:ascii="Arial" w:hAnsi="Arial" w:cs="Arial"/>
          <w:sz w:val="22"/>
          <w:szCs w:val="22"/>
          <w:lang w:val="en-US"/>
        </w:rPr>
        <w:t xml:space="preserve">glitazones </w:t>
      </w:r>
      <w:r w:rsidR="0081175D" w:rsidRPr="00ED5939">
        <w:rPr>
          <w:rFonts w:ascii="Arial" w:hAnsi="Arial" w:cs="Arial"/>
          <w:sz w:val="22"/>
          <w:szCs w:val="22"/>
          <w:lang w:val="en-US"/>
        </w:rPr>
        <w:t xml:space="preserve">can be administered safely in HD and </w:t>
      </w:r>
      <w:r w:rsidRPr="00ED5939">
        <w:rPr>
          <w:rFonts w:ascii="Arial" w:hAnsi="Arial" w:cs="Arial"/>
          <w:sz w:val="22"/>
          <w:szCs w:val="22"/>
          <w:lang w:val="en-US"/>
        </w:rPr>
        <w:t>DP</w:t>
      </w:r>
      <w:r w:rsidR="0081175D" w:rsidRPr="00ED5939">
        <w:rPr>
          <w:rFonts w:ascii="Arial" w:hAnsi="Arial" w:cs="Arial"/>
          <w:sz w:val="22"/>
          <w:szCs w:val="22"/>
          <w:lang w:val="en-US"/>
        </w:rPr>
        <w:t xml:space="preserve"> patients </w:t>
      </w:r>
      <w:r w:rsidRPr="00ED5939">
        <w:rPr>
          <w:rFonts w:ascii="Arial" w:hAnsi="Arial" w:cs="Arial"/>
          <w:sz w:val="22"/>
          <w:szCs w:val="22"/>
        </w:rPr>
        <w:fldChar w:fldCharType="begin"/>
      </w:r>
      <w:r w:rsidRPr="00ED5939">
        <w:rPr>
          <w:rFonts w:ascii="Arial" w:hAnsi="Arial" w:cs="Arial"/>
          <w:sz w:val="22"/>
          <w:szCs w:val="22"/>
          <w:lang w:val="en-US"/>
        </w:rPr>
        <w:instrText xml:space="preserve"> ADDIN EN.CITE &lt;EndNote&gt;&lt;Cite&gt;&lt;Author&gt;Manley&lt;/Author&gt;&lt;Year&gt;2003&lt;/Year&gt;&lt;RecNum&gt;188&lt;/RecNum&gt;&lt;MDL&gt;&lt;REFERENCE_TYPE&gt;0&lt;/REFERENCE_TYPE&gt;&lt;ACCESSION_NUMBER&gt;12885099&lt;/ACCESSION_NUMBER&gt;&lt;VOLUME&gt;23&lt;/VOLUME&gt;&lt;NUMBER&gt;7&lt;/NUMBER&gt;&lt;YEAR&gt;2003&lt;/YEAR&gt;&lt;DATE&gt;Jul&lt;/DATE&gt;&lt;TITLE&gt;Thiazolidinedione safety and efficacy in ambulatory patients receiving hemodialysis&lt;/TITLE&gt;&lt;PAGES&gt;861-5&lt;/PAGES&gt;&lt;AUTHOR_ADDRESS&gt;School of Pharmacy, University of Missouri-Kansas City, Kansas City, Missouri, USA. ManleyH@UMKC.edu&lt;/AUTHOR_ADDRESS&gt;&lt;AUTHORS&gt;&lt;AUTHOR&gt;Manley, H. J.&lt;/AUTHOR&gt;&lt;AUTHOR&gt;Allcock, N. M.&lt;/AUTHOR&gt;&lt;/AUTHORS&gt;&lt;SECONDARY_TITLE&gt;Pharmacotherapy&lt;/SECONDARY_TITLE&gt;&lt;KEYWORDS&gt;&lt;KEYWORD&gt;Aged&lt;/KEYWORD&gt;&lt;KEYWORD&gt;Aged, 80 and over&lt;/KEYWORD&gt;&lt;KEYWORD&gt;Blood Pressure/drug effects&lt;/KEYWORD&gt;&lt;KEYWORD&gt;Comorbidity&lt;/KEYWORD&gt;&lt;KEYWORD&gt;Diabetes Complications&lt;/KEYWORD&gt;&lt;KEYWORD&gt;Diabetes Mellitus/*drug therapy&lt;/KEYWORD&gt;&lt;KEYWORD&gt;Female&lt;/KEYWORD&gt;&lt;KEYWORD&gt;Humans&lt;/KEYWORD&gt;&lt;KEYWORD&gt;Hypoglycemic Agents/*adverse effects/therapeutic use&lt;/KEYWORD&gt;&lt;KEYWORD&gt;Kidney Failure, Chronic/etiology/*therapy&lt;/KEYWORD&gt;&lt;KEYWORD&gt;Male&lt;/KEYWORD&gt;&lt;KEYWORD&gt;Middle Aged&lt;/KEYWORD&gt;&lt;KEYWORD&gt;Outpatients&lt;/KEYWORD&gt;&lt;KEYWORD&gt;Renal Dialysis&lt;/KEYWORD&gt;&lt;KEYWORD&gt;Retrospective Studies&lt;/KEYWORD&gt;&lt;KEYWORD&gt;Thiazolidinediones/*adverse effects/therapeutic use&lt;/KEYWORD&gt;&lt;/KEYWORDS&gt;&lt;URL&gt;http://www.ncbi.nlm.nih.gov/entrez/query.fcgi?cmd=Retrieve&amp;amp;db=PubMed&amp;amp;dopt=Citation&amp;amp;list_uids=12885099&lt;/URL&gt;&lt;/MDL&gt;&lt;/Cite&gt;&lt;Cite&gt;&lt;Author&gt;Lin&lt;/Author&gt;&lt;Year&gt;2003&lt;/Year&gt;&lt;RecNum&gt;189&lt;/RecNum&gt;&lt;MDL&gt;&lt;REFERENCE_TYPE&gt;0&lt;/REFERENCE_TYPE&gt;&lt;ACCESSION_NUMBER&gt;14520628&lt;/ACCESSION_NUMBER&gt;&lt;VOLUME&gt;42&lt;/VOLUME&gt;&lt;NUMBER&gt;4&lt;/NUMBER&gt;&lt;YEAR&gt;2003&lt;/YEAR&gt;&lt;DATE&gt;Oct&lt;/DATE&gt;&lt;TITLE&gt;Rosiglitazone improves glucose metabolism in nondiabetic uremic patients on CAPD&lt;/TITLE&gt;&lt;PAGES&gt;774-80&lt;/PAGES&gt;&lt;AUTHOR_ADDRESS&gt;Department of Medicine, Division of Nephrology, Tri-Service General Hospital, National Defense Medical Center, Taipei, Taiwan, ROC China. l52116@ndmctsgh.edu.tw&lt;/AUTHOR_ADDRESS&gt;&lt;AUTHORS&gt;&lt;AUTHOR&gt;Lin, S. H.&lt;/AUTHOR&gt;&lt;AUTHOR&gt;Lin, Y. F.&lt;/AUTHOR&gt;&lt;AUTHOR&gt;Kuo, S. W.&lt;/AUTHOR&gt;&lt;AUTHOR&gt;Hsu, Y. J.&lt;/AUTHOR&gt;&lt;AUTHOR&gt;Hung, Y. J.&lt;/AUTHOR&gt;&lt;/AUTHORS&gt;&lt;SECONDARY_TITLE&gt;Am J Kidney Dis&lt;/SECONDARY_TITLE&gt;&lt;KEYWORDS&gt;&lt;KEYWORD&gt;Adult&lt;/KEYWORD&gt;&lt;KEYWORD&gt;Aged&lt;/KEYWORD&gt;&lt;KEYWORD&gt;Biological Markers/blood&lt;/KEYWORD&gt;&lt;KEYWORD&gt;Blood Glucose/*metabolism&lt;/KEYWORD&gt;&lt;KEYWORD&gt;C-Reactive Protein/metabolism&lt;/KEYWORD&gt;&lt;KEYWORD&gt;Case-Control Studies&lt;/KEYWORD&gt;&lt;KEYWORD&gt;Female&lt;/KEYWORD&gt;&lt;KEYWORD&gt;Glucose Tolerance Test&lt;/KEYWORD&gt;&lt;KEYWORD&gt;Humans&lt;/KEYWORD&gt;&lt;KEYWORD&gt;Hypoglycemic Agents/*therapeutic use&lt;/KEYWORD&gt;&lt;KEYWORD&gt;Insulin/blood&lt;/KEYWORD&gt;&lt;KEYWORD&gt;*Insulin Resistance&lt;/KEYWORD&gt;&lt;KEYWORD&gt;Interleukin-6/blood&lt;/KEYWORD&gt;&lt;KEYWORD&gt;Kidney Failure, Chronic/*metabolism/therapy&lt;/KEYWORD&gt;&lt;KEYWORD&gt;Male&lt;/KEYWORD&gt;&lt;KEYWORD&gt;Middle Aged&lt;/KEYWORD&gt;&lt;KEYWORD&gt;*Peritoneal Dialysis, Continuous Ambulatory&lt;/KEYWORD&gt;&lt;KEYWORD&gt;Statistics, Nonparametric&lt;/KEYWORD&gt;&lt;KEYWORD&gt;Thiazolidinediones/*therape</w:instrText>
      </w:r>
      <w:r w:rsidRPr="00ED5939">
        <w:rPr>
          <w:rFonts w:ascii="Arial" w:hAnsi="Arial" w:cs="Arial"/>
          <w:sz w:val="22"/>
          <w:szCs w:val="22"/>
          <w:lang w:val="fr-CH"/>
        </w:rPr>
        <w:instrText>utic use&lt;/</w:instrText>
      </w:r>
      <w:r w:rsidRPr="00ED5939">
        <w:rPr>
          <w:rFonts w:ascii="Arial" w:hAnsi="Arial" w:cs="Arial"/>
          <w:sz w:val="22"/>
          <w:szCs w:val="22"/>
        </w:rPr>
        <w:instrText>KEYWORD&gt;&lt;/KEYWORDS&gt;&lt;URL&gt;http://www.ncbi.nlm.nih.gov/entrez/query.fcgi?cmd=Retrieve&amp;amp;db=PubMed&amp;amp;dopt=Citation&amp;amp;list_uids=14520628&lt;/URL&gt;&lt;/MDL&gt;&lt;/Cite&gt;&lt;/EndNote&gt;</w:instrText>
      </w:r>
      <w:r w:rsidRPr="00ED5939">
        <w:rPr>
          <w:rFonts w:ascii="Arial" w:hAnsi="Arial" w:cs="Arial"/>
          <w:sz w:val="22"/>
          <w:szCs w:val="22"/>
        </w:rPr>
        <w:fldChar w:fldCharType="separate"/>
      </w:r>
      <w:r w:rsidRPr="00ED5939">
        <w:rPr>
          <w:rFonts w:ascii="Arial" w:hAnsi="Arial" w:cs="Arial"/>
          <w:sz w:val="22"/>
          <w:szCs w:val="22"/>
        </w:rPr>
        <w:t>[4, 5]</w:t>
      </w:r>
      <w:r w:rsidRPr="00ED5939">
        <w:rPr>
          <w:rFonts w:ascii="Arial" w:hAnsi="Arial" w:cs="Arial"/>
          <w:sz w:val="22"/>
          <w:szCs w:val="22"/>
        </w:rPr>
        <w:fldChar w:fldCharType="end"/>
      </w:r>
      <w:r w:rsidRPr="00ED5939">
        <w:rPr>
          <w:rFonts w:ascii="Arial" w:hAnsi="Arial" w:cs="Arial"/>
          <w:sz w:val="22"/>
          <w:szCs w:val="22"/>
        </w:rPr>
        <w:t xml:space="preserve">. </w:t>
      </w:r>
      <w:r w:rsidR="0081175D" w:rsidRPr="00ED5939">
        <w:rPr>
          <w:rFonts w:ascii="Arial" w:hAnsi="Arial" w:cs="Arial"/>
          <w:sz w:val="22"/>
          <w:szCs w:val="22"/>
          <w:lang w:val="en-US"/>
        </w:rPr>
        <w:t xml:space="preserve">Pharmacokinetic studies have shown that the dose should not be adjusted according to renal function since there is no accumulation of pioglitazone, </w:t>
      </w:r>
      <w:r w:rsidR="0081175D" w:rsidRPr="00ED5939">
        <w:rPr>
          <w:rFonts w:ascii="Arial" w:hAnsi="Arial" w:cs="Arial"/>
          <w:sz w:val="22"/>
          <w:szCs w:val="22"/>
          <w:lang w:val="en-US"/>
        </w:rPr>
        <w:lastRenderedPageBreak/>
        <w:t>rosiglitazone or</w:t>
      </w:r>
      <w:r w:rsidRPr="00ED5939">
        <w:rPr>
          <w:rFonts w:ascii="Arial" w:hAnsi="Arial" w:cs="Arial"/>
          <w:sz w:val="22"/>
          <w:szCs w:val="22"/>
          <w:lang w:val="en-US"/>
        </w:rPr>
        <w:t xml:space="preserve"> </w:t>
      </w:r>
      <w:r w:rsidR="0081175D" w:rsidRPr="00ED5939">
        <w:rPr>
          <w:rFonts w:ascii="Arial" w:hAnsi="Arial" w:cs="Arial"/>
          <w:sz w:val="22"/>
          <w:szCs w:val="22"/>
          <w:lang w:val="en-US"/>
        </w:rPr>
        <w:t>their me</w:t>
      </w:r>
      <w:r w:rsidRPr="00ED5939">
        <w:rPr>
          <w:rFonts w:ascii="Arial" w:hAnsi="Arial" w:cs="Arial"/>
          <w:sz w:val="22"/>
          <w:szCs w:val="22"/>
          <w:lang w:val="en-US"/>
        </w:rPr>
        <w:t>tabolites</w:t>
      </w:r>
      <w:r w:rsidR="0081175D" w:rsidRPr="00ED5939">
        <w:rPr>
          <w:rFonts w:ascii="Arial" w:hAnsi="Arial" w:cs="Arial"/>
          <w:sz w:val="22"/>
          <w:szCs w:val="22"/>
          <w:lang w:val="en-US"/>
        </w:rPr>
        <w:t xml:space="preserve"> </w:t>
      </w:r>
      <w:r w:rsidRPr="00ED5939">
        <w:rPr>
          <w:rFonts w:ascii="Arial" w:hAnsi="Arial" w:cs="Arial"/>
          <w:sz w:val="22"/>
          <w:szCs w:val="22"/>
        </w:rPr>
        <w:fldChar w:fldCharType="begin"/>
      </w:r>
      <w:r w:rsidRPr="00ED5939">
        <w:rPr>
          <w:rFonts w:ascii="Arial" w:hAnsi="Arial" w:cs="Arial"/>
          <w:sz w:val="22"/>
          <w:szCs w:val="22"/>
          <w:lang w:val="en-US"/>
        </w:rPr>
        <w:instrText xml:space="preserve"> ADDIN EN.CITE &lt;EndNote&gt;&lt;Cite&gt;&lt;Author&gt;Budde&lt;/Author&gt;&lt;Year&gt;2003&lt;/Year&gt;&lt;RecNum&gt;184&lt;/RecNum&gt;&lt;MDL&gt;&lt;REFERENCE_TYPE&gt;0&lt;/REFERENCE_TYPE&gt;&lt;ACCESSION_NUMBER&gt;12680885&lt;/ACCESSION_NUMBER&gt;&lt;VOLUME&gt;55&lt;/VOLUME&gt;&lt;NUMBER&gt;4&lt;/NUMBER&gt;&lt;YEAR&gt;2003&lt;/YEAR&gt;&lt;DATE&gt;Apr&lt;/DATE&gt;&lt;TITLE&gt;The pharmacokinetics of pioglitazone in patients with impaired renal function&lt;/TITLE&gt;&lt;PAGES&gt;368-74&lt;/PAGES&gt;&lt;AUTHOR_ADDRESS&gt;Department of Nephrology, University Hospital Charite, Berlin, Germany.&lt;/AUTHOR_ADDRESS&gt;&lt;AUTHORS&gt;&lt;AUTHOR&gt;Budde, K.&lt;/AUTHOR&gt;&lt;AUTHOR&gt;Neumayer, H. H.&lt;/AUTHOR&gt;&lt;AUTHOR&gt;Fritsche, L.&lt;/AUTHOR&gt;&lt;AUTHOR&gt;Sulowicz, W.&lt;/AUTHOR&gt;&lt;AUTHOR&gt;Stompor, T.&lt;/AUTHOR&gt;&lt;AUTHOR&gt;Eckland, D.&lt;/AUTHOR&gt;&lt;/AUTHORS&gt;&lt;SECONDARY_TITLE&gt;Br J Clin Pharmacol&lt;/SECONDARY_TITLE&gt;&lt;KEYWORDS&gt;&lt;KEYWORD&gt;Administration, Oral&lt;/KEYWORD&gt;&lt;KEYWORD&gt;Adolescent&lt;/KEYWORD&gt;&lt;KEYWORD&gt;Adult&lt;/KEYWORD&gt;&lt;KEYWORD&gt;Aged&lt;/KEYWORD&gt;&lt;KEYWORD&gt;Area Under Curve&lt;/KEYWORD&gt;&lt;KEYWORD&gt;Female&lt;/KEYWORD&gt;&lt;KEYWORD&gt;Half-Life&lt;/KEYWORD&gt;&lt;KEYWORD&gt;Humans&lt;/KEYWORD&gt;&lt;KEYWORD&gt;Hypoglycemic Agents/administration &amp;amp; dosage/blood/*pharmacokinetics&lt;/KEYWORD&gt;&lt;KEYWORD&gt;Kidney Diseases/*complications/metabolism&lt;/KEYWORD&gt;&lt;KEYWORD&gt;Male&lt;/KEYWORD&gt;&lt;KEYWORD&gt;Metabolic Clearance Rate&lt;/KEYWORD&gt;&lt;KEYWORD&gt;Middle Aged&lt;/KEYWORD&gt;&lt;KEYWORD&gt;Research Support, Non-U.S. Gov&amp;apos;t&lt;/KEYWORD&gt;&lt;KEYWORD&gt;Thiazoles/administration &amp;amp; dosage/blood/*pharmacokinetics&lt;/</w:instrText>
      </w:r>
      <w:r w:rsidRPr="00ED5939">
        <w:rPr>
          <w:rFonts w:ascii="Arial" w:hAnsi="Arial" w:cs="Arial"/>
          <w:sz w:val="22"/>
          <w:szCs w:val="22"/>
        </w:rPr>
        <w:instrText>KEYWORD&gt;&lt;KEYWORD&gt;*Thiazolidinediones&lt;/KEYWORD&gt;&lt;/KEYWORDS&gt;&lt;URL&gt;http://www.ncbi.nlm.nih.gov/entrez/query.fcgi?cmd=Retrieve&amp;amp;db=PubMed&amp;amp;dopt=Citation&amp;amp;list_uids=12680885&lt;/URL&gt;&lt;/MDL&gt;&lt;/Cite&gt;&lt;Cite&gt;&lt;Author&gt;Chapelsky&lt;/Author&gt;&lt;Year&gt;2003&lt;/Year&gt;&lt;RecNum&gt;185&lt;/RecNum&gt;&lt;MDL&gt;&lt;REFERENCE_TYPE&gt;0&lt;/REFERENCE_TYPE&gt;&lt;ACCESSION_NUMBER&gt;12638393&lt;/ACCESSION_NUMBER&gt;&lt;VOLUME&gt;43&lt;/VOLUME&gt;&lt;NUMBER&gt;3&lt;/NUMBER&gt;&lt;YEAR&gt;2003&lt;/YEAR&gt;&lt;DATE&gt;Mar&lt;/DATE&gt;&lt;TITLE&gt;Pharmacokinetics of rosiglitazone in patients with varying degrees of renal insufficiency&lt;/TITLE&gt;&lt;PAGES&gt;252-9&lt;/PAGES&gt;&lt;AUTHOR_ADDRESS&gt;GlaxoSmithKline, 709 Swedeland Road, P.O. Box 1539, King of Prussia, PA 19406-0939, USA.&lt;/AUTHOR_ADDRESS&gt;&lt;AUTHORS&gt;&lt;AUTHOR&gt;Chapelsky, M. C.&lt;/AUTHOR&gt;&lt;AUTHOR&gt;Thompson-Culkin, K.&lt;/AUTHOR&gt;&lt;AUTHOR&gt;Miller, A. K.&lt;/AUTHOR&gt;&lt;AUTHOR&gt;Sack, M.&lt;/AUTHOR&gt;&lt;AUTHOR&gt;Blum, R.&lt;/AUTHOR&gt;&lt;AUTHOR&gt;Freed, M. I.&lt;/AUTHOR&gt;&lt;/AUTHORS&gt;&lt;SECONDARY_TITLE&gt;J Clin Pharmacol&lt;/SECONDARY_TITLE&gt;&lt;KEYWORDS&gt;&lt;KEYWORD&gt;Administration, Oral&lt;/KEYWORD&gt;&lt;KEYWORD&gt;Adolescent&lt;/KEYWORD&gt;&lt;KEYWORD&gt;Adult&lt;/KEYWORD&gt;&lt;KEYWORD&gt;Aged&lt;/KEYWORD&gt;&lt;KEYWORD&gt;Area Under Curve&lt;/KEYWORD&gt;&lt;KEYWORD&gt;Comparative Study&lt;/KEYWORD&gt;&lt;KEYWORD&gt;Creatinine/metabolism&lt;/KEYWORD&gt;&lt;KEYWORD&gt;Female&lt;/KEYWORD&gt;&lt;KEYWORD&gt;Half-Life&lt;/KEYWORD&gt;&lt;KEYWORD&gt;Humans&lt;/KEYWORD&gt;&lt;KEYWORD&gt;Hypoglycemic Agents/administration &amp;amp; dosage/*adverse&lt;/KEYWORD&gt;&lt;KEYWORD&gt;effects/*pharmacokinetics&lt;/KEYWORD&gt;&lt;KEYWORD&gt;Kidney Failure/*metabolism/physiopathology&lt;/KEYWORD&gt;&lt;KEYWORD&gt;Male&lt;/KEYWORD&gt;&lt;KEYWORD&gt;Middle Aged&lt;/KEYWORD&gt;&lt;KEYWORD&gt;Thiazoles/administration &amp;amp; dosage/*adverse effects/*pharmacokinetics&lt;/KEYWORD&gt;&lt;KEYWORD&gt;*Thiazolidinediones&lt;/KEYWORD&gt;&lt;/KEYWORDS&gt;&lt;URL&gt;http://www.ncbi.nlm.nih.gov/entrez/query.fcgi?cmd=Retrieve&amp;amp;db=PubMed&amp;amp;dopt=Citation&amp;amp;list_uids=12638393&lt;/URL&gt;&lt;/MDL&gt;&lt;/Cite&gt;&lt;Cite&gt;&lt;Author&gt;Thompson-Culkin&lt;/Author&gt;&lt;Year&gt;2002&lt;/Year&gt;&lt;RecNum&gt;186&lt;/RecNum&gt;&lt;MDL&gt;&lt;REFERENCE_TYPE&gt;0&lt;/REFERENCE_TYPE&gt;&lt;ACCESSION_NUMBER&gt;12235921&lt;/ACCESSION_NUMBER&gt;&lt;VOLUME&gt;30&lt;/VOLUME&gt;&lt;NUMBER&gt;4&lt;/NUMBER&gt;&lt;YEAR&gt;2002&lt;/YEAR&gt;&lt;DATE&gt;Jul-Aug&lt;/DATE&gt;&lt;TITLE&gt;Pharmacokinetics of rosiglitazone in patients with end-stage renal disease&lt;/TITLE&gt;&lt;PAGES&gt;391-9&lt;/PAGES&gt;&lt;AUTHOR_ADDRESS&gt;Clinical Pharmacology Unit, GlaxoSmithKline, Presbyterian Hospital, Philadelphia, PA, USA. kathleen_a_thompson-culkin@sbphrd.com&lt;/AUTHOR_ADDRESS&gt;&lt;AUTHORS&gt;&lt;AUTHOR&gt;Thompson-Culkin, K.&lt;/AUTHOR&gt;&lt;AUTHOR&gt;Zussman, B.&lt;/AUTHOR&gt;&lt;AUTHOR&gt;Miller, A. K.&lt;/AUTHOR&gt;&lt;AUTHOR&gt;Freed, M. I.&lt;/AUTHOR&gt;&lt;/AUTHORS&gt;&lt;SECONDARY_TITLE&gt;J Int Med Res&lt;/SECONDARY_TITLE&gt;&lt;KEYWORDS&gt;&lt;KEYWORD&gt;Adult&lt;/KEYWORD&gt;&lt;KEYWORD&gt;Aged&lt;/KEYWORD&gt;&lt;KEYWORD&gt;Comparative Study&lt;/KEYWORD&gt;&lt;KEYWORD&gt;Female&lt;/KEYWORD&gt;&lt;KEYWORD&gt;Humans&lt;/KEYWORD&gt;&lt;KEYWORD&gt;Hypoglycemic Agents/blood/*pharmacokinetics/therapeutic use&lt;/KEYWORD&gt;&lt;KEYWORD&gt;Kidney Failure, Chronic/*metabolism&lt;/KEYWORD&gt;&lt;KEYWORD&gt;Male&lt;/KEYWORD&gt;&lt;KEYWORD&gt;Middle Aged&lt;/KEYWORD&gt;&lt;KEYWORD&gt;Renal Dialysis&lt;/KEYWORD&gt;&lt;KEYWORD&gt;Thiazoles/blood/*pharmacokinetics/therapeutic use&lt;/KEYWORD&gt;&lt;KEYWORD&gt;*Thiazolidinediones&lt;/KEYWORD&gt;&lt;/KEYWORDS&gt;&lt;URL&gt;http://www.ncbi.nlm.nih.gov/entrez/query.fcgi?cmd=Retrieve&amp;amp;db=PubMed&amp;amp;dopt=Citation&amp;amp;list_uids=12235921&lt;/URL&gt;&lt;/MDL&gt;&lt;/Cite&gt;&lt;Cite&gt;&lt;Author&gt;Snyder&lt;/Author&gt;&lt;Year&gt;2004&lt;/Year&gt;&lt;RecNum&gt;187&lt;/RecNum&gt;&lt;MDL&gt;&lt;REFERENCE_TYPE&gt;0&lt;/REFERENCE_TYPE&gt;&lt;ACCESSION_NUMBER&gt;15461745&lt;/ACCESSION_NUMBER&gt;&lt;VOLUME&gt;17&lt;/VOLUME&gt;&lt;NUMBER&gt;5&lt;/NUMBER&gt;&lt;YEAR&gt;2004&lt;/YEAR&gt;&lt;DATE&gt;Sep-Oct&lt;/DATE&gt;&lt;TITLE&gt;Use of insulin and oral hypoglycemic medications in patients with diabetes mellitus and advanced kidney disease&lt;/TITLE&gt;&lt;PAGES&gt;365-70&lt;/PAGES&gt;&lt;AUTHOR_ADDRESS&gt;Department of Medicine, Renal, Electrolyte, and Hypertension Division, University of Pennsylvania School of Medicine, Philadelphia, Pennsylvania 19104, USA.&lt;/AUTHOR_ADDRESS&gt;&lt;AUTHORS&gt;&lt;AUTHOR&gt;Snyder, R. W.&lt;/AUTHOR&gt;&lt;AUTHOR&gt;Berns, J. S.&lt;/AUTHOR&gt;&lt;/AUTHORS&gt;&lt;SECONDARY_TITLE&gt;Semin Dial&lt;/SECONDARY_TITLE&gt;&lt;KEYWORDS&gt;&lt;KEYWORD&gt;Administration, Oral&lt;/KEYWORD&gt;&lt;KEYWORD&gt;Blood Glucose/analysis&lt;/KEYWORD&gt;&lt;KEYWORD&gt;Comparative Study&lt;/KEYWORD&gt;&lt;KEYWORD&gt;Diabetes Mellitus, Type 1/complications/diagnosis/*drug therapy&lt;/KEYWORD&gt;&lt;KEYWORD&gt;Diabetes Mellitus, Type 2/complications/diagnosis/*drug therapy&lt;/KEYWORD&gt;&lt;KEYWORD&gt;Diabetic Nephropathies/etiology/*prevention &amp;amp; control&lt;/KEYWORD&gt;&lt;KEYWORD&gt;Female&lt;/KEYWORD&gt;&lt;KEYWORD&gt;Humans&lt;/KEYWORD&gt;&lt;KEYWORD&gt;Hyperglycemia/prevention &amp;amp; control&lt;/KEYWORD&gt;&lt;KEYWORD&gt;Hypoglycemic Agents/*therapeutic use&lt;/KEYWORD&gt;&lt;KEYWORD&gt;Insulin/*therapeutic use&lt;/KEYWORD&gt;&lt;KEYWORD&gt;Insulin Resistance&lt;/KEYWORD&gt;&lt;KEYWORD&gt;Kidney Failure, Chronic/*etiology/prevention &amp;amp; control/therapy&lt;/KEYWORD&gt;&lt;KEYWORD&gt;Male&lt;/KEYWORD&gt;&lt;KEYWORD&gt;Prognosis&lt;/KEYWORD&gt;&lt;KEYWORD&gt;Renal Dialysis/adverse effects/methods&lt;/KEYWORD&gt;&lt;KEYWORD&gt;Risk Assessment&lt;/KEYWORD&gt;&lt;KEYWORD&gt;Severity of Illness Index&lt;/KEYWORD&gt;&lt;KEYWORD&gt;Treatment Outcome&lt;/KEYWORD&gt;&lt;/KEYWORDS&gt;&lt;URL&gt;http://www.ncbi.nlm.nih.gov/entrez/query.fcgi?cmd=Retrieve&amp;amp;db=PubMed&amp;amp;dopt=Citation&amp;amp;list_uids=15461745&lt;/URL&gt;&lt;/MDL&gt;&lt;/Cite&gt;&lt;/EndNote&gt;</w:instrText>
      </w:r>
      <w:r w:rsidRPr="00ED5939">
        <w:rPr>
          <w:rFonts w:ascii="Arial" w:hAnsi="Arial" w:cs="Arial"/>
          <w:sz w:val="22"/>
          <w:szCs w:val="22"/>
        </w:rPr>
        <w:fldChar w:fldCharType="separate"/>
      </w:r>
      <w:r w:rsidRPr="00ED5939">
        <w:rPr>
          <w:rFonts w:ascii="Arial" w:hAnsi="Arial" w:cs="Arial"/>
          <w:sz w:val="22"/>
          <w:szCs w:val="22"/>
        </w:rPr>
        <w:t>[6-9]</w:t>
      </w:r>
      <w:r w:rsidRPr="00ED5939">
        <w:rPr>
          <w:rFonts w:ascii="Arial" w:hAnsi="Arial" w:cs="Arial"/>
          <w:sz w:val="22"/>
          <w:szCs w:val="22"/>
        </w:rPr>
        <w:fldChar w:fldCharType="end"/>
      </w:r>
      <w:r w:rsidRPr="00ED5939">
        <w:rPr>
          <w:rFonts w:ascii="Arial" w:hAnsi="Arial" w:cs="Arial"/>
          <w:sz w:val="22"/>
          <w:szCs w:val="22"/>
        </w:rPr>
        <w:t xml:space="preserve">. </w:t>
      </w:r>
      <w:r w:rsidR="0081175D" w:rsidRPr="00ED5939">
        <w:rPr>
          <w:rFonts w:ascii="Arial" w:hAnsi="Arial" w:cs="Arial"/>
          <w:sz w:val="22"/>
          <w:szCs w:val="22"/>
          <w:lang w:val="en-US"/>
        </w:rPr>
        <w:t xml:space="preserve">Serious adverse events such as pulmonary edema and fluid overload do not seem to be more frequent than expected in this population </w:t>
      </w:r>
      <w:r w:rsidRPr="00ED5939">
        <w:rPr>
          <w:rFonts w:ascii="Arial" w:hAnsi="Arial" w:cs="Arial"/>
          <w:sz w:val="22"/>
          <w:szCs w:val="22"/>
        </w:rPr>
        <w:fldChar w:fldCharType="begin"/>
      </w:r>
      <w:r w:rsidRPr="00ED5939">
        <w:rPr>
          <w:rFonts w:ascii="Arial" w:hAnsi="Arial" w:cs="Arial"/>
          <w:sz w:val="22"/>
          <w:szCs w:val="22"/>
          <w:lang w:val="en-US"/>
        </w:rPr>
        <w:instrText xml:space="preserve"> ADDIN EN.CITE &lt;EndNote&gt;&lt;Cite&gt;&lt;Author&gt;Manley&lt;/Author&gt;&lt;Year&gt;2003&lt;/Year&gt;&lt;RecNum&gt;188&lt;/RecNum&gt;&lt;MDL&gt;&lt;REFERENCE_TYPE&gt;0&lt;/REFERENCE_TYPE&gt;&lt;ACCESSION_NUMBER&gt;12885099&lt;/ACCESSION_NUMBER&gt;&lt;VOLUME&gt;23&lt;/VOLUME&gt;&lt;NUMBER&gt;7&lt;/NUMBER&gt;&lt;YEAR&gt;2003&lt;/YEAR&gt;&lt;DATE&gt;Jul&lt;/DATE&gt;&lt;TITLE&gt;Thiazolidinedione safety and efficacy in ambulatory patients receiving hemodialysis&lt;/TITLE&gt;&lt;PAGES&gt;861-5&lt;/PAGES&gt;&lt;AUTHOR_ADDRESS&gt;School of Pharmacy, University of Missouri-Kansas City, Kansas City, Missouri, USA. ManleyH@UMKC.edu&lt;/AUTHOR_ADDRESS&gt;&lt;AUTHORS&gt;&lt;AUTHOR&gt;Manley, H. J.&lt;/AUTHOR&gt;&lt;AUTHOR&gt;Allcock, N. M.&lt;/AUTHOR&gt;&lt;/AUTHORS&gt;&lt;SECONDARY_TITLE&gt;Pharmacotherapy&lt;/SECONDARY_TITLE&gt;&lt;KEYWORDS&gt;&lt;KEYWORD&gt;Aged&lt;/KEYWORD&gt;&lt;KEYWORD&gt;Aged, 80 and over&lt;/KEYWORD&gt;&lt;KEYWORD&gt;Blood Pressure/drug effects&lt;/KEYWORD&gt;&lt;KEYWORD&gt;Comorbidity&lt;/KEYWORD&gt;&lt;KEYWORD&gt;Diabetes Complications&lt;/KEYWORD&gt;&lt;KEYWORD&gt;Diabetes Mellitus/*drug therapy&lt;/KEYWORD&gt;&lt;KEYWORD&gt;Female&lt;/KEYWORD&gt;&lt;KEYWORD&gt;Humans&lt;/KEYWORD&gt;&lt;KEYWORD&gt;Hypoglycemic Agents/*adverse effects/therapeutic use&lt;/KEYWORD&gt;&lt;KEYWORD&gt;Kidney Failure, Chronic/etiology/*therapy&lt;/KEYWORD&gt;&lt;KEYWORD&gt;Male&lt;/KEYWORD&gt;&lt;KEYWORD&gt;Middle Aged&lt;/KEYWORD&gt;&lt;KEYWORD&gt;Outpatients&lt;/KEYWORD&gt;&lt;KEYWORD&gt;Renal Dialysis&lt;/KEYWORD&gt;&lt;KEYWORD&gt;Retrospective Studies&lt;/KEYWORD&gt;&lt;KEYWORD&gt;Thiazolidinediones/*adverse effects/therapeutic use&lt;/KEYWORD&gt;&lt;/KEYWORDS&gt;&lt;URL&gt;http://www.ncbi.nlm.nih.gov/entrez/query.fcgi?cmd=Retrieve&amp;amp;db=PubMed&amp;amp;dopt=Ci</w:instrText>
      </w:r>
      <w:r w:rsidRPr="00ED5939">
        <w:rPr>
          <w:rFonts w:ascii="Arial" w:hAnsi="Arial" w:cs="Arial"/>
          <w:sz w:val="22"/>
          <w:szCs w:val="22"/>
        </w:rPr>
        <w:instrText>tation&amp;amp;list_uids=12885099&lt;/URL&gt;&lt;/MDL&gt;&lt;/Cite&gt;&lt;Cite&gt;&lt;Author&gt;Lin&lt;/Author&gt;&lt;Year&gt;2003&lt;/Year&gt;&lt;RecNum&gt;189&lt;/RecNum&gt;&lt;MDL&gt;&lt;REFERENCE_TYPE&gt;0&lt;/REFERENCE_TYPE&gt;&lt;ACCESSION_NUMBER&gt;14520628&lt;/ACCESSION_NUMBER&gt;&lt;VOLUME&gt;42&lt;/VOLUME&gt;&lt;NUMBER&gt;4&lt;/NUMBER&gt;&lt;YEAR&gt;2003&lt;/YEAR&gt;&lt;DATE&gt;Oct&lt;/DATE&gt;&lt;TITLE&gt;Rosiglitazone improves glucose metabolism in nondiabetic uremic patients on CAPD&lt;/TITLE&gt;&lt;PAGES&gt;774-80&lt;/PAGES&gt;&lt;AUTHOR_ADDRESS&gt;Department of Medicine, Division of Nephrology, Tri-Service General Hospital, National Defense Medical Center, Taipei, Taiwan, ROC China. l52116@ndmctsgh.edu.tw&lt;/AUTHOR_ADDRESS&gt;&lt;AUTHORS&gt;&lt;AUTHOR&gt;Lin, S. H.&lt;/AUTHOR&gt;&lt;AUTHOR&gt;Lin, Y. F.&lt;/AUTHOR&gt;&lt;AUTHOR&gt;Kuo, S. W.&lt;/AUTHOR&gt;&lt;AUTHOR&gt;Hsu, Y. J.&lt;/AUTHOR&gt;&lt;AUTHOR&gt;Hung, Y. J.&lt;/AUTHOR&gt;&lt;/AUTHORS&gt;&lt;SECONDARY_TITLE&gt;Am J Kidney Dis&lt;/SECONDARY_TITLE&gt;&lt;KEYWORDS&gt;&lt;KEYWORD&gt;Adult&lt;/KEYWORD&gt;&lt;KEYWORD&gt;Aged&lt;/KEYWORD&gt;&lt;KEYWORD&gt;Biological Markers/blood&lt;/KEYWORD&gt;&lt;KEYWORD&gt;Blood Glucose/*metabolism&lt;/KEYWORD&gt;&lt;KEYWORD&gt;C-Reactive Protein/metabolism&lt;/KEYWORD&gt;&lt;KEYWORD&gt;Case-Control Studies&lt;/KEYWORD&gt;&lt;KEYWORD&gt;Female&lt;/KEYWORD&gt;&lt;KEYWORD&gt;Glucose Tolerance Test&lt;/KEYWORD&gt;&lt;KEYWORD&gt;Humans&lt;/KEYWORD&gt;&lt;KEYWORD&gt;Hypoglycemic Agents/*therapeutic use&lt;/KEYWORD&gt;&lt;KEYWORD&gt;Insulin/blood&lt;/KEYWORD&gt;&lt;KEYWORD&gt;*Insulin Resistance&lt;/KEYWORD&gt;&lt;KEYWORD&gt;Interleukin-6/blood&lt;/KEYWORD&gt;&lt;KEYWORD&gt;Kidney Failure, Chronic/*metabolism/therapy&lt;/KEYWORD&gt;&lt;KEYWORD&gt;Male&lt;/KEYWORD&gt;&lt;KEYWORD&gt;Middle Aged&lt;/KEYWORD&gt;&lt;KEYWORD&gt;*Peritoneal Dialysis, Continuous Ambulatory&lt;/KEYWORD&gt;&lt;KEYWORD&gt;Statistics, Nonparametric&lt;/KEYWORD&gt;&lt;KEYWORD&gt;Thiazolidinediones/*therapeutic use&lt;/KEYWORD&gt;&lt;/KEYWORDS&gt;&lt;URL&gt;http://www.ncbi.nlm.nih.gov/entrez/query.fcgi?cmd=Retrieve&amp;amp;db=PubMed&amp;amp;dopt=Citation&amp;amp;list_uids=14520628&lt;/URL&gt;&lt;/MDL&gt;&lt;/Cite&gt;&lt;/EndNote&gt;</w:instrText>
      </w:r>
      <w:r w:rsidRPr="00ED5939">
        <w:rPr>
          <w:rFonts w:ascii="Arial" w:hAnsi="Arial" w:cs="Arial"/>
          <w:sz w:val="22"/>
          <w:szCs w:val="22"/>
        </w:rPr>
        <w:fldChar w:fldCharType="separate"/>
      </w:r>
      <w:r w:rsidRPr="00ED5939">
        <w:rPr>
          <w:rFonts w:ascii="Arial" w:hAnsi="Arial" w:cs="Arial"/>
          <w:sz w:val="22"/>
          <w:szCs w:val="22"/>
        </w:rPr>
        <w:t>[4, 5]</w:t>
      </w:r>
      <w:r w:rsidRPr="00ED5939">
        <w:rPr>
          <w:rFonts w:ascii="Arial" w:hAnsi="Arial" w:cs="Arial"/>
          <w:sz w:val="22"/>
          <w:szCs w:val="22"/>
        </w:rPr>
        <w:fldChar w:fldCharType="end"/>
      </w:r>
      <w:r w:rsidRPr="00ED5939">
        <w:rPr>
          <w:rFonts w:ascii="Arial" w:hAnsi="Arial" w:cs="Arial"/>
          <w:sz w:val="22"/>
          <w:szCs w:val="22"/>
        </w:rPr>
        <w:t>.</w:t>
      </w:r>
    </w:p>
    <w:p w:rsidR="0081175D" w:rsidRPr="00495733" w:rsidRDefault="00495733" w:rsidP="0081175D">
      <w:pPr>
        <w:tabs>
          <w:tab w:val="left" w:pos="2268"/>
          <w:tab w:val="left" w:pos="2694"/>
        </w:tabs>
        <w:jc w:val="both"/>
        <w:rPr>
          <w:rFonts w:ascii="Arial" w:hAnsi="Arial" w:cs="Arial"/>
          <w:sz w:val="22"/>
          <w:szCs w:val="22"/>
          <w:u w:val="single"/>
          <w:lang w:val="en-US"/>
        </w:rPr>
      </w:pPr>
      <w:r w:rsidRPr="00495733">
        <w:rPr>
          <w:rFonts w:ascii="Arial" w:hAnsi="Arial" w:cs="Arial"/>
          <w:sz w:val="22"/>
          <w:szCs w:val="22"/>
          <w:u w:val="single"/>
          <w:lang w:val="en-US"/>
        </w:rPr>
        <w:t xml:space="preserve">Imaging studies: </w:t>
      </w:r>
      <w:r w:rsidR="0081175D" w:rsidRPr="00495733">
        <w:rPr>
          <w:rFonts w:ascii="Arial" w:hAnsi="Arial" w:cs="Arial"/>
          <w:sz w:val="22"/>
          <w:szCs w:val="22"/>
          <w:u w:val="single"/>
          <w:lang w:val="en-US"/>
        </w:rPr>
        <w:t>D</w:t>
      </w:r>
      <w:r w:rsidR="004A6D1B" w:rsidRPr="00495733">
        <w:rPr>
          <w:rFonts w:ascii="Arial" w:hAnsi="Arial" w:cs="Arial"/>
          <w:sz w:val="22"/>
          <w:szCs w:val="22"/>
          <w:u w:val="single"/>
          <w:lang w:val="en-US"/>
        </w:rPr>
        <w:t xml:space="preserve">XA/CT-scan: </w:t>
      </w:r>
    </w:p>
    <w:p w:rsidR="004A6D1B" w:rsidRDefault="0081175D" w:rsidP="00ED5939">
      <w:pPr>
        <w:tabs>
          <w:tab w:val="left" w:pos="2268"/>
          <w:tab w:val="left" w:pos="2694"/>
        </w:tabs>
        <w:jc w:val="both"/>
        <w:rPr>
          <w:rFonts w:ascii="Arial" w:hAnsi="Arial" w:cs="Arial"/>
          <w:sz w:val="22"/>
          <w:szCs w:val="22"/>
          <w:lang w:val="en-US"/>
        </w:rPr>
      </w:pPr>
      <w:r w:rsidRPr="00495733">
        <w:rPr>
          <w:rFonts w:ascii="Arial" w:hAnsi="Arial" w:cs="Arial"/>
          <w:sz w:val="22"/>
          <w:szCs w:val="22"/>
          <w:lang w:val="en-US"/>
        </w:rPr>
        <w:t xml:space="preserve">The exposure to radiation is equivalent to </w:t>
      </w:r>
      <w:r w:rsidR="004A6D1B" w:rsidRPr="00495733">
        <w:rPr>
          <w:rFonts w:ascii="Arial" w:hAnsi="Arial" w:cs="Arial"/>
          <w:sz w:val="22"/>
          <w:szCs w:val="22"/>
          <w:lang w:val="en-US"/>
        </w:rPr>
        <w:t xml:space="preserve">1/10 </w:t>
      </w:r>
      <w:r w:rsidRPr="00495733">
        <w:rPr>
          <w:rFonts w:ascii="Arial" w:hAnsi="Arial" w:cs="Arial"/>
          <w:sz w:val="22"/>
          <w:szCs w:val="22"/>
          <w:lang w:val="en-US"/>
        </w:rPr>
        <w:t>of the dose delivered for a plain abdomen Xray</w:t>
      </w:r>
      <w:r w:rsidR="004A6D1B" w:rsidRPr="00495733">
        <w:rPr>
          <w:rFonts w:ascii="Arial" w:hAnsi="Arial" w:cs="Arial"/>
          <w:sz w:val="22"/>
          <w:szCs w:val="22"/>
          <w:lang w:val="en-US"/>
        </w:rPr>
        <w:t xml:space="preserve">. </w:t>
      </w:r>
    </w:p>
    <w:p w:rsidR="00ED5939" w:rsidRPr="00ED5939" w:rsidRDefault="00ED5939" w:rsidP="00ED5939">
      <w:pPr>
        <w:tabs>
          <w:tab w:val="left" w:pos="2268"/>
          <w:tab w:val="left" w:pos="2694"/>
        </w:tabs>
        <w:jc w:val="both"/>
        <w:rPr>
          <w:rFonts w:ascii="Arial" w:hAnsi="Arial" w:cs="Arial"/>
          <w:sz w:val="22"/>
          <w:szCs w:val="22"/>
          <w:lang w:val="en-US"/>
        </w:rPr>
      </w:pPr>
    </w:p>
    <w:p w:rsidR="004A6D1B" w:rsidRPr="00495733" w:rsidRDefault="00ED5939" w:rsidP="00ED5939">
      <w:pPr>
        <w:pStyle w:val="Titre7"/>
        <w:spacing w:before="0" w:after="0"/>
        <w:rPr>
          <w:rFonts w:ascii="Arial" w:hAnsi="Arial" w:cs="Arial"/>
          <w:sz w:val="22"/>
          <w:szCs w:val="22"/>
          <w:u w:val="single"/>
          <w:lang w:val="en-US"/>
        </w:rPr>
      </w:pPr>
      <w:r>
        <w:rPr>
          <w:rFonts w:ascii="Arial" w:hAnsi="Arial" w:cs="Arial"/>
          <w:sz w:val="22"/>
          <w:szCs w:val="22"/>
          <w:u w:val="single"/>
          <w:lang w:val="en-US"/>
        </w:rPr>
        <w:t>Insulin-glucose c</w:t>
      </w:r>
      <w:r w:rsidR="004A6D1B" w:rsidRPr="00495733">
        <w:rPr>
          <w:rFonts w:ascii="Arial" w:hAnsi="Arial" w:cs="Arial"/>
          <w:sz w:val="22"/>
          <w:szCs w:val="22"/>
          <w:u w:val="single"/>
          <w:lang w:val="en-US"/>
        </w:rPr>
        <w:t>lamp/</w:t>
      </w:r>
      <w:r w:rsidR="0081175D" w:rsidRPr="00495733">
        <w:rPr>
          <w:rFonts w:ascii="Arial" w:hAnsi="Arial" w:cs="Arial"/>
          <w:sz w:val="22"/>
          <w:szCs w:val="22"/>
          <w:u w:val="single"/>
          <w:lang w:val="en-US"/>
        </w:rPr>
        <w:t xml:space="preserve"> I</w:t>
      </w:r>
      <w:r w:rsidR="004A6D1B" w:rsidRPr="00495733">
        <w:rPr>
          <w:rFonts w:ascii="Arial" w:hAnsi="Arial" w:cs="Arial"/>
          <w:sz w:val="22"/>
          <w:szCs w:val="22"/>
          <w:u w:val="single"/>
          <w:lang w:val="en-US"/>
        </w:rPr>
        <w:t>nd</w:t>
      </w:r>
      <w:r w:rsidR="0081175D" w:rsidRPr="00495733">
        <w:rPr>
          <w:rFonts w:ascii="Arial" w:hAnsi="Arial" w:cs="Arial"/>
          <w:sz w:val="22"/>
          <w:szCs w:val="22"/>
          <w:u w:val="single"/>
          <w:lang w:val="en-US"/>
        </w:rPr>
        <w:t>irect calorimetry</w:t>
      </w:r>
    </w:p>
    <w:p w:rsidR="004A6D1B" w:rsidRPr="00495733" w:rsidRDefault="0081175D" w:rsidP="00ED5939">
      <w:pPr>
        <w:pStyle w:val="Titre7"/>
        <w:spacing w:before="0" w:after="0"/>
        <w:rPr>
          <w:rFonts w:ascii="Arial" w:hAnsi="Arial" w:cs="Arial"/>
          <w:sz w:val="22"/>
          <w:szCs w:val="22"/>
          <w:lang w:val="en-US"/>
        </w:rPr>
      </w:pPr>
      <w:r w:rsidRPr="00495733">
        <w:rPr>
          <w:rFonts w:ascii="Arial" w:hAnsi="Arial" w:cs="Arial"/>
          <w:sz w:val="22"/>
          <w:szCs w:val="22"/>
          <w:lang w:val="en-US"/>
        </w:rPr>
        <w:t>Insulin infusion may be associated with a risk of hypoglycemia</w:t>
      </w:r>
      <w:r w:rsidR="00CE0B61" w:rsidRPr="00495733">
        <w:rPr>
          <w:rFonts w:ascii="Arial" w:hAnsi="Arial" w:cs="Arial"/>
          <w:sz w:val="22"/>
          <w:szCs w:val="22"/>
          <w:lang w:val="en-US"/>
        </w:rPr>
        <w:t>, whi</w:t>
      </w:r>
      <w:r w:rsidRPr="00495733">
        <w:rPr>
          <w:rFonts w:ascii="Arial" w:hAnsi="Arial" w:cs="Arial"/>
          <w:sz w:val="22"/>
          <w:szCs w:val="22"/>
          <w:lang w:val="en-US"/>
        </w:rPr>
        <w:t>c</w:t>
      </w:r>
      <w:r w:rsidR="00CE0B61" w:rsidRPr="00495733">
        <w:rPr>
          <w:rFonts w:ascii="Arial" w:hAnsi="Arial" w:cs="Arial"/>
          <w:sz w:val="22"/>
          <w:szCs w:val="22"/>
          <w:lang w:val="en-US"/>
        </w:rPr>
        <w:t>h is in f</w:t>
      </w:r>
      <w:r w:rsidR="00495733" w:rsidRPr="00495733">
        <w:rPr>
          <w:rFonts w:ascii="Arial" w:hAnsi="Arial" w:cs="Arial"/>
          <w:sz w:val="22"/>
          <w:szCs w:val="22"/>
          <w:lang w:val="en-US"/>
        </w:rPr>
        <w:t>at negligi</w:t>
      </w:r>
      <w:r w:rsidRPr="00495733">
        <w:rPr>
          <w:rFonts w:ascii="Arial" w:hAnsi="Arial" w:cs="Arial"/>
          <w:sz w:val="22"/>
          <w:szCs w:val="22"/>
          <w:lang w:val="en-US"/>
        </w:rPr>
        <w:t xml:space="preserve">ble since </w:t>
      </w:r>
      <w:r w:rsidR="00CE0B61" w:rsidRPr="00495733">
        <w:rPr>
          <w:rFonts w:ascii="Arial" w:hAnsi="Arial" w:cs="Arial"/>
          <w:sz w:val="22"/>
          <w:szCs w:val="22"/>
          <w:lang w:val="en-US"/>
        </w:rPr>
        <w:t>glycem</w:t>
      </w:r>
      <w:r w:rsidR="00495733" w:rsidRPr="00495733">
        <w:rPr>
          <w:rFonts w:ascii="Arial" w:hAnsi="Arial" w:cs="Arial"/>
          <w:sz w:val="22"/>
          <w:szCs w:val="22"/>
          <w:lang w:val="en-US"/>
        </w:rPr>
        <w:t xml:space="preserve">ia will </w:t>
      </w:r>
      <w:r w:rsidR="00CE0B61" w:rsidRPr="00495733">
        <w:rPr>
          <w:rFonts w:ascii="Arial" w:hAnsi="Arial" w:cs="Arial"/>
          <w:sz w:val="22"/>
          <w:szCs w:val="22"/>
          <w:lang w:val="en-US"/>
        </w:rPr>
        <w:t>be measured e</w:t>
      </w:r>
      <w:r w:rsidR="008458FA" w:rsidRPr="00495733">
        <w:rPr>
          <w:rFonts w:ascii="Arial" w:hAnsi="Arial" w:cs="Arial"/>
          <w:sz w:val="22"/>
          <w:szCs w:val="22"/>
          <w:lang w:val="en-US"/>
        </w:rPr>
        <w:t>very 5 minutes</w:t>
      </w:r>
      <w:r w:rsidR="00CE0B61" w:rsidRPr="00495733">
        <w:rPr>
          <w:rFonts w:ascii="Arial" w:hAnsi="Arial" w:cs="Arial"/>
          <w:sz w:val="22"/>
          <w:szCs w:val="22"/>
          <w:lang w:val="en-US"/>
        </w:rPr>
        <w:t xml:space="preserve"> </w:t>
      </w:r>
      <w:r w:rsidR="008458FA" w:rsidRPr="00495733">
        <w:rPr>
          <w:rFonts w:ascii="Arial" w:hAnsi="Arial" w:cs="Arial"/>
          <w:sz w:val="22"/>
          <w:szCs w:val="22"/>
          <w:lang w:val="en-US"/>
        </w:rPr>
        <w:t>at bed</w:t>
      </w:r>
      <w:r w:rsidR="00495733" w:rsidRPr="00495733">
        <w:rPr>
          <w:rFonts w:ascii="Arial" w:hAnsi="Arial" w:cs="Arial"/>
          <w:sz w:val="22"/>
          <w:szCs w:val="22"/>
          <w:lang w:val="en-US"/>
        </w:rPr>
        <w:t xml:space="preserve"> </w:t>
      </w:r>
      <w:r w:rsidR="008458FA" w:rsidRPr="00495733">
        <w:rPr>
          <w:rFonts w:ascii="Arial" w:hAnsi="Arial" w:cs="Arial"/>
          <w:sz w:val="22"/>
          <w:szCs w:val="22"/>
          <w:lang w:val="en-US"/>
        </w:rPr>
        <w:t xml:space="preserve">site and that a 20% glucose infusion is perfused simultaneously. </w:t>
      </w:r>
    </w:p>
    <w:p w:rsidR="004A6D1B" w:rsidRPr="00495733" w:rsidRDefault="004A6D1B" w:rsidP="004A6D1B">
      <w:pPr>
        <w:tabs>
          <w:tab w:val="left" w:pos="2268"/>
          <w:tab w:val="left" w:pos="2694"/>
        </w:tabs>
        <w:spacing w:line="288" w:lineRule="auto"/>
        <w:jc w:val="both"/>
        <w:rPr>
          <w:rFonts w:ascii="Arial" w:hAnsi="Arial" w:cs="Arial"/>
          <w:sz w:val="20"/>
          <w:lang w:val="en-US"/>
        </w:rPr>
      </w:pPr>
    </w:p>
    <w:p w:rsidR="00ED5939" w:rsidRDefault="00CE0B61" w:rsidP="004A6D1B">
      <w:pPr>
        <w:tabs>
          <w:tab w:val="left" w:pos="2268"/>
          <w:tab w:val="left" w:pos="2694"/>
        </w:tabs>
        <w:spacing w:line="288" w:lineRule="auto"/>
        <w:jc w:val="both"/>
        <w:rPr>
          <w:rFonts w:ascii="Arial" w:hAnsi="Arial" w:cs="Arial"/>
          <w:sz w:val="22"/>
          <w:szCs w:val="22"/>
          <w:u w:val="single"/>
          <w:lang w:val="en-US"/>
        </w:rPr>
      </w:pPr>
      <w:r w:rsidRPr="00ED5939">
        <w:rPr>
          <w:rFonts w:ascii="Arial" w:hAnsi="Arial" w:cs="Arial"/>
          <w:sz w:val="22"/>
          <w:szCs w:val="22"/>
          <w:u w:val="single"/>
          <w:lang w:val="en-US"/>
        </w:rPr>
        <w:t>Inconveniences</w:t>
      </w:r>
      <w:r w:rsidR="004A6D1B" w:rsidRPr="00ED5939">
        <w:rPr>
          <w:rFonts w:ascii="Arial" w:hAnsi="Arial" w:cs="Arial"/>
          <w:sz w:val="22"/>
          <w:szCs w:val="22"/>
          <w:u w:val="single"/>
          <w:lang w:val="en-US"/>
        </w:rPr>
        <w:t xml:space="preserve"> </w:t>
      </w:r>
      <w:r w:rsidRPr="00ED5939">
        <w:rPr>
          <w:rFonts w:ascii="Arial" w:hAnsi="Arial" w:cs="Arial"/>
          <w:sz w:val="22"/>
          <w:szCs w:val="22"/>
          <w:u w:val="single"/>
          <w:lang w:val="en-US"/>
        </w:rPr>
        <w:t>for the patients</w:t>
      </w:r>
      <w:r w:rsidR="00ED5939">
        <w:rPr>
          <w:rFonts w:ascii="Arial" w:hAnsi="Arial" w:cs="Arial"/>
          <w:sz w:val="22"/>
          <w:szCs w:val="22"/>
          <w:u w:val="single"/>
          <w:lang w:val="en-US"/>
        </w:rPr>
        <w:t>:</w:t>
      </w:r>
    </w:p>
    <w:p w:rsidR="009B3DC7" w:rsidRPr="00495733" w:rsidRDefault="009B3DC7" w:rsidP="00A60F2B">
      <w:pPr>
        <w:tabs>
          <w:tab w:val="left" w:pos="2268"/>
          <w:tab w:val="left" w:pos="2694"/>
        </w:tabs>
        <w:jc w:val="both"/>
        <w:rPr>
          <w:rFonts w:ascii="Arial" w:hAnsi="Arial" w:cs="Arial"/>
          <w:sz w:val="22"/>
          <w:szCs w:val="22"/>
          <w:lang w:val="en-US"/>
        </w:rPr>
      </w:pPr>
      <w:r w:rsidRPr="00495733">
        <w:rPr>
          <w:rFonts w:ascii="Arial" w:hAnsi="Arial" w:cs="Arial"/>
          <w:sz w:val="22"/>
          <w:szCs w:val="22"/>
          <w:lang w:val="en-US"/>
        </w:rPr>
        <w:t>Over a period of 8 months, t</w:t>
      </w:r>
      <w:r w:rsidR="00CE0B61" w:rsidRPr="00495733">
        <w:rPr>
          <w:rFonts w:ascii="Arial" w:hAnsi="Arial" w:cs="Arial"/>
          <w:sz w:val="22"/>
          <w:szCs w:val="22"/>
          <w:lang w:val="en-US"/>
        </w:rPr>
        <w:t xml:space="preserve">here will be </w:t>
      </w:r>
      <w:r w:rsidR="004A6D1B" w:rsidRPr="00495733">
        <w:rPr>
          <w:rFonts w:ascii="Arial" w:hAnsi="Arial" w:cs="Arial"/>
          <w:sz w:val="22"/>
          <w:szCs w:val="22"/>
          <w:lang w:val="en-US"/>
        </w:rPr>
        <w:t xml:space="preserve">4 </w:t>
      </w:r>
      <w:r w:rsidR="00CE0B61" w:rsidRPr="00495733">
        <w:rPr>
          <w:rFonts w:ascii="Arial" w:hAnsi="Arial" w:cs="Arial"/>
          <w:sz w:val="22"/>
          <w:szCs w:val="22"/>
          <w:lang w:val="en-US"/>
        </w:rPr>
        <w:t>sessions (half-a-day) of investigations during the days not dedicated</w:t>
      </w:r>
      <w:r w:rsidRPr="00495733">
        <w:rPr>
          <w:rFonts w:ascii="Arial" w:hAnsi="Arial" w:cs="Arial"/>
          <w:sz w:val="22"/>
          <w:szCs w:val="22"/>
          <w:lang w:val="en-US"/>
        </w:rPr>
        <w:t xml:space="preserve"> to hemodialysis sessions (for those who are treated with HD). For PD patients, treatment is continuous and will be just interrupted during the investigation (no PD fluid in the abdomen during the investigation). </w:t>
      </w:r>
    </w:p>
    <w:p w:rsidR="009B3DC7" w:rsidRPr="00495733" w:rsidRDefault="009B3DC7" w:rsidP="00A60F2B">
      <w:pPr>
        <w:tabs>
          <w:tab w:val="left" w:pos="2268"/>
          <w:tab w:val="left" w:pos="2694"/>
        </w:tabs>
        <w:jc w:val="both"/>
        <w:rPr>
          <w:rFonts w:ascii="Arial" w:hAnsi="Arial" w:cs="Arial"/>
          <w:sz w:val="22"/>
          <w:szCs w:val="22"/>
          <w:lang w:val="en-US"/>
        </w:rPr>
      </w:pPr>
      <w:r w:rsidRPr="00495733">
        <w:rPr>
          <w:rFonts w:ascii="Arial" w:hAnsi="Arial" w:cs="Arial"/>
          <w:sz w:val="22"/>
          <w:szCs w:val="22"/>
          <w:lang w:val="en-US"/>
        </w:rPr>
        <w:t>Out of these 4 sessions, 2 sessions will be dedicated to the study of hyperinsulinemic euglycemic clamps. During these 2 sessions, 2 intravenous catheters will be placed in the forearms</w:t>
      </w:r>
      <w:r w:rsidR="004A6D1B" w:rsidRPr="00495733">
        <w:rPr>
          <w:rFonts w:ascii="Arial" w:hAnsi="Arial" w:cs="Arial"/>
          <w:sz w:val="22"/>
          <w:szCs w:val="22"/>
          <w:lang w:val="en-US"/>
        </w:rPr>
        <w:t xml:space="preserve">. </w:t>
      </w:r>
    </w:p>
    <w:p w:rsidR="004A6D1B" w:rsidRPr="00495733" w:rsidRDefault="009B3DC7" w:rsidP="00A60F2B">
      <w:pPr>
        <w:tabs>
          <w:tab w:val="left" w:pos="2268"/>
          <w:tab w:val="left" w:pos="2694"/>
        </w:tabs>
        <w:jc w:val="both"/>
        <w:rPr>
          <w:rFonts w:ascii="Arial" w:hAnsi="Arial" w:cs="Arial"/>
          <w:sz w:val="22"/>
          <w:szCs w:val="22"/>
        </w:rPr>
      </w:pPr>
      <w:r w:rsidRPr="00495733">
        <w:rPr>
          <w:rFonts w:ascii="Arial" w:hAnsi="Arial" w:cs="Arial"/>
          <w:sz w:val="22"/>
          <w:szCs w:val="22"/>
          <w:lang w:val="en-US"/>
        </w:rPr>
        <w:t xml:space="preserve">During the whole study, i.e. 8 months, patients will be asked to take 1 supplementary pill per day (placebo or pioglitazone). </w:t>
      </w:r>
    </w:p>
    <w:p w:rsidR="004A6D1B" w:rsidRPr="00495733" w:rsidRDefault="004A6D1B" w:rsidP="004A6D1B">
      <w:pPr>
        <w:tabs>
          <w:tab w:val="left" w:pos="2268"/>
          <w:tab w:val="left" w:pos="2694"/>
        </w:tabs>
        <w:spacing w:line="288" w:lineRule="auto"/>
        <w:jc w:val="both"/>
        <w:rPr>
          <w:rFonts w:ascii="Arial" w:hAnsi="Arial" w:cs="Arial"/>
          <w:sz w:val="20"/>
        </w:rPr>
      </w:pPr>
    </w:p>
    <w:p w:rsidR="004A6D1B" w:rsidRPr="00A60F2B" w:rsidRDefault="004A6D1B" w:rsidP="004A6D1B">
      <w:pPr>
        <w:pStyle w:val="NormalWeb"/>
        <w:spacing w:before="0" w:beforeAutospacing="0" w:after="0" w:afterAutospacing="0"/>
        <w:rPr>
          <w:rFonts w:ascii="Arial" w:eastAsia="Times New Roman" w:hAnsi="Arial" w:cs="Arial"/>
          <w:szCs w:val="24"/>
        </w:rPr>
      </w:pPr>
    </w:p>
    <w:p w:rsidR="004A6D1B" w:rsidRPr="00A60F2B" w:rsidRDefault="009B3DC7" w:rsidP="004A6D1B">
      <w:pPr>
        <w:spacing w:after="120" w:line="288" w:lineRule="auto"/>
        <w:jc w:val="both"/>
        <w:rPr>
          <w:rFonts w:ascii="Arial" w:hAnsi="Arial" w:cs="Arial"/>
          <w:lang w:val="en-US"/>
        </w:rPr>
      </w:pPr>
      <w:r w:rsidRPr="00A60F2B">
        <w:rPr>
          <w:rFonts w:ascii="Arial" w:hAnsi="Arial" w:cs="Arial"/>
          <w:b/>
          <w:u w:val="single"/>
          <w:lang w:val="en-US"/>
        </w:rPr>
        <w:t>Drugs</w:t>
      </w:r>
      <w:r w:rsidR="00ED5939" w:rsidRPr="00A60F2B">
        <w:rPr>
          <w:rFonts w:ascii="Arial" w:hAnsi="Arial" w:cs="Arial"/>
          <w:b/>
          <w:u w:val="single"/>
          <w:lang w:val="en-US"/>
        </w:rPr>
        <w:t xml:space="preserve"> used in this study</w:t>
      </w:r>
      <w:r w:rsidR="004A6D1B" w:rsidRPr="00A60F2B">
        <w:rPr>
          <w:rFonts w:ascii="Arial" w:hAnsi="Arial" w:cs="Arial"/>
          <w:b/>
          <w:u w:val="single"/>
          <w:lang w:val="en-US"/>
        </w:rPr>
        <w:t>:</w:t>
      </w:r>
      <w:r w:rsidR="004A6D1B" w:rsidRPr="00A60F2B">
        <w:rPr>
          <w:rFonts w:ascii="Arial" w:hAnsi="Arial" w:cs="Arial"/>
          <w:lang w:val="en-US"/>
        </w:rPr>
        <w:t xml:space="preserve">  </w:t>
      </w:r>
    </w:p>
    <w:p w:rsidR="009B3DC7" w:rsidRPr="00ED5939" w:rsidRDefault="009B3DC7" w:rsidP="00A60F2B">
      <w:pPr>
        <w:spacing w:after="120"/>
        <w:jc w:val="both"/>
        <w:rPr>
          <w:rFonts w:ascii="Arial" w:hAnsi="Arial" w:cs="Arial"/>
          <w:sz w:val="22"/>
          <w:szCs w:val="22"/>
          <w:u w:val="single"/>
          <w:lang w:val="en-US"/>
        </w:rPr>
      </w:pPr>
      <w:r w:rsidRPr="00ED5939">
        <w:rPr>
          <w:rFonts w:ascii="Arial" w:hAnsi="Arial" w:cs="Arial"/>
          <w:sz w:val="22"/>
          <w:szCs w:val="22"/>
          <w:u w:val="single"/>
          <w:lang w:val="en-US"/>
        </w:rPr>
        <w:t>P</w:t>
      </w:r>
      <w:r w:rsidR="004A6D1B" w:rsidRPr="00ED5939">
        <w:rPr>
          <w:rFonts w:ascii="Arial" w:hAnsi="Arial" w:cs="Arial"/>
          <w:sz w:val="22"/>
          <w:szCs w:val="22"/>
          <w:u w:val="single"/>
          <w:lang w:val="en-US"/>
        </w:rPr>
        <w:t>ioglitazone  45mg (Actos</w:t>
      </w:r>
      <w:r w:rsidR="004A6D1B" w:rsidRPr="00ED5939">
        <w:rPr>
          <w:rFonts w:ascii="Arial" w:hAnsi="Arial" w:cs="Arial"/>
          <w:b/>
          <w:sz w:val="22"/>
          <w:szCs w:val="22"/>
          <w:u w:val="single"/>
          <w:lang w:val="en-US"/>
        </w:rPr>
        <w:t>®</w:t>
      </w:r>
      <w:r w:rsidRPr="00ED5939">
        <w:rPr>
          <w:rFonts w:ascii="Arial" w:hAnsi="Arial" w:cs="Arial"/>
          <w:sz w:val="22"/>
          <w:szCs w:val="22"/>
          <w:u w:val="single"/>
          <w:lang w:val="en-US"/>
        </w:rPr>
        <w:t>)</w:t>
      </w:r>
    </w:p>
    <w:p w:rsidR="004A6D1B" w:rsidRPr="00ED5939" w:rsidRDefault="009B3DC7" w:rsidP="00A60F2B">
      <w:pPr>
        <w:spacing w:after="120"/>
        <w:jc w:val="both"/>
        <w:rPr>
          <w:rFonts w:ascii="Arial" w:hAnsi="Arial" w:cs="Arial"/>
          <w:sz w:val="22"/>
          <w:szCs w:val="22"/>
        </w:rPr>
      </w:pPr>
      <w:r w:rsidRPr="00ED5939">
        <w:rPr>
          <w:rFonts w:ascii="Arial" w:hAnsi="Arial" w:cs="Arial"/>
          <w:sz w:val="22"/>
          <w:szCs w:val="22"/>
          <w:lang w:val="en-US"/>
        </w:rPr>
        <w:t xml:space="preserve">Pills prepared from package already available in the swiss market. The dose of </w:t>
      </w:r>
      <w:r w:rsidR="004A6D1B" w:rsidRPr="00ED5939">
        <w:rPr>
          <w:rFonts w:ascii="Arial" w:hAnsi="Arial" w:cs="Arial"/>
          <w:sz w:val="22"/>
          <w:szCs w:val="22"/>
          <w:lang w:val="en-US"/>
        </w:rPr>
        <w:t>45mg de pioglitazone</w:t>
      </w:r>
      <w:r w:rsidRPr="00ED5939">
        <w:rPr>
          <w:rFonts w:ascii="Arial" w:hAnsi="Arial" w:cs="Arial"/>
          <w:sz w:val="22"/>
          <w:szCs w:val="22"/>
          <w:lang w:val="en-US"/>
        </w:rPr>
        <w:t xml:space="preserve"> is equivalent to the maximal dose</w:t>
      </w:r>
      <w:r w:rsidR="004A6D1B" w:rsidRPr="00ED5939">
        <w:rPr>
          <w:rFonts w:ascii="Arial" w:hAnsi="Arial" w:cs="Arial"/>
          <w:sz w:val="22"/>
          <w:szCs w:val="22"/>
          <w:lang w:val="en-US"/>
        </w:rPr>
        <w:t xml:space="preserve">. </w:t>
      </w:r>
      <w:r w:rsidRPr="00ED5939">
        <w:rPr>
          <w:rFonts w:ascii="Arial" w:hAnsi="Arial" w:cs="Arial"/>
          <w:sz w:val="22"/>
          <w:szCs w:val="22"/>
          <w:lang w:val="en-US"/>
        </w:rPr>
        <w:t>The metaboli</w:t>
      </w:r>
      <w:r w:rsidR="00ED5939">
        <w:rPr>
          <w:rFonts w:ascii="Arial" w:hAnsi="Arial" w:cs="Arial"/>
          <w:sz w:val="22"/>
          <w:szCs w:val="22"/>
          <w:lang w:val="en-US"/>
        </w:rPr>
        <w:t>c effect of pioglitazone reache</w:t>
      </w:r>
      <w:r w:rsidRPr="00ED5939">
        <w:rPr>
          <w:rFonts w:ascii="Arial" w:hAnsi="Arial" w:cs="Arial"/>
          <w:sz w:val="22"/>
          <w:szCs w:val="22"/>
          <w:lang w:val="en-US"/>
        </w:rPr>
        <w:t>s its peak at 6-12 weeks after the start of the treatment.</w:t>
      </w:r>
      <w:r w:rsidR="004A6D1B" w:rsidRPr="00ED5939">
        <w:rPr>
          <w:rFonts w:ascii="Arial" w:hAnsi="Arial" w:cs="Arial"/>
          <w:sz w:val="22"/>
          <w:szCs w:val="22"/>
          <w:lang w:val="en-US"/>
        </w:rPr>
        <w:t xml:space="preserve"> </w:t>
      </w:r>
      <w:r w:rsidRPr="00ED5939">
        <w:rPr>
          <w:rFonts w:ascii="Arial" w:hAnsi="Arial" w:cs="Arial"/>
          <w:sz w:val="22"/>
          <w:szCs w:val="22"/>
          <w:lang w:val="en-US"/>
        </w:rPr>
        <w:t xml:space="preserve">Given the relatively short treatment duration, we have decided to choose the dose of 45 mg. </w:t>
      </w:r>
    </w:p>
    <w:p w:rsidR="004A6D1B" w:rsidRPr="00495733" w:rsidRDefault="004A6D1B" w:rsidP="004A6D1B">
      <w:pPr>
        <w:pStyle w:val="Corpsdetexte3"/>
        <w:autoSpaceDE/>
        <w:autoSpaceDN/>
        <w:adjustRightInd/>
        <w:spacing w:line="240" w:lineRule="auto"/>
        <w:rPr>
          <w:rFonts w:ascii="Arial" w:hAnsi="Arial" w:cs="Arial"/>
          <w:lang w:val="fr-FR"/>
        </w:rPr>
      </w:pPr>
    </w:p>
    <w:p w:rsidR="00456244" w:rsidRPr="00ED5939" w:rsidRDefault="00456244" w:rsidP="004A6D1B">
      <w:pPr>
        <w:pStyle w:val="Titre2"/>
        <w:rPr>
          <w:rFonts w:ascii="Arial" w:hAnsi="Arial" w:cs="Arial"/>
          <w:b w:val="0"/>
          <w:sz w:val="22"/>
          <w:szCs w:val="22"/>
          <w:lang w:val="en-US"/>
        </w:rPr>
      </w:pPr>
      <w:r w:rsidRPr="00ED5939">
        <w:rPr>
          <w:rFonts w:ascii="Arial" w:hAnsi="Arial" w:cs="Arial"/>
          <w:b w:val="0"/>
          <w:sz w:val="22"/>
          <w:szCs w:val="22"/>
          <w:lang w:val="en-US"/>
        </w:rPr>
        <w:t>The following drugs will be obtained at the central pharmacy at the University Hospital of Lausanne</w:t>
      </w:r>
      <w:r w:rsidR="00ED5939">
        <w:rPr>
          <w:rFonts w:ascii="Arial" w:hAnsi="Arial" w:cs="Arial"/>
          <w:b w:val="0"/>
          <w:sz w:val="22"/>
          <w:szCs w:val="22"/>
          <w:lang w:val="en-US"/>
        </w:rPr>
        <w:t>:</w:t>
      </w:r>
    </w:p>
    <w:p w:rsidR="00456244" w:rsidRPr="00ED5939" w:rsidRDefault="00456244" w:rsidP="00456244">
      <w:pPr>
        <w:rPr>
          <w:rFonts w:ascii="Arial" w:hAnsi="Arial" w:cs="Arial"/>
          <w:sz w:val="22"/>
          <w:szCs w:val="22"/>
          <w:lang w:val="en-US"/>
        </w:rPr>
      </w:pPr>
    </w:p>
    <w:p w:rsidR="004A6D1B" w:rsidRPr="00ED5939" w:rsidRDefault="004A6D1B" w:rsidP="00ED5939">
      <w:pPr>
        <w:pStyle w:val="Titre2"/>
        <w:numPr>
          <w:ilvl w:val="0"/>
          <w:numId w:val="8"/>
        </w:numPr>
        <w:rPr>
          <w:rFonts w:ascii="Arial" w:hAnsi="Arial" w:cs="Arial"/>
          <w:b w:val="0"/>
          <w:sz w:val="22"/>
          <w:szCs w:val="22"/>
          <w:lang w:val="fr-CH"/>
        </w:rPr>
      </w:pPr>
      <w:r w:rsidRPr="00ED5939">
        <w:rPr>
          <w:rFonts w:ascii="Arial" w:hAnsi="Arial" w:cs="Arial"/>
          <w:b w:val="0"/>
          <w:sz w:val="22"/>
          <w:szCs w:val="22"/>
          <w:lang w:val="fr-CH"/>
        </w:rPr>
        <w:t>insuline : Actrapid HM® 100 U/ml, Novo Nordisk</w:t>
      </w:r>
    </w:p>
    <w:p w:rsidR="004A6D1B" w:rsidRPr="00ED5939" w:rsidRDefault="004A6D1B" w:rsidP="00ED5939">
      <w:pPr>
        <w:numPr>
          <w:ilvl w:val="0"/>
          <w:numId w:val="8"/>
        </w:numPr>
        <w:rPr>
          <w:rFonts w:ascii="Arial" w:hAnsi="Arial" w:cs="Arial"/>
          <w:sz w:val="22"/>
          <w:szCs w:val="22"/>
        </w:rPr>
      </w:pPr>
      <w:r w:rsidRPr="00ED5939">
        <w:rPr>
          <w:rFonts w:ascii="Arial" w:hAnsi="Arial" w:cs="Arial"/>
          <w:sz w:val="22"/>
          <w:szCs w:val="22"/>
        </w:rPr>
        <w:t>glucose : glucose 20%, B Braun</w:t>
      </w:r>
    </w:p>
    <w:p w:rsidR="004A6D1B" w:rsidRPr="00ED5939" w:rsidRDefault="004A6D1B" w:rsidP="00ED5939">
      <w:pPr>
        <w:numPr>
          <w:ilvl w:val="0"/>
          <w:numId w:val="8"/>
        </w:numPr>
        <w:rPr>
          <w:rFonts w:ascii="Arial" w:hAnsi="Arial" w:cs="Arial"/>
          <w:sz w:val="22"/>
          <w:szCs w:val="22"/>
        </w:rPr>
      </w:pPr>
      <w:r w:rsidRPr="00ED5939">
        <w:rPr>
          <w:rFonts w:ascii="Arial" w:hAnsi="Arial" w:cs="Arial"/>
          <w:sz w:val="22"/>
          <w:szCs w:val="22"/>
        </w:rPr>
        <w:t xml:space="preserve">6,6 </w:t>
      </w:r>
      <w:r w:rsidRPr="00ED5939">
        <w:rPr>
          <w:rFonts w:ascii="Arial" w:hAnsi="Arial" w:cs="Arial"/>
          <w:sz w:val="22"/>
          <w:szCs w:val="22"/>
          <w:vertAlign w:val="superscript"/>
        </w:rPr>
        <w:t>2</w:t>
      </w:r>
      <w:r w:rsidRPr="00ED5939">
        <w:rPr>
          <w:rFonts w:ascii="Arial" w:hAnsi="Arial" w:cs="Arial"/>
          <w:sz w:val="22"/>
          <w:szCs w:val="22"/>
        </w:rPr>
        <w:t>H</w:t>
      </w:r>
      <w:r w:rsidRPr="00ED5939">
        <w:rPr>
          <w:rFonts w:ascii="Arial" w:hAnsi="Arial" w:cs="Arial"/>
          <w:sz w:val="22"/>
          <w:szCs w:val="22"/>
          <w:vertAlign w:val="subscript"/>
        </w:rPr>
        <w:t>2</w:t>
      </w:r>
      <w:r w:rsidRPr="00ED5939">
        <w:rPr>
          <w:rFonts w:ascii="Arial" w:hAnsi="Arial" w:cs="Arial"/>
          <w:sz w:val="22"/>
          <w:szCs w:val="22"/>
        </w:rPr>
        <w:t xml:space="preserve"> glucose : solution injectable10 g/l</w:t>
      </w:r>
    </w:p>
    <w:p w:rsidR="004A6D1B" w:rsidRPr="00ED5939" w:rsidRDefault="004A6D1B" w:rsidP="00ED5939">
      <w:pPr>
        <w:numPr>
          <w:ilvl w:val="0"/>
          <w:numId w:val="8"/>
        </w:numPr>
        <w:jc w:val="both"/>
        <w:rPr>
          <w:rFonts w:ascii="Arial" w:hAnsi="Arial" w:cs="Arial"/>
          <w:sz w:val="22"/>
          <w:szCs w:val="22"/>
        </w:rPr>
      </w:pPr>
      <w:r w:rsidRPr="00ED5939">
        <w:rPr>
          <w:rFonts w:ascii="Arial" w:hAnsi="Arial" w:cs="Arial"/>
          <w:sz w:val="22"/>
          <w:szCs w:val="22"/>
          <w:vertAlign w:val="superscript"/>
        </w:rPr>
        <w:t>2</w:t>
      </w:r>
      <w:r w:rsidRPr="00ED5939">
        <w:rPr>
          <w:rFonts w:ascii="Arial" w:hAnsi="Arial" w:cs="Arial"/>
          <w:sz w:val="22"/>
          <w:szCs w:val="22"/>
        </w:rPr>
        <w:t>H</w:t>
      </w:r>
      <w:r w:rsidRPr="00ED5939">
        <w:rPr>
          <w:rFonts w:ascii="Arial" w:hAnsi="Arial" w:cs="Arial"/>
          <w:sz w:val="22"/>
          <w:szCs w:val="22"/>
          <w:vertAlign w:val="subscript"/>
        </w:rPr>
        <w:t>5</w:t>
      </w:r>
      <w:r w:rsidRPr="00ED5939">
        <w:rPr>
          <w:rFonts w:ascii="Arial" w:hAnsi="Arial" w:cs="Arial"/>
          <w:sz w:val="22"/>
          <w:szCs w:val="22"/>
        </w:rPr>
        <w:t xml:space="preserve"> glycérol : solution injectable 10 g/l </w:t>
      </w:r>
    </w:p>
    <w:p w:rsidR="004A6D1B" w:rsidRPr="00ED5939" w:rsidRDefault="004A6D1B" w:rsidP="00ED5939">
      <w:pPr>
        <w:numPr>
          <w:ilvl w:val="0"/>
          <w:numId w:val="8"/>
        </w:numPr>
        <w:rPr>
          <w:rFonts w:ascii="Arial" w:hAnsi="Arial" w:cs="Arial"/>
          <w:sz w:val="22"/>
          <w:szCs w:val="22"/>
        </w:rPr>
      </w:pPr>
      <w:r w:rsidRPr="00ED5939">
        <w:rPr>
          <w:rFonts w:ascii="Arial" w:hAnsi="Arial" w:cs="Arial"/>
          <w:sz w:val="22"/>
          <w:szCs w:val="22"/>
        </w:rPr>
        <w:t>Ringer</w:t>
      </w:r>
      <w:r w:rsidR="009B3DC7" w:rsidRPr="00ED5939">
        <w:rPr>
          <w:rFonts w:ascii="Arial" w:hAnsi="Arial" w:cs="Arial"/>
          <w:sz w:val="22"/>
          <w:szCs w:val="22"/>
        </w:rPr>
        <w:t xml:space="preserve"> solution</w:t>
      </w:r>
      <w:r w:rsidRPr="00ED5939">
        <w:rPr>
          <w:rFonts w:ascii="Arial" w:hAnsi="Arial" w:cs="Arial"/>
          <w:sz w:val="22"/>
          <w:szCs w:val="22"/>
        </w:rPr>
        <w:t xml:space="preserve"> + isoprenaline  </w:t>
      </w:r>
    </w:p>
    <w:p w:rsidR="004A6D1B" w:rsidRPr="00495733" w:rsidRDefault="004A6D1B" w:rsidP="004A6D1B">
      <w:pPr>
        <w:ind w:left="708"/>
        <w:rPr>
          <w:rFonts w:ascii="Arial" w:hAnsi="Arial" w:cs="Arial"/>
          <w:sz w:val="20"/>
        </w:rPr>
      </w:pPr>
    </w:p>
    <w:p w:rsidR="004A6D1B" w:rsidRPr="00495733" w:rsidRDefault="004A6D1B" w:rsidP="004A6D1B">
      <w:pPr>
        <w:pStyle w:val="Corpsdetexte3"/>
        <w:autoSpaceDE/>
        <w:autoSpaceDN/>
        <w:adjustRightInd/>
        <w:spacing w:line="240" w:lineRule="auto"/>
        <w:rPr>
          <w:rFonts w:ascii="Arial" w:hAnsi="Arial" w:cs="Arial"/>
          <w:lang w:val="fr-FR"/>
        </w:rPr>
      </w:pPr>
    </w:p>
    <w:p w:rsidR="004A6D1B" w:rsidRPr="00495733" w:rsidRDefault="004A6D1B" w:rsidP="004A6D1B">
      <w:pPr>
        <w:pStyle w:val="Corpsdetexte3"/>
        <w:autoSpaceDE/>
        <w:autoSpaceDN/>
        <w:adjustRightInd/>
        <w:spacing w:line="240" w:lineRule="auto"/>
        <w:rPr>
          <w:rFonts w:ascii="Arial" w:hAnsi="Arial" w:cs="Arial"/>
          <w:lang w:val="fr-FR"/>
        </w:rPr>
      </w:pPr>
    </w:p>
    <w:p w:rsidR="008F7688" w:rsidRPr="00ED5939" w:rsidRDefault="008F7688" w:rsidP="004A6D1B">
      <w:pPr>
        <w:pStyle w:val="Corpsdetexte2"/>
        <w:spacing w:line="240" w:lineRule="auto"/>
        <w:rPr>
          <w:rFonts w:ascii="Arial" w:hAnsi="Arial" w:cs="Arial"/>
          <w:b/>
          <w:u w:val="single"/>
        </w:rPr>
      </w:pPr>
      <w:r w:rsidRPr="00ED5939">
        <w:rPr>
          <w:rFonts w:ascii="Arial" w:hAnsi="Arial" w:cs="Arial"/>
          <w:b/>
          <w:u w:val="single"/>
        </w:rPr>
        <w:t>Ethical aspects</w:t>
      </w:r>
      <w:r w:rsidR="00A60F2B">
        <w:rPr>
          <w:rFonts w:ascii="Arial" w:hAnsi="Arial" w:cs="Arial"/>
          <w:b/>
          <w:u w:val="single"/>
        </w:rPr>
        <w:t> :</w:t>
      </w:r>
    </w:p>
    <w:p w:rsidR="004A6D1B" w:rsidRPr="00ED5939" w:rsidRDefault="008F7688" w:rsidP="004A6D1B">
      <w:pPr>
        <w:pStyle w:val="Corpsdetexte2"/>
        <w:spacing w:line="240" w:lineRule="auto"/>
        <w:rPr>
          <w:rFonts w:ascii="Arial" w:hAnsi="Arial" w:cs="Arial"/>
          <w:sz w:val="22"/>
          <w:szCs w:val="22"/>
          <w:lang w:val="en-US"/>
        </w:rPr>
      </w:pPr>
      <w:r w:rsidRPr="00ED5939">
        <w:rPr>
          <w:rFonts w:ascii="Arial" w:hAnsi="Arial" w:cs="Arial"/>
          <w:sz w:val="22"/>
          <w:szCs w:val="22"/>
          <w:lang w:val="en-US"/>
        </w:rPr>
        <w:t>The volunteer will receive detailed information</w:t>
      </w:r>
      <w:r w:rsidR="004A6D1B" w:rsidRPr="00ED5939">
        <w:rPr>
          <w:rFonts w:ascii="Arial" w:hAnsi="Arial" w:cs="Arial"/>
          <w:sz w:val="22"/>
          <w:szCs w:val="22"/>
          <w:lang w:val="en-US"/>
        </w:rPr>
        <w:t xml:space="preserve">, </w:t>
      </w:r>
      <w:r w:rsidRPr="00ED5939">
        <w:rPr>
          <w:rFonts w:ascii="Arial" w:hAnsi="Arial" w:cs="Arial"/>
          <w:sz w:val="22"/>
          <w:szCs w:val="22"/>
          <w:lang w:val="en-US"/>
        </w:rPr>
        <w:t>orally by the physician in charge (nephrologist)</w:t>
      </w:r>
      <w:r w:rsidR="00ED5939" w:rsidRPr="00ED5939">
        <w:rPr>
          <w:rFonts w:ascii="Arial" w:hAnsi="Arial" w:cs="Arial"/>
          <w:sz w:val="22"/>
          <w:szCs w:val="22"/>
          <w:lang w:val="en-US"/>
        </w:rPr>
        <w:t>,</w:t>
      </w:r>
      <w:r w:rsidRPr="00ED5939">
        <w:rPr>
          <w:rFonts w:ascii="Arial" w:hAnsi="Arial" w:cs="Arial"/>
          <w:sz w:val="22"/>
          <w:szCs w:val="22"/>
          <w:lang w:val="en-US"/>
        </w:rPr>
        <w:t xml:space="preserve"> and through the patient’s information form</w:t>
      </w:r>
      <w:r w:rsidR="004A6D1B" w:rsidRPr="00ED5939">
        <w:rPr>
          <w:rFonts w:ascii="Arial" w:hAnsi="Arial" w:cs="Arial"/>
          <w:sz w:val="22"/>
          <w:szCs w:val="22"/>
          <w:lang w:val="en-US"/>
        </w:rPr>
        <w:t xml:space="preserve">. </w:t>
      </w:r>
      <w:r w:rsidRPr="00ED5939">
        <w:rPr>
          <w:rFonts w:ascii="Arial" w:hAnsi="Arial" w:cs="Arial"/>
          <w:sz w:val="22"/>
          <w:szCs w:val="22"/>
          <w:lang w:val="en-US"/>
        </w:rPr>
        <w:t>A written consent will be obtained.</w:t>
      </w:r>
    </w:p>
    <w:p w:rsidR="004A6D1B" w:rsidRPr="00ED5939" w:rsidRDefault="008F7688" w:rsidP="004A6D1B">
      <w:pPr>
        <w:pStyle w:val="Corpsdetexte3"/>
        <w:autoSpaceDE/>
        <w:autoSpaceDN/>
        <w:adjustRightInd/>
        <w:spacing w:line="240" w:lineRule="auto"/>
        <w:rPr>
          <w:rFonts w:ascii="Arial" w:hAnsi="Arial" w:cs="Arial"/>
          <w:color w:val="000000"/>
          <w:sz w:val="22"/>
          <w:szCs w:val="22"/>
          <w:lang w:val="en-US"/>
        </w:rPr>
      </w:pPr>
      <w:r w:rsidRPr="00ED5939">
        <w:rPr>
          <w:rFonts w:ascii="Arial" w:hAnsi="Arial" w:cs="Arial"/>
          <w:color w:val="000000"/>
          <w:sz w:val="22"/>
          <w:szCs w:val="22"/>
          <w:lang w:val="en-US"/>
        </w:rPr>
        <w:t>Volunteers have the possibility to withdraw from the</w:t>
      </w:r>
      <w:r w:rsidR="00AD45F3" w:rsidRPr="00ED5939">
        <w:rPr>
          <w:rFonts w:ascii="Arial" w:hAnsi="Arial" w:cs="Arial"/>
          <w:color w:val="000000"/>
          <w:sz w:val="22"/>
          <w:szCs w:val="22"/>
          <w:lang w:val="en-US"/>
        </w:rPr>
        <w:t xml:space="preserve"> study</w:t>
      </w:r>
      <w:r w:rsidRPr="00ED5939">
        <w:rPr>
          <w:rFonts w:ascii="Arial" w:hAnsi="Arial" w:cs="Arial"/>
          <w:color w:val="000000"/>
          <w:sz w:val="22"/>
          <w:szCs w:val="22"/>
          <w:lang w:val="en-US"/>
        </w:rPr>
        <w:t>, without necessarily giving the</w:t>
      </w:r>
      <w:r w:rsidR="00AD45F3" w:rsidRPr="00ED5939">
        <w:rPr>
          <w:rFonts w:ascii="Arial" w:hAnsi="Arial" w:cs="Arial"/>
          <w:color w:val="000000"/>
          <w:sz w:val="22"/>
          <w:szCs w:val="22"/>
          <w:lang w:val="en-US"/>
        </w:rPr>
        <w:t>ir</w:t>
      </w:r>
      <w:r w:rsidRPr="00ED5939">
        <w:rPr>
          <w:rFonts w:ascii="Arial" w:hAnsi="Arial" w:cs="Arial"/>
          <w:color w:val="000000"/>
          <w:sz w:val="22"/>
          <w:szCs w:val="22"/>
          <w:lang w:val="en-US"/>
        </w:rPr>
        <w:t xml:space="preserve"> reasons.</w:t>
      </w:r>
      <w:r w:rsidR="00AD45F3" w:rsidRPr="00ED5939">
        <w:rPr>
          <w:rFonts w:ascii="Arial" w:hAnsi="Arial" w:cs="Arial"/>
          <w:color w:val="000000"/>
          <w:sz w:val="22"/>
          <w:szCs w:val="22"/>
          <w:lang w:val="en-US"/>
        </w:rPr>
        <w:t xml:space="preserve"> In this case</w:t>
      </w:r>
      <w:r w:rsidR="00ED5939" w:rsidRPr="00ED5939">
        <w:rPr>
          <w:rFonts w:ascii="Arial" w:hAnsi="Arial" w:cs="Arial"/>
          <w:color w:val="000000"/>
          <w:sz w:val="22"/>
          <w:szCs w:val="22"/>
          <w:lang w:val="en-US"/>
        </w:rPr>
        <w:t>,</w:t>
      </w:r>
      <w:r w:rsidR="00AD45F3" w:rsidRPr="00ED5939">
        <w:rPr>
          <w:rFonts w:ascii="Arial" w:hAnsi="Arial" w:cs="Arial"/>
          <w:color w:val="000000"/>
          <w:sz w:val="22"/>
          <w:szCs w:val="22"/>
          <w:lang w:val="en-US"/>
        </w:rPr>
        <w:t xml:space="preserve"> they will have to inform one of the investigators of the study</w:t>
      </w:r>
      <w:r w:rsidR="004A6D1B" w:rsidRPr="00ED5939">
        <w:rPr>
          <w:rFonts w:ascii="Arial" w:hAnsi="Arial" w:cs="Arial"/>
          <w:color w:val="000000"/>
          <w:sz w:val="22"/>
          <w:szCs w:val="22"/>
          <w:lang w:val="en-US"/>
        </w:rPr>
        <w:t xml:space="preserve">. </w:t>
      </w:r>
      <w:r w:rsidR="00AD45F3" w:rsidRPr="00ED5939">
        <w:rPr>
          <w:rFonts w:ascii="Arial" w:hAnsi="Arial" w:cs="Arial"/>
          <w:color w:val="000000"/>
          <w:sz w:val="22"/>
          <w:szCs w:val="22"/>
          <w:lang w:val="en-US"/>
        </w:rPr>
        <w:t xml:space="preserve">All data collected will be confidentially treated. Volunteers will be given a study number. </w:t>
      </w:r>
    </w:p>
    <w:p w:rsidR="004A6D1B" w:rsidRPr="00ED5939" w:rsidRDefault="004A6D1B" w:rsidP="004A6D1B">
      <w:pPr>
        <w:pStyle w:val="Corpsdetexte3"/>
        <w:autoSpaceDE/>
        <w:autoSpaceDN/>
        <w:adjustRightInd/>
        <w:spacing w:line="240" w:lineRule="auto"/>
        <w:rPr>
          <w:rFonts w:ascii="Arial" w:hAnsi="Arial" w:cs="Arial"/>
          <w:lang w:val="en-US"/>
        </w:rPr>
      </w:pPr>
    </w:p>
    <w:p w:rsidR="00A85B84" w:rsidRDefault="00A85B84" w:rsidP="00A60F2B">
      <w:pPr>
        <w:spacing w:after="120"/>
        <w:rPr>
          <w:rFonts w:ascii="Arial" w:hAnsi="Arial" w:cs="Arial"/>
          <w:b/>
          <w:color w:val="000000"/>
          <w:u w:val="single"/>
          <w:lang w:val="en-US"/>
        </w:rPr>
      </w:pPr>
    </w:p>
    <w:p w:rsidR="004A6D1B" w:rsidRPr="00ED5939" w:rsidRDefault="00ED5939" w:rsidP="00A60F2B">
      <w:pPr>
        <w:spacing w:after="120"/>
        <w:rPr>
          <w:rFonts w:ascii="Arial" w:hAnsi="Arial" w:cs="Arial"/>
          <w:b/>
          <w:color w:val="000000"/>
          <w:u w:val="single"/>
          <w:lang w:val="en-US"/>
        </w:rPr>
      </w:pPr>
      <w:r w:rsidRPr="00ED5939">
        <w:rPr>
          <w:rFonts w:ascii="Arial" w:hAnsi="Arial" w:cs="Arial"/>
          <w:b/>
          <w:color w:val="000000"/>
          <w:u w:val="single"/>
          <w:lang w:val="en-US"/>
        </w:rPr>
        <w:lastRenderedPageBreak/>
        <w:t>Insurances and responsability of the investigators</w:t>
      </w:r>
      <w:r w:rsidR="00A60F2B">
        <w:rPr>
          <w:rFonts w:ascii="Arial" w:hAnsi="Arial" w:cs="Arial"/>
          <w:b/>
          <w:color w:val="000000"/>
          <w:u w:val="single"/>
          <w:lang w:val="en-US"/>
        </w:rPr>
        <w:t>:</w:t>
      </w:r>
    </w:p>
    <w:p w:rsidR="004A6D1B" w:rsidRPr="00495733" w:rsidRDefault="00AD45F3" w:rsidP="00A60F2B">
      <w:pPr>
        <w:spacing w:after="120"/>
        <w:rPr>
          <w:rFonts w:ascii="Arial" w:hAnsi="Arial" w:cs="Arial"/>
          <w:sz w:val="22"/>
          <w:szCs w:val="22"/>
          <w:lang w:val="en-US"/>
        </w:rPr>
      </w:pPr>
      <w:r w:rsidRPr="00495733">
        <w:rPr>
          <w:rFonts w:ascii="Arial" w:hAnsi="Arial" w:cs="Arial"/>
          <w:sz w:val="22"/>
          <w:szCs w:val="22"/>
          <w:lang w:val="en-US"/>
        </w:rPr>
        <w:t>Volunteers are cover</w:t>
      </w:r>
      <w:r w:rsidR="00495733" w:rsidRPr="00495733">
        <w:rPr>
          <w:rFonts w:ascii="Arial" w:hAnsi="Arial" w:cs="Arial"/>
          <w:sz w:val="22"/>
          <w:szCs w:val="22"/>
          <w:lang w:val="en-US"/>
        </w:rPr>
        <w:t>e</w:t>
      </w:r>
      <w:r w:rsidRPr="00495733">
        <w:rPr>
          <w:rFonts w:ascii="Arial" w:hAnsi="Arial" w:cs="Arial"/>
          <w:sz w:val="22"/>
          <w:szCs w:val="22"/>
          <w:lang w:val="en-US"/>
        </w:rPr>
        <w:t>d by the hospital insurance</w:t>
      </w:r>
      <w:r w:rsidR="00495733" w:rsidRPr="00495733">
        <w:rPr>
          <w:rFonts w:ascii="Arial" w:hAnsi="Arial" w:cs="Arial"/>
          <w:sz w:val="22"/>
          <w:szCs w:val="22"/>
          <w:lang w:val="en-US"/>
        </w:rPr>
        <w:t>.</w:t>
      </w:r>
      <w:r w:rsidRPr="00495733">
        <w:rPr>
          <w:rFonts w:ascii="Arial" w:hAnsi="Arial" w:cs="Arial"/>
          <w:sz w:val="22"/>
          <w:szCs w:val="22"/>
          <w:lang w:val="en-US"/>
        </w:rPr>
        <w:t xml:space="preserve"> </w:t>
      </w:r>
      <w:r w:rsidR="00495733" w:rsidRPr="00495733">
        <w:rPr>
          <w:rFonts w:ascii="Arial" w:hAnsi="Arial" w:cs="Arial"/>
          <w:sz w:val="22"/>
          <w:szCs w:val="22"/>
          <w:lang w:val="en-US"/>
        </w:rPr>
        <w:t xml:space="preserve">As </w:t>
      </w:r>
      <w:r w:rsidRPr="00495733">
        <w:rPr>
          <w:rFonts w:ascii="Arial" w:hAnsi="Arial" w:cs="Arial"/>
          <w:sz w:val="22"/>
          <w:szCs w:val="22"/>
          <w:lang w:val="en-US"/>
        </w:rPr>
        <w:t>a sponsor of the study, the Service of Nephrology is covered by the Canton de Vaud. In the case of damaged in relation with the study, the subjects will be reimbursed according to the damage.</w:t>
      </w:r>
    </w:p>
    <w:p w:rsidR="004A6D1B" w:rsidRPr="00495733" w:rsidRDefault="004A6D1B" w:rsidP="004A6D1B">
      <w:pPr>
        <w:pStyle w:val="Titre2"/>
        <w:spacing w:after="120"/>
        <w:rPr>
          <w:rFonts w:ascii="Arial" w:hAnsi="Arial" w:cs="Arial"/>
          <w:sz w:val="22"/>
          <w:szCs w:val="22"/>
          <w:u w:val="single"/>
          <w:lang w:val="en-US"/>
        </w:rPr>
      </w:pPr>
    </w:p>
    <w:p w:rsidR="004A6D1B" w:rsidRPr="00ED5939" w:rsidRDefault="00495733" w:rsidP="004A6D1B">
      <w:pPr>
        <w:spacing w:after="120"/>
        <w:jc w:val="both"/>
        <w:rPr>
          <w:rFonts w:ascii="Arial" w:hAnsi="Arial" w:cs="Arial"/>
        </w:rPr>
      </w:pPr>
      <w:r w:rsidRPr="00ED5939">
        <w:rPr>
          <w:rFonts w:ascii="Arial" w:hAnsi="Arial" w:cs="Arial"/>
          <w:b/>
          <w:u w:val="single"/>
        </w:rPr>
        <w:t>Financial issues</w:t>
      </w:r>
      <w:r w:rsidR="004A6D1B" w:rsidRPr="00ED5939">
        <w:rPr>
          <w:rFonts w:ascii="Arial" w:hAnsi="Arial" w:cs="Arial"/>
          <w:b/>
          <w:u w:val="single"/>
        </w:rPr>
        <w:t>:</w:t>
      </w:r>
      <w:r w:rsidR="004A6D1B" w:rsidRPr="00ED5939">
        <w:rPr>
          <w:rFonts w:ascii="Arial" w:hAnsi="Arial" w:cs="Arial"/>
        </w:rPr>
        <w:t xml:space="preserve"> </w:t>
      </w:r>
    </w:p>
    <w:p w:rsidR="004A6D1B" w:rsidRPr="00495733" w:rsidRDefault="00AD45F3" w:rsidP="00A60F2B">
      <w:pPr>
        <w:spacing w:after="120"/>
        <w:jc w:val="both"/>
        <w:rPr>
          <w:rFonts w:ascii="Arial" w:hAnsi="Arial" w:cs="Arial"/>
          <w:sz w:val="22"/>
          <w:szCs w:val="22"/>
          <w:lang w:val="en-US"/>
        </w:rPr>
      </w:pPr>
      <w:r w:rsidRPr="00495733">
        <w:rPr>
          <w:rFonts w:ascii="Arial" w:hAnsi="Arial" w:cs="Arial"/>
          <w:sz w:val="22"/>
          <w:szCs w:val="22"/>
          <w:lang w:val="en-US"/>
        </w:rPr>
        <w:t>This study is conducted by the Service de Nephrology, which is the sponsor of the study</w:t>
      </w:r>
      <w:r w:rsidR="004A6D1B" w:rsidRPr="00495733">
        <w:rPr>
          <w:rFonts w:ascii="Arial" w:hAnsi="Arial" w:cs="Arial"/>
          <w:sz w:val="22"/>
          <w:szCs w:val="22"/>
          <w:lang w:val="en-US"/>
        </w:rPr>
        <w:t>.</w:t>
      </w:r>
      <w:r w:rsidRPr="00495733">
        <w:rPr>
          <w:rFonts w:ascii="Arial" w:hAnsi="Arial" w:cs="Arial"/>
          <w:sz w:val="22"/>
          <w:szCs w:val="22"/>
          <w:lang w:val="en-US"/>
        </w:rPr>
        <w:t xml:space="preserve"> Subjects will receive 800.-CHF for the time and inconveniences related with the study</w:t>
      </w:r>
      <w:r w:rsidR="004A6D1B" w:rsidRPr="00495733">
        <w:rPr>
          <w:rFonts w:ascii="Arial" w:hAnsi="Arial" w:cs="Arial"/>
          <w:sz w:val="22"/>
          <w:szCs w:val="22"/>
          <w:lang w:val="en-US"/>
        </w:rPr>
        <w:t xml:space="preserve">. </w:t>
      </w:r>
      <w:r w:rsidRPr="00495733">
        <w:rPr>
          <w:rFonts w:ascii="Arial" w:hAnsi="Arial" w:cs="Arial"/>
          <w:sz w:val="22"/>
          <w:szCs w:val="22"/>
          <w:lang w:val="en-US"/>
        </w:rPr>
        <w:t>Laboratory analysis will be covered by the Service of Nephrology. Radiologic imaging will be covered</w:t>
      </w:r>
      <w:r w:rsidR="00495733" w:rsidRPr="00495733">
        <w:rPr>
          <w:rFonts w:ascii="Arial" w:hAnsi="Arial" w:cs="Arial"/>
          <w:sz w:val="22"/>
          <w:szCs w:val="22"/>
          <w:lang w:val="en-US"/>
        </w:rPr>
        <w:t xml:space="preserve"> by the Department of Radiology </w:t>
      </w:r>
      <w:r w:rsidR="00ED5939">
        <w:rPr>
          <w:rFonts w:ascii="Arial" w:hAnsi="Arial" w:cs="Arial"/>
          <w:sz w:val="22"/>
          <w:szCs w:val="22"/>
          <w:lang w:val="en-US"/>
        </w:rPr>
        <w:t xml:space="preserve">which </w:t>
      </w:r>
      <w:r w:rsidR="00495733" w:rsidRPr="00495733">
        <w:rPr>
          <w:rFonts w:ascii="Arial" w:hAnsi="Arial" w:cs="Arial"/>
          <w:sz w:val="22"/>
          <w:szCs w:val="22"/>
          <w:lang w:val="en-US"/>
        </w:rPr>
        <w:t>h</w:t>
      </w:r>
      <w:r w:rsidR="00ED5939">
        <w:rPr>
          <w:rFonts w:ascii="Arial" w:hAnsi="Arial" w:cs="Arial"/>
          <w:sz w:val="22"/>
          <w:szCs w:val="22"/>
          <w:lang w:val="en-US"/>
        </w:rPr>
        <w:t>a</w:t>
      </w:r>
      <w:r w:rsidR="00495733" w:rsidRPr="00495733">
        <w:rPr>
          <w:rFonts w:ascii="Arial" w:hAnsi="Arial" w:cs="Arial"/>
          <w:sz w:val="22"/>
          <w:szCs w:val="22"/>
          <w:lang w:val="en-US"/>
        </w:rPr>
        <w:t>s been integrated in the scientific collaboration</w:t>
      </w:r>
      <w:r w:rsidR="004A6D1B" w:rsidRPr="00495733">
        <w:rPr>
          <w:rFonts w:ascii="Arial" w:hAnsi="Arial" w:cs="Arial"/>
          <w:sz w:val="22"/>
          <w:szCs w:val="22"/>
          <w:lang w:val="en-US"/>
        </w:rPr>
        <w:t xml:space="preserve">. </w:t>
      </w:r>
      <w:r w:rsidR="00495733" w:rsidRPr="00495733">
        <w:rPr>
          <w:rFonts w:ascii="Arial" w:hAnsi="Arial" w:cs="Arial"/>
          <w:sz w:val="22"/>
          <w:szCs w:val="22"/>
          <w:lang w:val="en-US"/>
        </w:rPr>
        <w:t>Volunteers and /or their private insurance will not be charged.</w:t>
      </w:r>
    </w:p>
    <w:p w:rsidR="004A6D1B" w:rsidRPr="00495733" w:rsidRDefault="004A6D1B" w:rsidP="009F73A0">
      <w:pPr>
        <w:spacing w:after="120"/>
        <w:jc w:val="both"/>
        <w:rPr>
          <w:rFonts w:ascii="Arial" w:hAnsi="Arial" w:cs="Arial"/>
          <w:sz w:val="22"/>
          <w:szCs w:val="22"/>
          <w:lang w:val="en-US"/>
        </w:rPr>
      </w:pPr>
    </w:p>
    <w:p w:rsidR="009F73A0" w:rsidRPr="00ED5939" w:rsidRDefault="009F73A0" w:rsidP="00A60F2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b/>
          <w:bCs/>
          <w:sz w:val="24"/>
          <w:szCs w:val="24"/>
          <w:u w:val="single"/>
          <w:lang w:val="en-GB"/>
        </w:rPr>
      </w:pPr>
      <w:r w:rsidRPr="00ED5939">
        <w:rPr>
          <w:rFonts w:ascii="Arial" w:hAnsi="Arial" w:cs="Arial"/>
          <w:b/>
          <w:bCs/>
          <w:sz w:val="24"/>
          <w:szCs w:val="24"/>
          <w:u w:val="single"/>
          <w:lang w:val="en-GB"/>
        </w:rPr>
        <w:t>Impact of the study:</w:t>
      </w:r>
    </w:p>
    <w:p w:rsidR="009F73A0" w:rsidRPr="00495733" w:rsidRDefault="009F73A0" w:rsidP="00A60F2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sz w:val="22"/>
          <w:szCs w:val="22"/>
          <w:lang w:val="en-GB"/>
        </w:rPr>
      </w:pPr>
      <w:r w:rsidRPr="00495733">
        <w:rPr>
          <w:rFonts w:ascii="Arial" w:hAnsi="Arial" w:cs="Arial"/>
          <w:sz w:val="22"/>
          <w:szCs w:val="22"/>
          <w:lang w:val="en-GB"/>
        </w:rPr>
        <w:t xml:space="preserve">Glitazone treatment is expected to improve insulin resistance, decrease blood pressure and inflammatory markers as well as increase body weight while decreasing visceral fat and improving the nutrition status. This study will provide in detail the metabolic modifications induced by glitazone treatment in ESRD patients treated by </w:t>
      </w:r>
      <w:r w:rsidR="00ED5939">
        <w:rPr>
          <w:rFonts w:ascii="Arial" w:hAnsi="Arial" w:cs="Arial"/>
          <w:sz w:val="22"/>
          <w:szCs w:val="22"/>
          <w:lang w:val="en-GB"/>
        </w:rPr>
        <w:t xml:space="preserve">HD </w:t>
      </w:r>
      <w:r w:rsidRPr="00495733">
        <w:rPr>
          <w:rFonts w:ascii="Arial" w:hAnsi="Arial" w:cs="Arial"/>
          <w:sz w:val="22"/>
          <w:szCs w:val="22"/>
          <w:lang w:val="en-GB"/>
        </w:rPr>
        <w:t>and</w:t>
      </w:r>
      <w:r w:rsidR="00ED5939">
        <w:rPr>
          <w:rFonts w:ascii="Arial" w:hAnsi="Arial" w:cs="Arial"/>
          <w:sz w:val="22"/>
          <w:szCs w:val="22"/>
          <w:lang w:val="en-GB"/>
        </w:rPr>
        <w:t xml:space="preserve"> PD</w:t>
      </w:r>
      <w:r w:rsidRPr="00495733">
        <w:rPr>
          <w:rFonts w:ascii="Arial" w:hAnsi="Arial" w:cs="Arial"/>
          <w:sz w:val="22"/>
          <w:szCs w:val="22"/>
          <w:lang w:val="en-GB"/>
        </w:rPr>
        <w:t xml:space="preserve">. </w:t>
      </w:r>
    </w:p>
    <w:p w:rsidR="009F73A0" w:rsidRPr="00495733" w:rsidRDefault="009F73A0" w:rsidP="009F73A0">
      <w:pPr>
        <w:pStyle w:val="Titre2"/>
        <w:spacing w:after="120"/>
        <w:rPr>
          <w:rFonts w:ascii="Arial" w:hAnsi="Arial" w:cs="Arial"/>
          <w:sz w:val="22"/>
          <w:szCs w:val="22"/>
          <w:u w:val="single"/>
        </w:rPr>
      </w:pPr>
    </w:p>
    <w:p w:rsidR="009F73A0" w:rsidRPr="00ED5939" w:rsidRDefault="009F73A0" w:rsidP="009F73A0">
      <w:pPr>
        <w:pStyle w:val="Titre2"/>
        <w:spacing w:after="120"/>
        <w:rPr>
          <w:rFonts w:ascii="Arial" w:hAnsi="Arial" w:cs="Arial"/>
          <w:u w:val="single"/>
        </w:rPr>
      </w:pPr>
      <w:r w:rsidRPr="00ED5939">
        <w:rPr>
          <w:rFonts w:ascii="Arial" w:hAnsi="Arial" w:cs="Arial"/>
          <w:u w:val="single"/>
        </w:rPr>
        <w:t>Perspectives:</w:t>
      </w:r>
    </w:p>
    <w:p w:rsidR="009F73A0" w:rsidRPr="00495733" w:rsidRDefault="009F73A0" w:rsidP="009F73A0">
      <w:pPr>
        <w:pStyle w:val="Titre2"/>
        <w:spacing w:after="120"/>
        <w:rPr>
          <w:rFonts w:ascii="Arial" w:hAnsi="Arial" w:cs="Arial"/>
          <w:b w:val="0"/>
          <w:bCs w:val="0"/>
          <w:sz w:val="22"/>
          <w:szCs w:val="22"/>
        </w:rPr>
      </w:pPr>
      <w:r w:rsidRPr="00495733">
        <w:rPr>
          <w:rFonts w:ascii="Arial" w:hAnsi="Arial" w:cs="Arial"/>
          <w:b w:val="0"/>
          <w:bCs w:val="0"/>
          <w:sz w:val="22"/>
          <w:szCs w:val="22"/>
        </w:rPr>
        <w:t xml:space="preserve">Insulin resistance characterises patients with end-stage renal disease. Prior to the availability of glitazones, no insulin sensitising drugs could be prescribed to ESRD patients. Glitazones may improve the poor nutritional and cardiovascular morbidity of ESRD and chronic renal failure patients. </w:t>
      </w:r>
    </w:p>
    <w:p w:rsidR="009F73A0" w:rsidRDefault="009F73A0" w:rsidP="009F73A0">
      <w:pPr>
        <w:pStyle w:val="Titre2"/>
        <w:spacing w:after="120"/>
        <w:rPr>
          <w:b w:val="0"/>
          <w:bCs w:val="0"/>
          <w:sz w:val="20"/>
          <w:u w:val="single"/>
        </w:rPr>
      </w:pPr>
    </w:p>
    <w:p w:rsidR="009F73A0" w:rsidRDefault="009F73A0" w:rsidP="007B682B">
      <w:pPr>
        <w:tabs>
          <w:tab w:val="left" w:pos="4820"/>
        </w:tabs>
        <w:rPr>
          <w:rFonts w:ascii="Arial" w:hAnsi="Arial" w:cs="Arial"/>
          <w:lang w:val="en-GB"/>
        </w:rPr>
      </w:pPr>
    </w:p>
    <w:p w:rsidR="00A60F2B" w:rsidRDefault="00A60F2B" w:rsidP="009434A8">
      <w:pPr>
        <w:pStyle w:val="Corpsdetexte3"/>
        <w:autoSpaceDE/>
        <w:autoSpaceDN/>
        <w:adjustRightInd/>
        <w:spacing w:after="120" w:line="240" w:lineRule="auto"/>
        <w:rPr>
          <w:rFonts w:ascii="Arial" w:eastAsia="MS Mincho" w:hAnsi="Arial" w:cs="Arial"/>
          <w:b/>
          <w:sz w:val="24"/>
          <w:u w:val="single"/>
          <w:lang w:val="en-US"/>
        </w:rPr>
      </w:pPr>
    </w:p>
    <w:p w:rsidR="009434A8" w:rsidRPr="009434A8" w:rsidRDefault="009434A8" w:rsidP="009434A8">
      <w:pPr>
        <w:pStyle w:val="Corpsdetexte3"/>
        <w:autoSpaceDE/>
        <w:autoSpaceDN/>
        <w:adjustRightInd/>
        <w:spacing w:after="120" w:line="240" w:lineRule="auto"/>
        <w:rPr>
          <w:rFonts w:ascii="Arial" w:eastAsia="MS Mincho" w:hAnsi="Arial" w:cs="Arial"/>
          <w:b/>
          <w:sz w:val="24"/>
          <w:u w:val="single"/>
          <w:lang w:val="en-US"/>
        </w:rPr>
      </w:pPr>
      <w:r w:rsidRPr="009434A8">
        <w:rPr>
          <w:rFonts w:ascii="Arial" w:eastAsia="MS Mincho" w:hAnsi="Arial" w:cs="Arial"/>
          <w:b/>
          <w:sz w:val="24"/>
          <w:u w:val="single"/>
          <w:lang w:val="en-US"/>
        </w:rPr>
        <w:t>References</w:t>
      </w:r>
    </w:p>
    <w:p w:rsidR="009434A8" w:rsidRPr="00A60F2B" w:rsidRDefault="009434A8" w:rsidP="009434A8">
      <w:pPr>
        <w:ind w:left="720" w:hanging="720"/>
        <w:rPr>
          <w:rFonts w:ascii="Arial" w:hAnsi="Arial" w:cs="Arial"/>
          <w:sz w:val="22"/>
          <w:szCs w:val="22"/>
          <w:lang w:val="en-US"/>
        </w:rPr>
      </w:pPr>
      <w:r w:rsidRPr="00A60F2B">
        <w:rPr>
          <w:rFonts w:ascii="Arial" w:hAnsi="Arial" w:cs="Arial"/>
          <w:sz w:val="22"/>
          <w:szCs w:val="22"/>
          <w:lang w:val="en-GB"/>
        </w:rPr>
        <w:fldChar w:fldCharType="begin"/>
      </w:r>
      <w:r w:rsidRPr="00A60F2B">
        <w:rPr>
          <w:rFonts w:ascii="Arial" w:hAnsi="Arial" w:cs="Arial"/>
          <w:sz w:val="22"/>
          <w:szCs w:val="22"/>
          <w:lang w:val="en-GB"/>
        </w:rPr>
        <w:instrText xml:space="preserve"> ADDIN EN.REFLIST </w:instrText>
      </w:r>
      <w:r w:rsidRPr="00A60F2B">
        <w:rPr>
          <w:rFonts w:ascii="Arial" w:hAnsi="Arial" w:cs="Arial"/>
          <w:sz w:val="22"/>
          <w:szCs w:val="22"/>
          <w:lang w:val="en-GB"/>
        </w:rPr>
        <w:fldChar w:fldCharType="separate"/>
      </w:r>
      <w:r w:rsidRPr="00A60F2B">
        <w:rPr>
          <w:rFonts w:ascii="Arial" w:hAnsi="Arial" w:cs="Arial"/>
          <w:sz w:val="22"/>
          <w:szCs w:val="22"/>
          <w:lang w:val="en-GB"/>
        </w:rPr>
        <w:t>1.</w:t>
      </w:r>
      <w:r w:rsidRPr="00A60F2B">
        <w:rPr>
          <w:rFonts w:ascii="Arial" w:hAnsi="Arial" w:cs="Arial"/>
          <w:sz w:val="22"/>
          <w:szCs w:val="22"/>
          <w:lang w:val="en-GB"/>
        </w:rPr>
        <w:tab/>
        <w:t xml:space="preserve">Chiquette E, Ramirez G, Defronzo R: A meta-analysis comparing the effect of thiazolidinediones on cardiovascular risk factors. </w:t>
      </w:r>
      <w:r w:rsidRPr="00A60F2B">
        <w:rPr>
          <w:rFonts w:ascii="Arial" w:hAnsi="Arial" w:cs="Arial"/>
          <w:i/>
          <w:sz w:val="22"/>
          <w:szCs w:val="22"/>
          <w:lang w:val="en-US"/>
        </w:rPr>
        <w:t>Arch Intern Med</w:t>
      </w:r>
      <w:r w:rsidRPr="00A60F2B">
        <w:rPr>
          <w:rFonts w:ascii="Arial" w:hAnsi="Arial" w:cs="Arial"/>
          <w:sz w:val="22"/>
          <w:szCs w:val="22"/>
          <w:lang w:val="en-US"/>
        </w:rPr>
        <w:t xml:space="preserve"> 164:2097-2104, 2004</w:t>
      </w:r>
    </w:p>
    <w:p w:rsidR="009434A8" w:rsidRPr="00A60F2B" w:rsidRDefault="009434A8" w:rsidP="009434A8">
      <w:pPr>
        <w:ind w:left="720" w:hanging="720"/>
        <w:rPr>
          <w:rFonts w:ascii="Arial" w:hAnsi="Arial" w:cs="Arial"/>
          <w:sz w:val="22"/>
          <w:szCs w:val="22"/>
          <w:lang w:val="en-GB"/>
        </w:rPr>
      </w:pPr>
      <w:r w:rsidRPr="00A60F2B">
        <w:rPr>
          <w:rFonts w:ascii="Arial" w:hAnsi="Arial" w:cs="Arial"/>
          <w:sz w:val="22"/>
          <w:szCs w:val="22"/>
          <w:lang w:val="en-GB"/>
        </w:rPr>
        <w:t>2.</w:t>
      </w:r>
      <w:r w:rsidRPr="00A60F2B">
        <w:rPr>
          <w:rFonts w:ascii="Arial" w:hAnsi="Arial" w:cs="Arial"/>
          <w:sz w:val="22"/>
          <w:szCs w:val="22"/>
          <w:lang w:val="en-GB"/>
        </w:rPr>
        <w:tab/>
        <w:t>Smith SR, De Jonge L, Volaufova J, Li Y</w:t>
      </w:r>
      <w:r w:rsidRPr="00A60F2B">
        <w:rPr>
          <w:rFonts w:ascii="Arial" w:hAnsi="Arial" w:cs="Arial"/>
          <w:i/>
          <w:sz w:val="22"/>
          <w:szCs w:val="22"/>
          <w:lang w:val="en-GB"/>
        </w:rPr>
        <w:t>, et al.</w:t>
      </w:r>
      <w:r w:rsidRPr="00A60F2B">
        <w:rPr>
          <w:rFonts w:ascii="Arial" w:hAnsi="Arial" w:cs="Arial"/>
          <w:sz w:val="22"/>
          <w:szCs w:val="22"/>
          <w:lang w:val="en-GB"/>
        </w:rPr>
        <w:t xml:space="preserve">: Effect of pioglitazone on body composition and energy expenditure: a randomized controlled trial. </w:t>
      </w:r>
      <w:r w:rsidRPr="00A60F2B">
        <w:rPr>
          <w:rFonts w:ascii="Arial" w:hAnsi="Arial" w:cs="Arial"/>
          <w:i/>
          <w:sz w:val="22"/>
          <w:szCs w:val="22"/>
          <w:lang w:val="en-GB"/>
        </w:rPr>
        <w:t>Metabolism</w:t>
      </w:r>
      <w:r w:rsidRPr="00A60F2B">
        <w:rPr>
          <w:rFonts w:ascii="Arial" w:hAnsi="Arial" w:cs="Arial"/>
          <w:sz w:val="22"/>
          <w:szCs w:val="22"/>
          <w:lang w:val="en-GB"/>
        </w:rPr>
        <w:t xml:space="preserve"> 54:24-32, 2005</w:t>
      </w:r>
    </w:p>
    <w:p w:rsidR="009434A8" w:rsidRPr="00A60F2B" w:rsidRDefault="009434A8" w:rsidP="009434A8">
      <w:pPr>
        <w:ind w:left="720" w:hanging="720"/>
        <w:rPr>
          <w:rFonts w:ascii="Arial" w:hAnsi="Arial" w:cs="Arial"/>
          <w:sz w:val="22"/>
          <w:szCs w:val="22"/>
          <w:lang w:val="nl-NL"/>
        </w:rPr>
      </w:pPr>
      <w:r w:rsidRPr="00A60F2B">
        <w:rPr>
          <w:rFonts w:ascii="Arial" w:hAnsi="Arial" w:cs="Arial"/>
          <w:sz w:val="22"/>
          <w:szCs w:val="22"/>
          <w:lang w:val="en-GB"/>
        </w:rPr>
        <w:t>3.</w:t>
      </w:r>
      <w:r w:rsidRPr="00A60F2B">
        <w:rPr>
          <w:rFonts w:ascii="Arial" w:hAnsi="Arial" w:cs="Arial"/>
          <w:sz w:val="22"/>
          <w:szCs w:val="22"/>
          <w:lang w:val="en-GB"/>
        </w:rPr>
        <w:tab/>
        <w:t>Miyazaki Y, Mahankali A, Matsuda M, Mahankali S</w:t>
      </w:r>
      <w:r w:rsidRPr="00A60F2B">
        <w:rPr>
          <w:rFonts w:ascii="Arial" w:hAnsi="Arial" w:cs="Arial"/>
          <w:i/>
          <w:sz w:val="22"/>
          <w:szCs w:val="22"/>
          <w:lang w:val="en-GB"/>
        </w:rPr>
        <w:t>, et al.</w:t>
      </w:r>
      <w:r w:rsidRPr="00A60F2B">
        <w:rPr>
          <w:rFonts w:ascii="Arial" w:hAnsi="Arial" w:cs="Arial"/>
          <w:sz w:val="22"/>
          <w:szCs w:val="22"/>
          <w:lang w:val="en-GB"/>
        </w:rPr>
        <w:t xml:space="preserve">: Effect of pioglitazone on abdominal fat distribution and insulin sensitivity in type 2 diabetic patients. </w:t>
      </w:r>
      <w:r w:rsidRPr="00A60F2B">
        <w:rPr>
          <w:rFonts w:ascii="Arial" w:hAnsi="Arial" w:cs="Arial"/>
          <w:i/>
          <w:sz w:val="22"/>
          <w:szCs w:val="22"/>
          <w:lang w:val="nl-NL"/>
        </w:rPr>
        <w:t>J Clin Endocrinol Metab</w:t>
      </w:r>
      <w:r w:rsidRPr="00A60F2B">
        <w:rPr>
          <w:rFonts w:ascii="Arial" w:hAnsi="Arial" w:cs="Arial"/>
          <w:sz w:val="22"/>
          <w:szCs w:val="22"/>
          <w:lang w:val="nl-NL"/>
        </w:rPr>
        <w:t xml:space="preserve"> 87:2784-2791, 2002</w:t>
      </w:r>
    </w:p>
    <w:p w:rsidR="009434A8" w:rsidRPr="00A60F2B" w:rsidRDefault="009434A8" w:rsidP="009434A8">
      <w:pPr>
        <w:ind w:left="720" w:hanging="720"/>
        <w:rPr>
          <w:rFonts w:ascii="Arial" w:hAnsi="Arial" w:cs="Arial"/>
          <w:sz w:val="22"/>
          <w:szCs w:val="22"/>
          <w:lang w:val="en-GB"/>
        </w:rPr>
      </w:pPr>
      <w:r w:rsidRPr="00A60F2B">
        <w:rPr>
          <w:rFonts w:ascii="Arial" w:hAnsi="Arial" w:cs="Arial"/>
          <w:sz w:val="22"/>
          <w:szCs w:val="22"/>
          <w:lang w:val="en-GB"/>
        </w:rPr>
        <w:t>4.</w:t>
      </w:r>
      <w:r w:rsidRPr="00A60F2B">
        <w:rPr>
          <w:rFonts w:ascii="Arial" w:hAnsi="Arial" w:cs="Arial"/>
          <w:sz w:val="22"/>
          <w:szCs w:val="22"/>
          <w:lang w:val="en-GB"/>
        </w:rPr>
        <w:tab/>
        <w:t xml:space="preserve">Manley HJ, Allcock NM: Thiazolidinedione safety and efficacy in ambulatory patients receiving hemodialysis. </w:t>
      </w:r>
      <w:r w:rsidRPr="00A60F2B">
        <w:rPr>
          <w:rFonts w:ascii="Arial" w:hAnsi="Arial" w:cs="Arial"/>
          <w:i/>
          <w:sz w:val="22"/>
          <w:szCs w:val="22"/>
          <w:lang w:val="en-GB"/>
        </w:rPr>
        <w:t>Pharmacotherapy</w:t>
      </w:r>
      <w:r w:rsidRPr="00A60F2B">
        <w:rPr>
          <w:rFonts w:ascii="Arial" w:hAnsi="Arial" w:cs="Arial"/>
          <w:sz w:val="22"/>
          <w:szCs w:val="22"/>
          <w:lang w:val="en-GB"/>
        </w:rPr>
        <w:t xml:space="preserve"> 23:861-865, 2003</w:t>
      </w:r>
    </w:p>
    <w:p w:rsidR="009434A8" w:rsidRPr="00A60F2B" w:rsidRDefault="009434A8" w:rsidP="009434A8">
      <w:pPr>
        <w:ind w:left="720" w:hanging="720"/>
        <w:rPr>
          <w:rFonts w:ascii="Arial" w:hAnsi="Arial" w:cs="Arial"/>
          <w:sz w:val="22"/>
          <w:szCs w:val="22"/>
          <w:lang w:val="en-GB"/>
        </w:rPr>
      </w:pPr>
      <w:r w:rsidRPr="00A60F2B">
        <w:rPr>
          <w:rFonts w:ascii="Arial" w:hAnsi="Arial" w:cs="Arial"/>
          <w:sz w:val="22"/>
          <w:szCs w:val="22"/>
          <w:lang w:val="en-GB"/>
        </w:rPr>
        <w:t>5.</w:t>
      </w:r>
      <w:r w:rsidRPr="00A60F2B">
        <w:rPr>
          <w:rFonts w:ascii="Arial" w:hAnsi="Arial" w:cs="Arial"/>
          <w:sz w:val="22"/>
          <w:szCs w:val="22"/>
          <w:lang w:val="en-GB"/>
        </w:rPr>
        <w:tab/>
        <w:t>Lin SH, Lin YF, Kuo SW, Hsu YJ</w:t>
      </w:r>
      <w:r w:rsidRPr="00A60F2B">
        <w:rPr>
          <w:rFonts w:ascii="Arial" w:hAnsi="Arial" w:cs="Arial"/>
          <w:i/>
          <w:sz w:val="22"/>
          <w:szCs w:val="22"/>
          <w:lang w:val="en-GB"/>
        </w:rPr>
        <w:t>, et al.</w:t>
      </w:r>
      <w:r w:rsidRPr="00A60F2B">
        <w:rPr>
          <w:rFonts w:ascii="Arial" w:hAnsi="Arial" w:cs="Arial"/>
          <w:sz w:val="22"/>
          <w:szCs w:val="22"/>
          <w:lang w:val="en-GB"/>
        </w:rPr>
        <w:t xml:space="preserve">: Rosiglitazone improves glucose metabolism in nondiabetic uremic patients on CAPD. </w:t>
      </w:r>
      <w:r w:rsidRPr="00A60F2B">
        <w:rPr>
          <w:rFonts w:ascii="Arial" w:hAnsi="Arial" w:cs="Arial"/>
          <w:i/>
          <w:sz w:val="22"/>
          <w:szCs w:val="22"/>
          <w:lang w:val="en-GB"/>
        </w:rPr>
        <w:t>Am J Kidney Dis</w:t>
      </w:r>
      <w:r w:rsidRPr="00A60F2B">
        <w:rPr>
          <w:rFonts w:ascii="Arial" w:hAnsi="Arial" w:cs="Arial"/>
          <w:sz w:val="22"/>
          <w:szCs w:val="22"/>
          <w:lang w:val="en-GB"/>
        </w:rPr>
        <w:t xml:space="preserve"> 42:774-780, 2003</w:t>
      </w:r>
    </w:p>
    <w:p w:rsidR="009434A8" w:rsidRPr="00A60F2B" w:rsidRDefault="009434A8" w:rsidP="009434A8">
      <w:pPr>
        <w:ind w:left="720" w:hanging="720"/>
        <w:rPr>
          <w:rFonts w:ascii="Arial" w:hAnsi="Arial" w:cs="Arial"/>
          <w:sz w:val="22"/>
          <w:szCs w:val="22"/>
          <w:lang w:val="en-US"/>
        </w:rPr>
      </w:pPr>
      <w:r w:rsidRPr="00A60F2B">
        <w:rPr>
          <w:rFonts w:ascii="Arial" w:hAnsi="Arial" w:cs="Arial"/>
          <w:sz w:val="22"/>
          <w:szCs w:val="22"/>
          <w:lang w:val="en-GB"/>
        </w:rPr>
        <w:t>6.</w:t>
      </w:r>
      <w:r w:rsidRPr="00A60F2B">
        <w:rPr>
          <w:rFonts w:ascii="Arial" w:hAnsi="Arial" w:cs="Arial"/>
          <w:sz w:val="22"/>
          <w:szCs w:val="22"/>
          <w:lang w:val="en-GB"/>
        </w:rPr>
        <w:tab/>
        <w:t>Budde K, Neumayer HH, Fritsche L, Sulowicz W</w:t>
      </w:r>
      <w:r w:rsidRPr="00A60F2B">
        <w:rPr>
          <w:rFonts w:ascii="Arial" w:hAnsi="Arial" w:cs="Arial"/>
          <w:i/>
          <w:sz w:val="22"/>
          <w:szCs w:val="22"/>
          <w:lang w:val="en-GB"/>
        </w:rPr>
        <w:t>, et al.</w:t>
      </w:r>
      <w:r w:rsidRPr="00A60F2B">
        <w:rPr>
          <w:rFonts w:ascii="Arial" w:hAnsi="Arial" w:cs="Arial"/>
          <w:sz w:val="22"/>
          <w:szCs w:val="22"/>
          <w:lang w:val="en-GB"/>
        </w:rPr>
        <w:t xml:space="preserve">: The pharmacokinetics of pioglitazone in patients with impaired renal function. </w:t>
      </w:r>
      <w:r w:rsidRPr="00A60F2B">
        <w:rPr>
          <w:rFonts w:ascii="Arial" w:hAnsi="Arial" w:cs="Arial"/>
          <w:i/>
          <w:sz w:val="22"/>
          <w:szCs w:val="22"/>
          <w:lang w:val="en-US"/>
        </w:rPr>
        <w:t>Br J Clin Pharmacol</w:t>
      </w:r>
      <w:r w:rsidRPr="00A60F2B">
        <w:rPr>
          <w:rFonts w:ascii="Arial" w:hAnsi="Arial" w:cs="Arial"/>
          <w:sz w:val="22"/>
          <w:szCs w:val="22"/>
          <w:lang w:val="en-US"/>
        </w:rPr>
        <w:t xml:space="preserve"> 55:368-374, 2003</w:t>
      </w:r>
    </w:p>
    <w:p w:rsidR="009434A8" w:rsidRPr="00A60F2B" w:rsidRDefault="009434A8" w:rsidP="009434A8">
      <w:pPr>
        <w:ind w:left="720" w:hanging="720"/>
        <w:rPr>
          <w:rFonts w:ascii="Arial" w:hAnsi="Arial" w:cs="Arial"/>
          <w:sz w:val="22"/>
          <w:szCs w:val="22"/>
          <w:lang w:val="en-US"/>
        </w:rPr>
      </w:pPr>
      <w:r w:rsidRPr="00A60F2B">
        <w:rPr>
          <w:rFonts w:ascii="Arial" w:hAnsi="Arial" w:cs="Arial"/>
          <w:sz w:val="22"/>
          <w:szCs w:val="22"/>
          <w:lang w:val="en-GB"/>
        </w:rPr>
        <w:lastRenderedPageBreak/>
        <w:t>7.</w:t>
      </w:r>
      <w:r w:rsidRPr="00A60F2B">
        <w:rPr>
          <w:rFonts w:ascii="Arial" w:hAnsi="Arial" w:cs="Arial"/>
          <w:sz w:val="22"/>
          <w:szCs w:val="22"/>
          <w:lang w:val="en-GB"/>
        </w:rPr>
        <w:tab/>
        <w:t>Chapelsky MC, Thompson-Culkin K, Miller AK, Sack M</w:t>
      </w:r>
      <w:r w:rsidRPr="00A60F2B">
        <w:rPr>
          <w:rFonts w:ascii="Arial" w:hAnsi="Arial" w:cs="Arial"/>
          <w:i/>
          <w:sz w:val="22"/>
          <w:szCs w:val="22"/>
          <w:lang w:val="en-GB"/>
        </w:rPr>
        <w:t>, et al.</w:t>
      </w:r>
      <w:r w:rsidRPr="00A60F2B">
        <w:rPr>
          <w:rFonts w:ascii="Arial" w:hAnsi="Arial" w:cs="Arial"/>
          <w:sz w:val="22"/>
          <w:szCs w:val="22"/>
          <w:lang w:val="en-GB"/>
        </w:rPr>
        <w:t xml:space="preserve">: Pharmacokinetics of rosiglitazone in patients with varying degrees of renal insufficiency. </w:t>
      </w:r>
      <w:r w:rsidRPr="00A60F2B">
        <w:rPr>
          <w:rFonts w:ascii="Arial" w:hAnsi="Arial" w:cs="Arial"/>
          <w:i/>
          <w:sz w:val="22"/>
          <w:szCs w:val="22"/>
          <w:lang w:val="en-US"/>
        </w:rPr>
        <w:t>J Clin Pharmacol</w:t>
      </w:r>
      <w:r w:rsidRPr="00A60F2B">
        <w:rPr>
          <w:rFonts w:ascii="Arial" w:hAnsi="Arial" w:cs="Arial"/>
          <w:sz w:val="22"/>
          <w:szCs w:val="22"/>
          <w:lang w:val="en-US"/>
        </w:rPr>
        <w:t xml:space="preserve"> 43:252-259, 2003</w:t>
      </w:r>
    </w:p>
    <w:p w:rsidR="009434A8" w:rsidRPr="00A60F2B" w:rsidRDefault="009434A8" w:rsidP="009434A8">
      <w:pPr>
        <w:ind w:left="720" w:hanging="720"/>
        <w:rPr>
          <w:rFonts w:ascii="Arial" w:hAnsi="Arial" w:cs="Arial"/>
          <w:sz w:val="22"/>
          <w:szCs w:val="22"/>
          <w:lang w:val="en-GB"/>
        </w:rPr>
      </w:pPr>
      <w:r w:rsidRPr="00A60F2B">
        <w:rPr>
          <w:rFonts w:ascii="Arial" w:hAnsi="Arial" w:cs="Arial"/>
          <w:sz w:val="22"/>
          <w:szCs w:val="22"/>
          <w:lang w:val="en-GB"/>
        </w:rPr>
        <w:t>8.</w:t>
      </w:r>
      <w:r w:rsidRPr="00A60F2B">
        <w:rPr>
          <w:rFonts w:ascii="Arial" w:hAnsi="Arial" w:cs="Arial"/>
          <w:sz w:val="22"/>
          <w:szCs w:val="22"/>
          <w:lang w:val="en-GB"/>
        </w:rPr>
        <w:tab/>
        <w:t xml:space="preserve">Thompson-Culkin K, Zussman B, Miller AK, Freed MI: Pharmacokinetics of rosiglitazone in patients with end-stage renal disease. </w:t>
      </w:r>
      <w:r w:rsidRPr="00A60F2B">
        <w:rPr>
          <w:rFonts w:ascii="Arial" w:hAnsi="Arial" w:cs="Arial"/>
          <w:i/>
          <w:sz w:val="22"/>
          <w:szCs w:val="22"/>
          <w:lang w:val="en-GB"/>
        </w:rPr>
        <w:t>J Int Med Res</w:t>
      </w:r>
      <w:r w:rsidRPr="00A60F2B">
        <w:rPr>
          <w:rFonts w:ascii="Arial" w:hAnsi="Arial" w:cs="Arial"/>
          <w:sz w:val="22"/>
          <w:szCs w:val="22"/>
          <w:lang w:val="en-GB"/>
        </w:rPr>
        <w:t xml:space="preserve"> 30:391-399, 2002</w:t>
      </w:r>
    </w:p>
    <w:p w:rsidR="009434A8" w:rsidRPr="00A60F2B" w:rsidRDefault="009434A8" w:rsidP="009434A8">
      <w:pPr>
        <w:ind w:left="720" w:hanging="720"/>
        <w:rPr>
          <w:rFonts w:ascii="Arial" w:hAnsi="Arial" w:cs="Arial"/>
          <w:sz w:val="22"/>
          <w:szCs w:val="22"/>
          <w:lang w:val="en-GB"/>
        </w:rPr>
      </w:pPr>
      <w:r w:rsidRPr="00A60F2B">
        <w:rPr>
          <w:rFonts w:ascii="Arial" w:hAnsi="Arial" w:cs="Arial"/>
          <w:sz w:val="22"/>
          <w:szCs w:val="22"/>
          <w:lang w:val="en-GB"/>
        </w:rPr>
        <w:t>9.</w:t>
      </w:r>
      <w:r w:rsidRPr="00A60F2B">
        <w:rPr>
          <w:rFonts w:ascii="Arial" w:hAnsi="Arial" w:cs="Arial"/>
          <w:sz w:val="22"/>
          <w:szCs w:val="22"/>
          <w:lang w:val="en-GB"/>
        </w:rPr>
        <w:tab/>
        <w:t xml:space="preserve">Snyder RW, Berns JS: Use of insulin and oral hypoglycemic medications in patients with diabetes mellitus and advanced kidney disease. </w:t>
      </w:r>
      <w:r w:rsidRPr="00A60F2B">
        <w:rPr>
          <w:rFonts w:ascii="Arial" w:hAnsi="Arial" w:cs="Arial"/>
          <w:i/>
          <w:sz w:val="22"/>
          <w:szCs w:val="22"/>
          <w:lang w:val="en-GB"/>
        </w:rPr>
        <w:t>Semin Dial</w:t>
      </w:r>
      <w:r w:rsidRPr="00A60F2B">
        <w:rPr>
          <w:rFonts w:ascii="Arial" w:hAnsi="Arial" w:cs="Arial"/>
          <w:sz w:val="22"/>
          <w:szCs w:val="22"/>
          <w:lang w:val="en-GB"/>
        </w:rPr>
        <w:t xml:space="preserve"> 17:365-370, 2004</w:t>
      </w:r>
    </w:p>
    <w:p w:rsidR="009434A8" w:rsidRPr="00A60F2B" w:rsidRDefault="009434A8" w:rsidP="009434A8">
      <w:pPr>
        <w:rPr>
          <w:rFonts w:ascii="Arial" w:hAnsi="Arial" w:cs="Arial"/>
          <w:sz w:val="22"/>
          <w:szCs w:val="22"/>
          <w:lang w:val="nl-NL"/>
        </w:rPr>
      </w:pPr>
    </w:p>
    <w:p w:rsidR="009434A8" w:rsidRPr="00495733" w:rsidRDefault="009434A8" w:rsidP="009434A8">
      <w:pPr>
        <w:pStyle w:val="Corpsdetexte3"/>
        <w:autoSpaceDE/>
        <w:autoSpaceDN/>
        <w:adjustRightInd/>
        <w:spacing w:after="120" w:line="240" w:lineRule="auto"/>
        <w:rPr>
          <w:rFonts w:ascii="Arial" w:eastAsia="MS Mincho" w:hAnsi="Arial" w:cs="Arial"/>
          <w:sz w:val="24"/>
          <w:lang w:val="en-US"/>
        </w:rPr>
      </w:pPr>
      <w:r w:rsidRPr="00A60F2B">
        <w:rPr>
          <w:rFonts w:ascii="Arial" w:hAnsi="Arial" w:cs="Arial"/>
          <w:sz w:val="22"/>
          <w:szCs w:val="22"/>
        </w:rPr>
        <w:fldChar w:fldCharType="end"/>
      </w:r>
    </w:p>
    <w:p w:rsidR="009434A8" w:rsidRPr="007B682B" w:rsidRDefault="009434A8" w:rsidP="007B682B">
      <w:pPr>
        <w:tabs>
          <w:tab w:val="left" w:pos="4820"/>
        </w:tabs>
        <w:rPr>
          <w:rFonts w:ascii="Arial" w:hAnsi="Arial" w:cs="Arial"/>
          <w:lang w:val="en-GB"/>
        </w:rPr>
      </w:pPr>
    </w:p>
    <w:sectPr w:rsidR="009434A8" w:rsidRPr="007B682B" w:rsidSect="00C84DD1">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54" w:rsidRDefault="00E41E54" w:rsidP="00C84DD1">
      <w:r>
        <w:separator/>
      </w:r>
    </w:p>
  </w:endnote>
  <w:endnote w:type="continuationSeparator" w:id="0">
    <w:p w:rsidR="00E41E54" w:rsidRDefault="00E41E54" w:rsidP="00C84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D1" w:rsidRPr="00277CDE" w:rsidRDefault="00C84DD1" w:rsidP="00C84DD1">
    <w:pPr>
      <w:pStyle w:val="Pieddepage"/>
      <w:jc w:val="center"/>
      <w:rPr>
        <w:rFonts w:ascii="Arial" w:hAnsi="Arial" w:cs="Arial"/>
      </w:rPr>
    </w:pPr>
    <w:r w:rsidRPr="00277CDE">
      <w:rPr>
        <w:rFonts w:ascii="Arial" w:hAnsi="Arial" w:cs="Arial"/>
      </w:rPr>
      <w:fldChar w:fldCharType="begin"/>
    </w:r>
    <w:r w:rsidRPr="00277CDE">
      <w:rPr>
        <w:rFonts w:ascii="Arial" w:hAnsi="Arial" w:cs="Arial"/>
      </w:rPr>
      <w:instrText xml:space="preserve"> </w:instrText>
    </w:r>
    <w:r>
      <w:rPr>
        <w:rFonts w:ascii="Arial" w:hAnsi="Arial" w:cs="Arial"/>
      </w:rPr>
      <w:instrText>PAGE</w:instrText>
    </w:r>
    <w:r w:rsidRPr="00277CDE">
      <w:rPr>
        <w:rFonts w:ascii="Arial" w:hAnsi="Arial" w:cs="Arial"/>
      </w:rPr>
      <w:instrText xml:space="preserve"> </w:instrText>
    </w:r>
    <w:r w:rsidRPr="00277CDE">
      <w:rPr>
        <w:rFonts w:ascii="Arial" w:hAnsi="Arial" w:cs="Arial"/>
      </w:rPr>
      <w:fldChar w:fldCharType="separate"/>
    </w:r>
    <w:r w:rsidR="00DC48BA">
      <w:rPr>
        <w:rFonts w:ascii="Arial" w:hAnsi="Arial" w:cs="Arial"/>
        <w:noProof/>
      </w:rPr>
      <w:t>1</w:t>
    </w:r>
    <w:r w:rsidRPr="00277CDE">
      <w:rPr>
        <w:rFonts w:ascii="Arial" w:hAnsi="Arial" w:cs="Arial"/>
      </w:rPr>
      <w:fldChar w:fldCharType="end"/>
    </w:r>
    <w:r>
      <w:rPr>
        <w:rFonts w:ascii="Arial" w:hAnsi="Arial" w:cs="Arial"/>
      </w:rPr>
      <w:t xml:space="preserve"> /</w:t>
    </w:r>
    <w:r w:rsidRPr="00277CDE">
      <w:rPr>
        <w:rFonts w:ascii="Arial" w:hAnsi="Arial" w:cs="Arial"/>
      </w:rPr>
      <w:t xml:space="preserve"> </w:t>
    </w:r>
    <w:r w:rsidRPr="00277CDE">
      <w:rPr>
        <w:rFonts w:ascii="Arial" w:hAnsi="Arial" w:cs="Arial"/>
      </w:rPr>
      <w:fldChar w:fldCharType="begin"/>
    </w:r>
    <w:r w:rsidRPr="00277CDE">
      <w:rPr>
        <w:rFonts w:ascii="Arial" w:hAnsi="Arial" w:cs="Arial"/>
      </w:rPr>
      <w:instrText xml:space="preserve"> </w:instrText>
    </w:r>
    <w:r>
      <w:rPr>
        <w:rFonts w:ascii="Arial" w:hAnsi="Arial" w:cs="Arial"/>
      </w:rPr>
      <w:instrText>NUMPAGES</w:instrText>
    </w:r>
    <w:r w:rsidRPr="00277CDE">
      <w:rPr>
        <w:rFonts w:ascii="Arial" w:hAnsi="Arial" w:cs="Arial"/>
      </w:rPr>
      <w:instrText xml:space="preserve"> </w:instrText>
    </w:r>
    <w:r w:rsidRPr="00277CDE">
      <w:rPr>
        <w:rFonts w:ascii="Arial" w:hAnsi="Arial" w:cs="Arial"/>
      </w:rPr>
      <w:fldChar w:fldCharType="separate"/>
    </w:r>
    <w:r w:rsidR="00DC48BA">
      <w:rPr>
        <w:rFonts w:ascii="Arial" w:hAnsi="Arial" w:cs="Arial"/>
        <w:noProof/>
      </w:rPr>
      <w:t>8</w:t>
    </w:r>
    <w:r w:rsidRPr="00277CDE">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54" w:rsidRDefault="00E41E54" w:rsidP="00C84DD1">
      <w:r>
        <w:separator/>
      </w:r>
    </w:p>
  </w:footnote>
  <w:footnote w:type="continuationSeparator" w:id="0">
    <w:p w:rsidR="00E41E54" w:rsidRDefault="00E41E54" w:rsidP="00C84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D1" w:rsidRDefault="00C84DD1">
    <w:pPr>
      <w:pStyle w:val="En-tte"/>
    </w:pPr>
    <w:r>
      <w:t xml:space="preserve"> </w:t>
    </w:r>
  </w:p>
  <w:tbl>
    <w:tblPr>
      <w:tblW w:w="0" w:type="auto"/>
      <w:tblLook w:val="04A0"/>
    </w:tblPr>
    <w:tblGrid>
      <w:gridCol w:w="1386"/>
      <w:gridCol w:w="7822"/>
    </w:tblGrid>
    <w:tr w:rsidR="00C84DD1" w:rsidRPr="000B76F8">
      <w:tc>
        <w:tcPr>
          <w:tcW w:w="1384" w:type="dxa"/>
          <w:shd w:val="clear" w:color="auto" w:fill="auto"/>
        </w:tcPr>
        <w:p w:rsidR="00C84DD1" w:rsidRPr="000B76F8" w:rsidRDefault="00DC48BA">
          <w:pPr>
            <w:pStyle w:val="En-tte"/>
          </w:pPr>
          <w:r>
            <w:rPr>
              <w:noProof/>
              <w:lang w:val="fr-CH" w:eastAsia="fr-CH"/>
            </w:rPr>
            <w:drawing>
              <wp:inline distT="0" distB="0" distL="0" distR="0">
                <wp:extent cx="723265" cy="389890"/>
                <wp:effectExtent l="19050" t="0" r="635" b="0"/>
                <wp:docPr id="1" name="Image 1" descr="Description : Macintosh HD:Users:carolin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caroline:Desktop:Unknown-1.jpeg"/>
                        <pic:cNvPicPr>
                          <a:picLocks noChangeAspect="1" noChangeArrowheads="1"/>
                        </pic:cNvPicPr>
                      </pic:nvPicPr>
                      <pic:blipFill>
                        <a:blip r:embed="rId1"/>
                        <a:srcRect/>
                        <a:stretch>
                          <a:fillRect/>
                        </a:stretch>
                      </pic:blipFill>
                      <pic:spPr bwMode="auto">
                        <a:xfrm>
                          <a:off x="0" y="0"/>
                          <a:ext cx="723265" cy="389890"/>
                        </a:xfrm>
                        <a:prstGeom prst="rect">
                          <a:avLst/>
                        </a:prstGeom>
                        <a:noFill/>
                        <a:ln w="9525">
                          <a:noFill/>
                          <a:miter lim="800000"/>
                          <a:headEnd/>
                          <a:tailEnd/>
                        </a:ln>
                      </pic:spPr>
                    </pic:pic>
                  </a:graphicData>
                </a:graphic>
              </wp:inline>
            </w:drawing>
          </w:r>
        </w:p>
      </w:tc>
      <w:tc>
        <w:tcPr>
          <w:tcW w:w="7822" w:type="dxa"/>
          <w:shd w:val="clear" w:color="auto" w:fill="auto"/>
        </w:tcPr>
        <w:p w:rsidR="00C84DD1" w:rsidRPr="000B76F8" w:rsidRDefault="00C84DD1">
          <w:pPr>
            <w:pStyle w:val="En-tte"/>
            <w:rPr>
              <w:rFonts w:ascii="Arial" w:hAnsi="Arial" w:cs="Arial"/>
              <w:b/>
              <w:sz w:val="20"/>
              <w:szCs w:val="20"/>
            </w:rPr>
          </w:pPr>
          <w:r w:rsidRPr="000B76F8">
            <w:rPr>
              <w:rFonts w:ascii="Arial" w:hAnsi="Arial" w:cs="Arial"/>
              <w:b/>
              <w:sz w:val="20"/>
              <w:szCs w:val="20"/>
            </w:rPr>
            <w:t>Service de Néphrologie/Hypertension</w:t>
          </w:r>
        </w:p>
        <w:p w:rsidR="00C84DD1" w:rsidRPr="000B76F8" w:rsidRDefault="00C84DD1">
          <w:pPr>
            <w:pStyle w:val="En-tte"/>
            <w:rPr>
              <w:rFonts w:ascii="Arial" w:hAnsi="Arial" w:cs="Arial"/>
              <w:sz w:val="20"/>
              <w:szCs w:val="20"/>
            </w:rPr>
          </w:pPr>
          <w:r w:rsidRPr="000B76F8">
            <w:rPr>
              <w:rFonts w:ascii="Arial" w:hAnsi="Arial" w:cs="Arial"/>
              <w:sz w:val="20"/>
              <w:szCs w:val="20"/>
            </w:rPr>
            <w:t>Rue du Bugnon 17</w:t>
          </w:r>
        </w:p>
        <w:p w:rsidR="00C84DD1" w:rsidRPr="000B76F8" w:rsidRDefault="00C84DD1">
          <w:pPr>
            <w:pStyle w:val="En-tte"/>
            <w:rPr>
              <w:rFonts w:ascii="Arial" w:hAnsi="Arial" w:cs="Arial"/>
            </w:rPr>
          </w:pPr>
          <w:r w:rsidRPr="000B76F8">
            <w:rPr>
              <w:rFonts w:ascii="Arial" w:hAnsi="Arial" w:cs="Arial"/>
              <w:sz w:val="20"/>
              <w:szCs w:val="20"/>
            </w:rPr>
            <w:t>1011 Lausanne</w:t>
          </w:r>
        </w:p>
      </w:tc>
    </w:tr>
  </w:tbl>
  <w:p w:rsidR="00C84DD1" w:rsidRDefault="00C84DD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BAC"/>
    <w:multiLevelType w:val="hybridMultilevel"/>
    <w:tmpl w:val="09C4FF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D51364F"/>
    <w:multiLevelType w:val="hybridMultilevel"/>
    <w:tmpl w:val="B65EAB66"/>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2DD3445F"/>
    <w:multiLevelType w:val="hybridMultilevel"/>
    <w:tmpl w:val="72BABA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15242E5"/>
    <w:multiLevelType w:val="hybridMultilevel"/>
    <w:tmpl w:val="96DC082E"/>
    <w:lvl w:ilvl="0" w:tplc="000F040C">
      <w:start w:val="1"/>
      <w:numFmt w:val="decimal"/>
      <w:lvlText w:val="%1."/>
      <w:lvlJc w:val="left"/>
      <w:pPr>
        <w:tabs>
          <w:tab w:val="num" w:pos="720"/>
        </w:tabs>
        <w:ind w:left="720" w:hanging="360"/>
      </w:pPr>
      <w:rPr>
        <w:rFonts w:hint="default"/>
      </w:r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438056B8"/>
    <w:multiLevelType w:val="hybridMultilevel"/>
    <w:tmpl w:val="2F5C3A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EE148FE"/>
    <w:multiLevelType w:val="hybridMultilevel"/>
    <w:tmpl w:val="FB4EAD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4AC1FC7"/>
    <w:multiLevelType w:val="hybridMultilevel"/>
    <w:tmpl w:val="8F5C37C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6554138E"/>
    <w:multiLevelType w:val="hybridMultilevel"/>
    <w:tmpl w:val="E6A6EF5E"/>
    <w:lvl w:ilvl="0" w:tplc="040C0011">
      <w:start w:val="1"/>
      <w:numFmt w:val="decimal"/>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B6B335C"/>
    <w:multiLevelType w:val="hybridMultilevel"/>
    <w:tmpl w:val="6D863B10"/>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7"/>
  </w:num>
  <w:num w:numId="5">
    <w:abstractNumId w:val="6"/>
  </w:num>
  <w:num w:numId="6">
    <w:abstractNumId w:val="2"/>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FELayout/>
  </w:compat>
  <w:rsids>
    <w:rsidRoot w:val="000B76F8"/>
    <w:rsid w:val="00143545"/>
    <w:rsid w:val="001F2E5B"/>
    <w:rsid w:val="002B4946"/>
    <w:rsid w:val="002E2FC3"/>
    <w:rsid w:val="002F5857"/>
    <w:rsid w:val="0040010E"/>
    <w:rsid w:val="00456244"/>
    <w:rsid w:val="00495733"/>
    <w:rsid w:val="004A6D1B"/>
    <w:rsid w:val="00512783"/>
    <w:rsid w:val="005B6508"/>
    <w:rsid w:val="007B682B"/>
    <w:rsid w:val="0081175D"/>
    <w:rsid w:val="00812F6E"/>
    <w:rsid w:val="008458FA"/>
    <w:rsid w:val="008A29A9"/>
    <w:rsid w:val="008B731E"/>
    <w:rsid w:val="008C54E4"/>
    <w:rsid w:val="008F7688"/>
    <w:rsid w:val="009434A8"/>
    <w:rsid w:val="009B3DC7"/>
    <w:rsid w:val="009F73A0"/>
    <w:rsid w:val="00A60F2B"/>
    <w:rsid w:val="00A85B84"/>
    <w:rsid w:val="00AD45F3"/>
    <w:rsid w:val="00B10D26"/>
    <w:rsid w:val="00B50C9B"/>
    <w:rsid w:val="00B8711F"/>
    <w:rsid w:val="00C84DD1"/>
    <w:rsid w:val="00CC1096"/>
    <w:rsid w:val="00CD4A73"/>
    <w:rsid w:val="00CE0B61"/>
    <w:rsid w:val="00CE73BA"/>
    <w:rsid w:val="00DC48BA"/>
    <w:rsid w:val="00E120DE"/>
    <w:rsid w:val="00E41E54"/>
    <w:rsid w:val="00ED593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
    <w:qFormat/>
    <w:rsid w:val="009F73A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7B682B"/>
    <w:pPr>
      <w:keepNext/>
      <w:autoSpaceDE w:val="0"/>
      <w:autoSpaceDN w:val="0"/>
      <w:adjustRightInd w:val="0"/>
      <w:jc w:val="both"/>
      <w:outlineLvl w:val="1"/>
    </w:pPr>
    <w:rPr>
      <w:rFonts w:ascii="Century Gothic" w:eastAsia="Times New Roman" w:hAnsi="Century Gothic"/>
      <w:b/>
      <w:bCs/>
      <w:lang w:val="en-GB"/>
    </w:rPr>
  </w:style>
  <w:style w:type="paragraph" w:styleId="Titre3">
    <w:name w:val="heading 3"/>
    <w:basedOn w:val="Normal"/>
    <w:next w:val="Normal"/>
    <w:link w:val="Titre3Car"/>
    <w:qFormat/>
    <w:rsid w:val="007B682B"/>
    <w:pPr>
      <w:keepNext/>
      <w:autoSpaceDE w:val="0"/>
      <w:autoSpaceDN w:val="0"/>
      <w:adjustRightInd w:val="0"/>
      <w:jc w:val="both"/>
      <w:outlineLvl w:val="2"/>
    </w:pPr>
    <w:rPr>
      <w:rFonts w:ascii="Century Gothic" w:eastAsia="Times New Roman" w:hAnsi="Century Gothic"/>
      <w:u w:val="single"/>
      <w:lang w:val="en-GB"/>
    </w:rPr>
  </w:style>
  <w:style w:type="paragraph" w:styleId="Titre7">
    <w:name w:val="heading 7"/>
    <w:basedOn w:val="Normal"/>
    <w:next w:val="Normal"/>
    <w:link w:val="Titre7Car"/>
    <w:uiPriority w:val="9"/>
    <w:semiHidden/>
    <w:unhideWhenUsed/>
    <w:qFormat/>
    <w:rsid w:val="004A6D1B"/>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6F8"/>
    <w:rPr>
      <w:rFonts w:ascii="Lucida Grande" w:hAnsi="Lucida Grande"/>
      <w:sz w:val="18"/>
      <w:szCs w:val="18"/>
      <w:lang/>
    </w:rPr>
  </w:style>
  <w:style w:type="character" w:customStyle="1" w:styleId="TextedebullesCar">
    <w:name w:val="Texte de bulles Car"/>
    <w:link w:val="Textedebulles"/>
    <w:uiPriority w:val="99"/>
    <w:semiHidden/>
    <w:rsid w:val="000B76F8"/>
    <w:rPr>
      <w:rFonts w:ascii="Lucida Grande" w:hAnsi="Lucida Grande" w:cs="Lucida Grande"/>
      <w:sz w:val="18"/>
      <w:szCs w:val="18"/>
    </w:rPr>
  </w:style>
  <w:style w:type="paragraph" w:styleId="En-tte">
    <w:name w:val="header"/>
    <w:basedOn w:val="Normal"/>
    <w:link w:val="En-tteCar"/>
    <w:unhideWhenUsed/>
    <w:rsid w:val="000B76F8"/>
    <w:pPr>
      <w:tabs>
        <w:tab w:val="center" w:pos="4536"/>
        <w:tab w:val="right" w:pos="9072"/>
      </w:tabs>
    </w:pPr>
  </w:style>
  <w:style w:type="character" w:customStyle="1" w:styleId="En-tteCar">
    <w:name w:val="En-tête Car"/>
    <w:basedOn w:val="Policepardfaut"/>
    <w:link w:val="En-tte"/>
    <w:uiPriority w:val="99"/>
    <w:rsid w:val="000B76F8"/>
  </w:style>
  <w:style w:type="paragraph" w:styleId="Pieddepage">
    <w:name w:val="footer"/>
    <w:basedOn w:val="Normal"/>
    <w:link w:val="PieddepageCar"/>
    <w:uiPriority w:val="99"/>
    <w:unhideWhenUsed/>
    <w:rsid w:val="000B76F8"/>
    <w:pPr>
      <w:tabs>
        <w:tab w:val="center" w:pos="4536"/>
        <w:tab w:val="right" w:pos="9072"/>
      </w:tabs>
    </w:pPr>
  </w:style>
  <w:style w:type="character" w:customStyle="1" w:styleId="PieddepageCar">
    <w:name w:val="Pied de page Car"/>
    <w:basedOn w:val="Policepardfaut"/>
    <w:link w:val="Pieddepage"/>
    <w:uiPriority w:val="99"/>
    <w:rsid w:val="000B76F8"/>
  </w:style>
  <w:style w:type="table" w:styleId="Grilledutableau">
    <w:name w:val="Table Grid"/>
    <w:basedOn w:val="TableauNormal"/>
    <w:uiPriority w:val="59"/>
    <w:rsid w:val="000B7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7B682B"/>
    <w:rPr>
      <w:rFonts w:ascii="Century Gothic" w:eastAsia="Times New Roman" w:hAnsi="Century Gothic"/>
      <w:b/>
      <w:bCs/>
      <w:sz w:val="24"/>
      <w:szCs w:val="24"/>
      <w:lang w:val="en-GB" w:eastAsia="fr-FR"/>
    </w:rPr>
  </w:style>
  <w:style w:type="character" w:customStyle="1" w:styleId="Titre3Car">
    <w:name w:val="Titre 3 Car"/>
    <w:basedOn w:val="Policepardfaut"/>
    <w:link w:val="Titre3"/>
    <w:rsid w:val="007B682B"/>
    <w:rPr>
      <w:rFonts w:ascii="Century Gothic" w:eastAsia="Times New Roman" w:hAnsi="Century Gothic"/>
      <w:sz w:val="24"/>
      <w:szCs w:val="24"/>
      <w:u w:val="single"/>
      <w:lang w:val="en-GB" w:eastAsia="fr-FR"/>
    </w:rPr>
  </w:style>
  <w:style w:type="paragraph" w:styleId="Corpsdetexte">
    <w:name w:val="Body Text"/>
    <w:basedOn w:val="Normal"/>
    <w:link w:val="CorpsdetexteCar"/>
    <w:semiHidden/>
    <w:rsid w:val="007B682B"/>
    <w:pPr>
      <w:autoSpaceDE w:val="0"/>
      <w:autoSpaceDN w:val="0"/>
      <w:adjustRightInd w:val="0"/>
      <w:jc w:val="both"/>
    </w:pPr>
    <w:rPr>
      <w:rFonts w:ascii="Century Gothic" w:eastAsia="Times New Roman" w:hAnsi="Century Gothic"/>
      <w:lang w:val="en-GB"/>
    </w:rPr>
  </w:style>
  <w:style w:type="character" w:customStyle="1" w:styleId="CorpsdetexteCar">
    <w:name w:val="Corps de texte Car"/>
    <w:basedOn w:val="Policepardfaut"/>
    <w:link w:val="Corpsdetexte"/>
    <w:semiHidden/>
    <w:rsid w:val="007B682B"/>
    <w:rPr>
      <w:rFonts w:ascii="Century Gothic" w:eastAsia="Times New Roman" w:hAnsi="Century Gothic"/>
      <w:sz w:val="24"/>
      <w:szCs w:val="24"/>
      <w:lang w:val="en-GB" w:eastAsia="fr-FR"/>
    </w:rPr>
  </w:style>
  <w:style w:type="paragraph" w:styleId="Corpsdetexte3">
    <w:name w:val="Body Text 3"/>
    <w:basedOn w:val="Normal"/>
    <w:link w:val="Corpsdetexte3Car"/>
    <w:semiHidden/>
    <w:rsid w:val="007B682B"/>
    <w:pPr>
      <w:autoSpaceDE w:val="0"/>
      <w:autoSpaceDN w:val="0"/>
      <w:adjustRightInd w:val="0"/>
      <w:spacing w:line="480" w:lineRule="auto"/>
      <w:jc w:val="both"/>
    </w:pPr>
    <w:rPr>
      <w:rFonts w:ascii="Century Gothic" w:eastAsia="Times New Roman" w:hAnsi="Century Gothic"/>
      <w:sz w:val="20"/>
      <w:lang w:val="en-GB"/>
    </w:rPr>
  </w:style>
  <w:style w:type="character" w:customStyle="1" w:styleId="Corpsdetexte3Car">
    <w:name w:val="Corps de texte 3 Car"/>
    <w:basedOn w:val="Policepardfaut"/>
    <w:link w:val="Corpsdetexte3"/>
    <w:semiHidden/>
    <w:rsid w:val="007B682B"/>
    <w:rPr>
      <w:rFonts w:ascii="Century Gothic" w:eastAsia="Times New Roman" w:hAnsi="Century Gothic"/>
      <w:szCs w:val="24"/>
      <w:lang w:val="en-GB" w:eastAsia="fr-FR"/>
    </w:rPr>
  </w:style>
  <w:style w:type="paragraph" w:styleId="Retraitcorpsdetexte">
    <w:name w:val="Body Text Indent"/>
    <w:basedOn w:val="Normal"/>
    <w:link w:val="RetraitcorpsdetexteCar"/>
    <w:semiHidden/>
    <w:rsid w:val="007B682B"/>
    <w:pPr>
      <w:ind w:left="360"/>
    </w:pPr>
    <w:rPr>
      <w:rFonts w:ascii="Century Gothic" w:eastAsia="Times New Roman" w:hAnsi="Century Gothic"/>
      <w:sz w:val="20"/>
      <w:lang w:val="en-GB"/>
    </w:rPr>
  </w:style>
  <w:style w:type="character" w:customStyle="1" w:styleId="RetraitcorpsdetexteCar">
    <w:name w:val="Retrait corps de texte Car"/>
    <w:basedOn w:val="Policepardfaut"/>
    <w:link w:val="Retraitcorpsdetexte"/>
    <w:semiHidden/>
    <w:rsid w:val="007B682B"/>
    <w:rPr>
      <w:rFonts w:ascii="Century Gothic" w:eastAsia="Times New Roman" w:hAnsi="Century Gothic"/>
      <w:szCs w:val="24"/>
      <w:lang w:val="en-GB" w:eastAsia="fr-FR"/>
    </w:rPr>
  </w:style>
  <w:style w:type="character" w:customStyle="1" w:styleId="Titre1Car">
    <w:name w:val="Titre 1 Car"/>
    <w:basedOn w:val="Policepardfaut"/>
    <w:link w:val="Titre1"/>
    <w:uiPriority w:val="9"/>
    <w:rsid w:val="009F73A0"/>
    <w:rPr>
      <w:rFonts w:ascii="Cambria" w:eastAsia="Times New Roman" w:hAnsi="Cambria" w:cs="Times New Roman"/>
      <w:b/>
      <w:bCs/>
      <w:kern w:val="32"/>
      <w:sz w:val="32"/>
      <w:szCs w:val="32"/>
      <w:lang w:val="fr-FR" w:eastAsia="fr-FR"/>
    </w:rPr>
  </w:style>
  <w:style w:type="paragraph" w:styleId="PrformatHTML">
    <w:name w:val="HTML Preformatted"/>
    <w:basedOn w:val="Normal"/>
    <w:link w:val="PrformatHTMLCar"/>
    <w:semiHidden/>
    <w:rsid w:val="009F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semiHidden/>
    <w:rsid w:val="009F73A0"/>
    <w:rPr>
      <w:rFonts w:ascii="Arial Unicode MS" w:eastAsia="Arial Unicode MS" w:hAnsi="Arial Unicode MS" w:cs="Arial Unicode MS"/>
      <w:lang w:val="fr-FR" w:eastAsia="fr-FR"/>
    </w:rPr>
  </w:style>
  <w:style w:type="character" w:customStyle="1" w:styleId="Titre7Car">
    <w:name w:val="Titre 7 Car"/>
    <w:basedOn w:val="Policepardfaut"/>
    <w:link w:val="Titre7"/>
    <w:uiPriority w:val="9"/>
    <w:semiHidden/>
    <w:rsid w:val="004A6D1B"/>
    <w:rPr>
      <w:rFonts w:ascii="Calibri" w:eastAsia="Times New Roman" w:hAnsi="Calibri" w:cs="Times New Roman"/>
      <w:sz w:val="24"/>
      <w:szCs w:val="24"/>
      <w:lang w:val="fr-FR" w:eastAsia="fr-FR"/>
    </w:rPr>
  </w:style>
  <w:style w:type="paragraph" w:styleId="Corpsdetexte2">
    <w:name w:val="Body Text 2"/>
    <w:basedOn w:val="Normal"/>
    <w:link w:val="Corpsdetexte2Car"/>
    <w:uiPriority w:val="99"/>
    <w:semiHidden/>
    <w:unhideWhenUsed/>
    <w:rsid w:val="004A6D1B"/>
    <w:pPr>
      <w:spacing w:after="120" w:line="480" w:lineRule="auto"/>
    </w:pPr>
  </w:style>
  <w:style w:type="character" w:customStyle="1" w:styleId="Corpsdetexte2Car">
    <w:name w:val="Corps de texte 2 Car"/>
    <w:basedOn w:val="Policepardfaut"/>
    <w:link w:val="Corpsdetexte2"/>
    <w:uiPriority w:val="99"/>
    <w:semiHidden/>
    <w:rsid w:val="004A6D1B"/>
    <w:rPr>
      <w:sz w:val="24"/>
      <w:szCs w:val="24"/>
      <w:lang w:val="fr-FR" w:eastAsia="fr-FR"/>
    </w:rPr>
  </w:style>
  <w:style w:type="paragraph" w:styleId="NormalWeb">
    <w:name w:val="Normal (Web)"/>
    <w:basedOn w:val="Normal"/>
    <w:semiHidden/>
    <w:rsid w:val="004A6D1B"/>
    <w:pPr>
      <w:spacing w:before="100" w:beforeAutospacing="1" w:after="100" w:afterAutospacing="1"/>
    </w:pPr>
    <w:rPr>
      <w:rFonts w:ascii="Arial Unicode MS" w:eastAsia="Arial Unicode MS" w:hAnsi="Arial Unicode MS"/>
      <w:szCs w:val="20"/>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3684</Words>
  <Characters>20263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Dr Daniel TETA, Médecin adjoint, PD &amp; MER</vt:lpstr>
    </vt:vector>
  </TitlesOfParts>
  <Company>CHUV | Centre hospitalier universitaire vaudois</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Daniel TETA, Médecin adjoint, PD &amp; MER</dc:title>
  <dc:subject/>
  <dc:creator>Caroline Surchat</dc:creator>
  <cp:keywords/>
  <cp:lastModifiedBy>Zanchi Delacretaz Anne</cp:lastModifiedBy>
  <cp:revision>2</cp:revision>
  <cp:lastPrinted>2014-03-06T11:42:00Z</cp:lastPrinted>
  <dcterms:created xsi:type="dcterms:W3CDTF">2014-03-12T08:53:00Z</dcterms:created>
  <dcterms:modified xsi:type="dcterms:W3CDTF">2014-03-12T08:53:00Z</dcterms:modified>
</cp:coreProperties>
</file>