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18" w:type="dxa"/>
        <w:tblBorders>
          <w:top w:val="single" w:sz="8" w:space="0" w:color="000000"/>
          <w:bottom w:val="single" w:sz="8" w:space="0" w:color="000000"/>
        </w:tblBorders>
        <w:tblLook w:val="04A0" w:firstRow="1" w:lastRow="0" w:firstColumn="1" w:lastColumn="0" w:noHBand="0" w:noVBand="1"/>
      </w:tblPr>
      <w:tblGrid>
        <w:gridCol w:w="1877"/>
        <w:gridCol w:w="2784"/>
        <w:gridCol w:w="2165"/>
        <w:gridCol w:w="2268"/>
        <w:gridCol w:w="2624"/>
      </w:tblGrid>
      <w:tr w:rsidR="00A722AF" w:rsidRPr="005E24C3" w:rsidTr="00A722AF">
        <w:trPr>
          <w:trHeight w:val="300"/>
        </w:trPr>
        <w:tc>
          <w:tcPr>
            <w:tcW w:w="11718" w:type="dxa"/>
            <w:gridSpan w:val="5"/>
            <w:tcBorders>
              <w:top w:val="single" w:sz="24" w:space="0" w:color="auto"/>
              <w:bottom w:val="nil"/>
            </w:tcBorders>
            <w:shd w:val="clear" w:color="auto" w:fill="auto"/>
            <w:noWrap/>
          </w:tcPr>
          <w:p w:rsidR="00A722AF" w:rsidRPr="005E24C3" w:rsidRDefault="00A722AF" w:rsidP="00A722AF">
            <w:pPr>
              <w:rPr>
                <w:rFonts w:ascii="Arial" w:hAnsi="Arial"/>
                <w:b/>
                <w:color w:val="000000"/>
                <w:szCs w:val="18"/>
              </w:rPr>
            </w:pPr>
            <w:r>
              <w:rPr>
                <w:rFonts w:ascii="Arial" w:hAnsi="Arial"/>
                <w:b/>
                <w:color w:val="000000"/>
                <w:szCs w:val="18"/>
              </w:rPr>
              <w:t>Table S5</w:t>
            </w:r>
            <w:r w:rsidRPr="005E24C3">
              <w:rPr>
                <w:rFonts w:ascii="Arial" w:hAnsi="Arial"/>
                <w:b/>
                <w:color w:val="000000"/>
                <w:szCs w:val="18"/>
              </w:rPr>
              <w:t>.</w:t>
            </w:r>
            <w:r w:rsidRPr="005E24C3">
              <w:rPr>
                <w:rFonts w:ascii="Arial" w:hAnsi="Arial"/>
                <w:color w:val="000000"/>
                <w:szCs w:val="18"/>
              </w:rPr>
              <w:t xml:space="preserve"> Synchrony of the peak week of meningococcal disease and influenza hospitalizations by state</w:t>
            </w:r>
          </w:p>
        </w:tc>
      </w:tr>
      <w:tr w:rsidR="00A722AF" w:rsidRPr="005E24C3" w:rsidTr="00A722AF">
        <w:trPr>
          <w:trHeight w:val="300"/>
        </w:trPr>
        <w:tc>
          <w:tcPr>
            <w:tcW w:w="1877" w:type="dxa"/>
            <w:tcBorders>
              <w:top w:val="single" w:sz="8" w:space="0" w:color="auto"/>
              <w:bottom w:val="nil"/>
            </w:tcBorders>
            <w:shd w:val="clear" w:color="auto" w:fill="auto"/>
            <w:noWrap/>
          </w:tcPr>
          <w:p w:rsidR="00A722AF" w:rsidRPr="005E24C3" w:rsidRDefault="00A722AF" w:rsidP="00A722AF">
            <w:pPr>
              <w:jc w:val="center"/>
              <w:rPr>
                <w:rFonts w:ascii="Arial" w:hAnsi="Arial"/>
                <w:b/>
                <w:color w:val="000000"/>
                <w:sz w:val="20"/>
                <w:szCs w:val="18"/>
              </w:rPr>
            </w:pPr>
          </w:p>
        </w:tc>
        <w:tc>
          <w:tcPr>
            <w:tcW w:w="2784" w:type="dxa"/>
            <w:tcBorders>
              <w:top w:val="single" w:sz="8" w:space="0" w:color="auto"/>
              <w:bottom w:val="nil"/>
            </w:tcBorders>
            <w:shd w:val="clear" w:color="auto" w:fill="auto"/>
            <w:noWrap/>
          </w:tcPr>
          <w:p w:rsidR="00A722AF" w:rsidRPr="005E24C3" w:rsidRDefault="00A722AF" w:rsidP="00A722AF">
            <w:pPr>
              <w:jc w:val="center"/>
              <w:rPr>
                <w:rFonts w:ascii="Arial" w:hAnsi="Arial"/>
                <w:b/>
                <w:color w:val="000000"/>
                <w:sz w:val="20"/>
                <w:szCs w:val="18"/>
              </w:rPr>
            </w:pPr>
            <w:r w:rsidRPr="005E24C3">
              <w:rPr>
                <w:rFonts w:ascii="Arial" w:hAnsi="Arial"/>
                <w:b/>
                <w:color w:val="000000"/>
                <w:sz w:val="20"/>
                <w:szCs w:val="18"/>
              </w:rPr>
              <w:t>Correlation coefficient</w:t>
            </w:r>
          </w:p>
        </w:tc>
        <w:tc>
          <w:tcPr>
            <w:tcW w:w="2165" w:type="dxa"/>
            <w:tcBorders>
              <w:top w:val="single" w:sz="8" w:space="0" w:color="auto"/>
              <w:bottom w:val="nil"/>
            </w:tcBorders>
            <w:shd w:val="clear" w:color="auto" w:fill="auto"/>
            <w:noWrap/>
          </w:tcPr>
          <w:p w:rsidR="00A722AF" w:rsidRPr="005E24C3" w:rsidRDefault="00A722AF" w:rsidP="00A722AF">
            <w:pPr>
              <w:jc w:val="center"/>
              <w:rPr>
                <w:rFonts w:ascii="Arial" w:hAnsi="Arial"/>
                <w:b/>
                <w:color w:val="000000"/>
                <w:sz w:val="20"/>
                <w:szCs w:val="18"/>
                <w:vertAlign w:val="superscript"/>
              </w:rPr>
            </w:pPr>
            <w:r w:rsidRPr="005E24C3">
              <w:rPr>
                <w:rFonts w:ascii="Arial" w:hAnsi="Arial"/>
                <w:b/>
                <w:color w:val="000000"/>
                <w:sz w:val="20"/>
                <w:szCs w:val="18"/>
              </w:rPr>
              <w:t>Number of weeks</w:t>
            </w:r>
          </w:p>
        </w:tc>
        <w:tc>
          <w:tcPr>
            <w:tcW w:w="2268" w:type="dxa"/>
            <w:tcBorders>
              <w:top w:val="single" w:sz="8" w:space="0" w:color="auto"/>
              <w:bottom w:val="nil"/>
            </w:tcBorders>
            <w:shd w:val="clear" w:color="auto" w:fill="auto"/>
            <w:noWrap/>
          </w:tcPr>
          <w:p w:rsidR="00A722AF" w:rsidRPr="005E24C3" w:rsidRDefault="00A722AF" w:rsidP="00A722AF">
            <w:pPr>
              <w:jc w:val="center"/>
              <w:rPr>
                <w:rFonts w:ascii="Arial" w:hAnsi="Arial"/>
                <w:b/>
                <w:color w:val="000000"/>
                <w:sz w:val="20"/>
                <w:szCs w:val="18"/>
                <w:vertAlign w:val="superscript"/>
              </w:rPr>
            </w:pPr>
            <w:r w:rsidRPr="005E24C3">
              <w:rPr>
                <w:rFonts w:ascii="Arial" w:hAnsi="Arial"/>
                <w:b/>
                <w:color w:val="000000"/>
                <w:sz w:val="20"/>
                <w:szCs w:val="18"/>
              </w:rPr>
              <w:t>Number of</w:t>
            </w:r>
          </w:p>
        </w:tc>
        <w:tc>
          <w:tcPr>
            <w:tcW w:w="2624" w:type="dxa"/>
            <w:tcBorders>
              <w:top w:val="single" w:sz="8" w:space="0" w:color="auto"/>
              <w:bottom w:val="nil"/>
            </w:tcBorders>
            <w:shd w:val="clear" w:color="auto" w:fill="auto"/>
            <w:noWrap/>
          </w:tcPr>
          <w:p w:rsidR="00A722AF" w:rsidRPr="005E24C3" w:rsidRDefault="00A722AF" w:rsidP="00A722AF">
            <w:pPr>
              <w:jc w:val="center"/>
              <w:rPr>
                <w:rFonts w:ascii="Arial" w:hAnsi="Arial"/>
                <w:b/>
                <w:color w:val="000000"/>
                <w:sz w:val="20"/>
                <w:szCs w:val="18"/>
              </w:rPr>
            </w:pPr>
            <w:r w:rsidRPr="005E24C3">
              <w:rPr>
                <w:rFonts w:ascii="Arial" w:hAnsi="Arial"/>
                <w:b/>
                <w:color w:val="000000"/>
                <w:sz w:val="20"/>
                <w:szCs w:val="18"/>
              </w:rPr>
              <w:t>Mean weekly MD cases</w:t>
            </w:r>
          </w:p>
        </w:tc>
      </w:tr>
      <w:tr w:rsidR="00A722AF" w:rsidRPr="005E24C3" w:rsidTr="00A722AF">
        <w:trPr>
          <w:trHeight w:val="300"/>
        </w:trPr>
        <w:tc>
          <w:tcPr>
            <w:tcW w:w="1877" w:type="dxa"/>
            <w:tcBorders>
              <w:top w:val="nil"/>
              <w:bottom w:val="single" w:sz="8" w:space="0" w:color="auto"/>
            </w:tcBorders>
            <w:shd w:val="clear" w:color="auto" w:fill="auto"/>
            <w:noWrap/>
          </w:tcPr>
          <w:p w:rsidR="00A722AF" w:rsidRPr="005E24C3" w:rsidRDefault="00A722AF" w:rsidP="00A722AF">
            <w:pPr>
              <w:jc w:val="center"/>
              <w:rPr>
                <w:rFonts w:ascii="Arial" w:hAnsi="Arial"/>
                <w:b/>
                <w:color w:val="000000"/>
                <w:sz w:val="20"/>
                <w:szCs w:val="18"/>
              </w:rPr>
            </w:pPr>
            <w:r w:rsidRPr="005E24C3">
              <w:rPr>
                <w:rFonts w:ascii="Arial" w:hAnsi="Arial"/>
                <w:b/>
                <w:color w:val="000000"/>
                <w:sz w:val="20"/>
                <w:szCs w:val="18"/>
              </w:rPr>
              <w:t>State</w:t>
            </w:r>
          </w:p>
        </w:tc>
        <w:tc>
          <w:tcPr>
            <w:tcW w:w="2784" w:type="dxa"/>
            <w:tcBorders>
              <w:top w:val="nil"/>
              <w:bottom w:val="single" w:sz="8" w:space="0" w:color="auto"/>
            </w:tcBorders>
            <w:shd w:val="clear" w:color="auto" w:fill="auto"/>
            <w:noWrap/>
          </w:tcPr>
          <w:p w:rsidR="00A722AF" w:rsidRPr="005E24C3" w:rsidRDefault="00A722AF" w:rsidP="00A722AF">
            <w:pPr>
              <w:jc w:val="center"/>
              <w:rPr>
                <w:rFonts w:ascii="Arial" w:hAnsi="Arial"/>
                <w:b/>
                <w:color w:val="000000"/>
                <w:sz w:val="20"/>
                <w:szCs w:val="18"/>
              </w:rPr>
            </w:pPr>
            <w:r w:rsidRPr="005E24C3">
              <w:rPr>
                <w:rFonts w:ascii="Arial" w:hAnsi="Arial"/>
                <w:b/>
                <w:color w:val="000000"/>
                <w:sz w:val="20"/>
                <w:szCs w:val="18"/>
              </w:rPr>
              <w:t>(</w:t>
            </w:r>
            <w:r w:rsidRPr="005E24C3">
              <w:rPr>
                <w:rFonts w:ascii="Arial" w:hAnsi="Arial"/>
                <w:b/>
                <w:i/>
                <w:color w:val="000000"/>
                <w:sz w:val="20"/>
                <w:szCs w:val="18"/>
              </w:rPr>
              <w:t xml:space="preserve">P </w:t>
            </w:r>
            <w:r w:rsidRPr="005E24C3">
              <w:rPr>
                <w:rFonts w:ascii="Arial" w:hAnsi="Arial"/>
                <w:b/>
                <w:color w:val="000000"/>
                <w:sz w:val="20"/>
                <w:szCs w:val="18"/>
              </w:rPr>
              <w:t>value)</w:t>
            </w:r>
          </w:p>
        </w:tc>
        <w:tc>
          <w:tcPr>
            <w:tcW w:w="2165" w:type="dxa"/>
            <w:tcBorders>
              <w:top w:val="nil"/>
              <w:bottom w:val="single" w:sz="8" w:space="0" w:color="auto"/>
            </w:tcBorders>
            <w:shd w:val="clear" w:color="auto" w:fill="auto"/>
            <w:noWrap/>
          </w:tcPr>
          <w:p w:rsidR="00A722AF" w:rsidRPr="005E24C3" w:rsidRDefault="00A722AF" w:rsidP="00A722AF">
            <w:pPr>
              <w:jc w:val="center"/>
              <w:rPr>
                <w:rFonts w:ascii="Arial" w:hAnsi="Arial"/>
                <w:b/>
                <w:color w:val="000000"/>
                <w:sz w:val="20"/>
                <w:szCs w:val="18"/>
                <w:vertAlign w:val="superscript"/>
              </w:rPr>
            </w:pPr>
            <w:proofErr w:type="spellStart"/>
            <w:proofErr w:type="gramStart"/>
            <w:r w:rsidRPr="005E24C3">
              <w:rPr>
                <w:rFonts w:ascii="Arial" w:hAnsi="Arial"/>
                <w:b/>
                <w:color w:val="000000"/>
                <w:sz w:val="20"/>
                <w:szCs w:val="18"/>
              </w:rPr>
              <w:t>included</w:t>
            </w:r>
            <w:r w:rsidRPr="005E24C3">
              <w:rPr>
                <w:rFonts w:ascii="Arial" w:hAnsi="Arial"/>
                <w:b/>
                <w:color w:val="000000"/>
                <w:sz w:val="20"/>
                <w:szCs w:val="18"/>
                <w:vertAlign w:val="superscript"/>
              </w:rPr>
              <w:t>a</w:t>
            </w:r>
            <w:proofErr w:type="spellEnd"/>
            <w:proofErr w:type="gramEnd"/>
          </w:p>
        </w:tc>
        <w:tc>
          <w:tcPr>
            <w:tcW w:w="2268" w:type="dxa"/>
            <w:tcBorders>
              <w:top w:val="nil"/>
              <w:bottom w:val="single" w:sz="8" w:space="0" w:color="auto"/>
            </w:tcBorders>
            <w:shd w:val="clear" w:color="auto" w:fill="auto"/>
            <w:noWrap/>
          </w:tcPr>
          <w:p w:rsidR="00A722AF" w:rsidRPr="00375627" w:rsidRDefault="00A722AF" w:rsidP="00A722AF">
            <w:pPr>
              <w:jc w:val="center"/>
              <w:rPr>
                <w:rFonts w:ascii="Arial" w:hAnsi="Arial"/>
                <w:b/>
                <w:color w:val="000000"/>
                <w:sz w:val="20"/>
                <w:szCs w:val="18"/>
                <w:vertAlign w:val="superscript"/>
              </w:rPr>
            </w:pPr>
            <w:proofErr w:type="gramStart"/>
            <w:r w:rsidRPr="005E24C3">
              <w:rPr>
                <w:rFonts w:ascii="Arial" w:hAnsi="Arial"/>
                <w:b/>
                <w:color w:val="000000"/>
                <w:sz w:val="20"/>
                <w:szCs w:val="18"/>
              </w:rPr>
              <w:t>seasons</w:t>
            </w:r>
            <w:proofErr w:type="gramEnd"/>
            <w:r w:rsidRPr="005E24C3">
              <w:rPr>
                <w:rFonts w:ascii="Arial" w:hAnsi="Arial"/>
                <w:b/>
                <w:color w:val="000000"/>
                <w:sz w:val="20"/>
                <w:szCs w:val="18"/>
              </w:rPr>
              <w:t xml:space="preserve"> </w:t>
            </w:r>
            <w:proofErr w:type="spellStart"/>
            <w:r w:rsidRPr="005E24C3">
              <w:rPr>
                <w:rFonts w:ascii="Arial" w:hAnsi="Arial"/>
                <w:b/>
                <w:color w:val="000000"/>
                <w:sz w:val="20"/>
                <w:szCs w:val="18"/>
              </w:rPr>
              <w:t>included</w:t>
            </w:r>
            <w:r>
              <w:rPr>
                <w:rFonts w:ascii="Arial" w:hAnsi="Arial"/>
                <w:b/>
                <w:color w:val="000000"/>
                <w:sz w:val="20"/>
                <w:szCs w:val="18"/>
                <w:vertAlign w:val="superscript"/>
              </w:rPr>
              <w:t>b</w:t>
            </w:r>
            <w:proofErr w:type="spellEnd"/>
          </w:p>
        </w:tc>
        <w:tc>
          <w:tcPr>
            <w:tcW w:w="2624" w:type="dxa"/>
            <w:tcBorders>
              <w:top w:val="nil"/>
              <w:bottom w:val="single" w:sz="8" w:space="0" w:color="auto"/>
            </w:tcBorders>
            <w:shd w:val="clear" w:color="auto" w:fill="auto"/>
            <w:noWrap/>
          </w:tcPr>
          <w:p w:rsidR="00A722AF" w:rsidRPr="005E24C3" w:rsidRDefault="00A722AF" w:rsidP="00A722AF">
            <w:pPr>
              <w:jc w:val="center"/>
              <w:rPr>
                <w:rFonts w:ascii="Arial" w:hAnsi="Arial"/>
                <w:b/>
                <w:color w:val="000000"/>
                <w:sz w:val="20"/>
                <w:szCs w:val="18"/>
              </w:rPr>
            </w:pPr>
            <w:proofErr w:type="gramStart"/>
            <w:r w:rsidRPr="005E24C3">
              <w:rPr>
                <w:rFonts w:ascii="Arial" w:hAnsi="Arial"/>
                <w:b/>
                <w:color w:val="000000"/>
                <w:sz w:val="20"/>
                <w:szCs w:val="18"/>
              </w:rPr>
              <w:t>over</w:t>
            </w:r>
            <w:proofErr w:type="gramEnd"/>
            <w:r w:rsidRPr="005E24C3">
              <w:rPr>
                <w:rFonts w:ascii="Arial" w:hAnsi="Arial"/>
                <w:b/>
                <w:color w:val="000000"/>
                <w:sz w:val="20"/>
                <w:szCs w:val="18"/>
              </w:rPr>
              <w:t xml:space="preserve"> 20 year period</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Wisconsin</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0.28 (.14)</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30</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18</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1.5</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Tennessee</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0.31 (.18)</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21</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12</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1.7</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Georgia</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-0.21 (.33)</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23</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11</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1.8</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New Jersey</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0.18 (.41)</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23</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18</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2.0</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Missouri</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-0.48 (.07)</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15</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10</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2.2</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Oregon</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0.36 (.16)</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17</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10</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2.4</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Washington</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0.48 (.03)</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20</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15</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2.8</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New York</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-0.63 (.18)</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6</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5</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3.3</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Illinois</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-0.35 (.32)</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10</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10</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3.5</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Texas</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0.83 (.02)</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7</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5</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4.1</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Pennsylvania</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0.77 (.01)</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10</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8</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5.3</w:t>
            </w:r>
          </w:p>
        </w:tc>
      </w:tr>
      <w:tr w:rsidR="00A722AF" w:rsidRPr="005E24C3" w:rsidTr="00A722AF">
        <w:trPr>
          <w:trHeight w:val="300"/>
        </w:trPr>
        <w:tc>
          <w:tcPr>
            <w:tcW w:w="1877"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Florida</w:t>
            </w:r>
          </w:p>
        </w:tc>
        <w:tc>
          <w:tcPr>
            <w:tcW w:w="278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0.96 (.002)</w:t>
            </w:r>
          </w:p>
        </w:tc>
        <w:tc>
          <w:tcPr>
            <w:tcW w:w="2165"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6</w:t>
            </w:r>
          </w:p>
        </w:tc>
        <w:tc>
          <w:tcPr>
            <w:tcW w:w="2268"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4</w:t>
            </w:r>
          </w:p>
        </w:tc>
        <w:tc>
          <w:tcPr>
            <w:tcW w:w="2624" w:type="dxa"/>
            <w:tcBorders>
              <w:top w:val="single" w:sz="8" w:space="0" w:color="auto"/>
              <w:bottom w:val="single" w:sz="8" w:space="0" w:color="auto"/>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7.0</w:t>
            </w:r>
          </w:p>
        </w:tc>
      </w:tr>
      <w:tr w:rsidR="00A722AF" w:rsidRPr="005E24C3" w:rsidTr="00A722AF">
        <w:trPr>
          <w:trHeight w:val="300"/>
        </w:trPr>
        <w:tc>
          <w:tcPr>
            <w:tcW w:w="1877" w:type="dxa"/>
            <w:tcBorders>
              <w:top w:val="single" w:sz="8" w:space="0" w:color="auto"/>
              <w:bottom w:val="single" w:sz="8" w:space="0" w:color="000000"/>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California</w:t>
            </w:r>
          </w:p>
        </w:tc>
        <w:tc>
          <w:tcPr>
            <w:tcW w:w="2784" w:type="dxa"/>
            <w:tcBorders>
              <w:top w:val="single" w:sz="8" w:space="0" w:color="auto"/>
              <w:bottom w:val="single" w:sz="8" w:space="0" w:color="000000"/>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0.87 (&lt;</w:t>
            </w:r>
            <w:proofErr w:type="gramStart"/>
            <w:r w:rsidRPr="005E24C3">
              <w:rPr>
                <w:rFonts w:ascii="Arial" w:hAnsi="Arial"/>
                <w:color w:val="000000"/>
                <w:sz w:val="20"/>
                <w:szCs w:val="18"/>
              </w:rPr>
              <w:t>.001</w:t>
            </w:r>
            <w:proofErr w:type="gramEnd"/>
            <w:r w:rsidRPr="005E24C3">
              <w:rPr>
                <w:rFonts w:ascii="Arial" w:hAnsi="Arial"/>
                <w:color w:val="000000"/>
                <w:sz w:val="20"/>
                <w:szCs w:val="18"/>
              </w:rPr>
              <w:t>)</w:t>
            </w:r>
          </w:p>
        </w:tc>
        <w:tc>
          <w:tcPr>
            <w:tcW w:w="2165" w:type="dxa"/>
            <w:tcBorders>
              <w:top w:val="single" w:sz="8" w:space="0" w:color="auto"/>
              <w:bottom w:val="single" w:sz="8" w:space="0" w:color="000000"/>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16</w:t>
            </w:r>
          </w:p>
        </w:tc>
        <w:tc>
          <w:tcPr>
            <w:tcW w:w="2268" w:type="dxa"/>
            <w:tcBorders>
              <w:top w:val="single" w:sz="8" w:space="0" w:color="auto"/>
              <w:bottom w:val="single" w:sz="8" w:space="0" w:color="000000"/>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15</w:t>
            </w:r>
          </w:p>
        </w:tc>
        <w:tc>
          <w:tcPr>
            <w:tcW w:w="2624" w:type="dxa"/>
            <w:tcBorders>
              <w:top w:val="single" w:sz="8" w:space="0" w:color="auto"/>
              <w:bottom w:val="single" w:sz="8" w:space="0" w:color="000000"/>
            </w:tcBorders>
            <w:shd w:val="clear" w:color="auto" w:fill="auto"/>
            <w:noWrap/>
          </w:tcPr>
          <w:p w:rsidR="00A722AF" w:rsidRPr="005E24C3" w:rsidRDefault="00A722AF" w:rsidP="00A722AF">
            <w:pPr>
              <w:jc w:val="center"/>
              <w:rPr>
                <w:rFonts w:ascii="Arial" w:hAnsi="Arial"/>
                <w:color w:val="000000"/>
                <w:sz w:val="20"/>
                <w:szCs w:val="18"/>
              </w:rPr>
            </w:pPr>
            <w:r w:rsidRPr="005E24C3">
              <w:rPr>
                <w:rFonts w:ascii="Arial" w:hAnsi="Arial"/>
                <w:color w:val="000000"/>
                <w:sz w:val="20"/>
                <w:szCs w:val="18"/>
              </w:rPr>
              <w:t>14.0</w:t>
            </w:r>
          </w:p>
        </w:tc>
      </w:tr>
    </w:tbl>
    <w:p w:rsidR="00A722AF" w:rsidRDefault="00A722AF" w:rsidP="00A722AF">
      <w:pPr>
        <w:rPr>
          <w:rFonts w:ascii="Arial" w:hAnsi="Arial"/>
          <w:sz w:val="16"/>
          <w:vertAlign w:val="superscript"/>
        </w:rPr>
      </w:pPr>
    </w:p>
    <w:p w:rsidR="00A722AF" w:rsidRPr="005E24C3" w:rsidRDefault="00A722AF" w:rsidP="00A722AF">
      <w:pPr>
        <w:rPr>
          <w:rFonts w:ascii="Arial" w:hAnsi="Arial"/>
          <w:sz w:val="16"/>
        </w:rPr>
      </w:pPr>
      <w:bookmarkStart w:id="0" w:name="_GoBack"/>
      <w:bookmarkEnd w:id="0"/>
      <w:proofErr w:type="spellStart"/>
      <w:r w:rsidRPr="005E24C3">
        <w:rPr>
          <w:rFonts w:ascii="Arial" w:hAnsi="Arial"/>
          <w:sz w:val="16"/>
          <w:vertAlign w:val="superscript"/>
        </w:rPr>
        <w:t>a</w:t>
      </w:r>
      <w:r w:rsidRPr="005E24C3">
        <w:rPr>
          <w:rFonts w:ascii="Arial" w:hAnsi="Arial"/>
          <w:sz w:val="16"/>
        </w:rPr>
        <w:t>The</w:t>
      </w:r>
      <w:proofErr w:type="spellEnd"/>
      <w:r w:rsidRPr="005E24C3">
        <w:rPr>
          <w:rFonts w:ascii="Arial" w:hAnsi="Arial"/>
          <w:sz w:val="16"/>
        </w:rPr>
        <w:t xml:space="preserve"> number of </w:t>
      </w:r>
      <w:r>
        <w:rPr>
          <w:rFonts w:ascii="Arial" w:hAnsi="Arial"/>
          <w:sz w:val="16"/>
        </w:rPr>
        <w:t xml:space="preserve">weeks </w:t>
      </w:r>
      <w:r w:rsidRPr="005E24C3">
        <w:rPr>
          <w:rFonts w:ascii="Arial" w:hAnsi="Arial"/>
          <w:sz w:val="16"/>
        </w:rPr>
        <w:t>included in the correlation</w:t>
      </w:r>
      <w:r>
        <w:rPr>
          <w:rFonts w:ascii="Arial" w:hAnsi="Arial"/>
          <w:sz w:val="16"/>
        </w:rPr>
        <w:t xml:space="preserve"> analysis</w:t>
      </w:r>
      <w:r w:rsidRPr="005E24C3">
        <w:rPr>
          <w:rFonts w:ascii="Arial" w:hAnsi="Arial"/>
          <w:sz w:val="16"/>
        </w:rPr>
        <w:t xml:space="preserve">.  All MD weeks that were tied were </w:t>
      </w:r>
      <w:r>
        <w:rPr>
          <w:rFonts w:ascii="Arial" w:hAnsi="Arial"/>
          <w:sz w:val="16"/>
        </w:rPr>
        <w:t>included</w:t>
      </w:r>
      <w:r w:rsidRPr="005E24C3">
        <w:rPr>
          <w:rFonts w:ascii="Arial" w:hAnsi="Arial"/>
          <w:sz w:val="16"/>
        </w:rPr>
        <w:t>.  As the average numb</w:t>
      </w:r>
      <w:r>
        <w:rPr>
          <w:rFonts w:ascii="Arial" w:hAnsi="Arial"/>
          <w:sz w:val="16"/>
        </w:rPr>
        <w:t xml:space="preserve">er of weekly MD cases decreases, </w:t>
      </w:r>
      <w:r w:rsidRPr="005E24C3">
        <w:rPr>
          <w:rFonts w:ascii="Arial" w:hAnsi="Arial"/>
          <w:sz w:val="16"/>
        </w:rPr>
        <w:t xml:space="preserve">the number of observations increases </w:t>
      </w:r>
      <w:r>
        <w:rPr>
          <w:rFonts w:ascii="Arial" w:hAnsi="Arial"/>
          <w:sz w:val="16"/>
        </w:rPr>
        <w:t>because the 5-</w:t>
      </w:r>
      <w:r w:rsidRPr="005E24C3">
        <w:rPr>
          <w:rFonts w:ascii="Arial" w:hAnsi="Arial"/>
          <w:sz w:val="16"/>
        </w:rPr>
        <w:t xml:space="preserve">week moving average results in more tied weeks.  </w:t>
      </w:r>
    </w:p>
    <w:p w:rsidR="00A722AF" w:rsidRPr="005E24C3" w:rsidRDefault="00A722AF" w:rsidP="00A722AF">
      <w:pPr>
        <w:rPr>
          <w:rFonts w:ascii="Arial" w:hAnsi="Arial"/>
          <w:sz w:val="16"/>
        </w:rPr>
      </w:pPr>
      <w:proofErr w:type="spellStart"/>
      <w:proofErr w:type="gramStart"/>
      <w:r w:rsidRPr="005E24C3">
        <w:rPr>
          <w:rFonts w:ascii="Arial" w:hAnsi="Arial"/>
          <w:sz w:val="16"/>
          <w:vertAlign w:val="superscript"/>
        </w:rPr>
        <w:t>b</w:t>
      </w:r>
      <w:r w:rsidRPr="005E24C3">
        <w:rPr>
          <w:rFonts w:ascii="Arial" w:hAnsi="Arial"/>
          <w:sz w:val="16"/>
        </w:rPr>
        <w:t>The</w:t>
      </w:r>
      <w:proofErr w:type="spellEnd"/>
      <w:proofErr w:type="gramEnd"/>
      <w:r w:rsidRPr="005E24C3">
        <w:rPr>
          <w:rFonts w:ascii="Arial" w:hAnsi="Arial"/>
          <w:sz w:val="16"/>
        </w:rPr>
        <w:t xml:space="preserve"> number of </w:t>
      </w:r>
      <w:r>
        <w:rPr>
          <w:rFonts w:ascii="Arial" w:hAnsi="Arial"/>
          <w:sz w:val="16"/>
        </w:rPr>
        <w:t>seasons</w:t>
      </w:r>
      <w:r w:rsidRPr="005E24C3">
        <w:rPr>
          <w:rFonts w:ascii="Arial" w:hAnsi="Arial"/>
          <w:sz w:val="16"/>
        </w:rPr>
        <w:t xml:space="preserve"> included in the study is influenced both by the time contributed to the SID by the state and the number of years when the peak number of cases was greater than 3.5% of the annual cases in that state.  </w:t>
      </w:r>
    </w:p>
    <w:p w:rsidR="003B00F8" w:rsidRDefault="003B00F8"/>
    <w:sectPr w:rsidR="003B00F8" w:rsidSect="00A722AF">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AF"/>
    <w:rsid w:val="003B00F8"/>
    <w:rsid w:val="00A722AF"/>
    <w:rsid w:val="00EB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EC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965</Characters>
  <Application>Microsoft Macintosh Word</Application>
  <DocSecurity>0</DocSecurity>
  <Lines>8</Lines>
  <Paragraphs>2</Paragraphs>
  <ScaleCrop>false</ScaleCrop>
  <Company>Harvard School of Public Health</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Lipsitch</dc:creator>
  <cp:keywords/>
  <dc:description/>
  <cp:lastModifiedBy>Marc Lipsitch</cp:lastModifiedBy>
  <cp:revision>1</cp:revision>
  <dcterms:created xsi:type="dcterms:W3CDTF">2014-09-04T21:01:00Z</dcterms:created>
  <dcterms:modified xsi:type="dcterms:W3CDTF">2014-09-04T21:03:00Z</dcterms:modified>
</cp:coreProperties>
</file>