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AE" w:rsidRDefault="00DA025D" w:rsidP="000A4B43">
      <w:pPr>
        <w:spacing w:after="0" w:line="360" w:lineRule="auto"/>
        <w:rPr>
          <w:rFonts w:ascii="Arial" w:hAnsi="Arial" w:cs="Arial"/>
          <w:b/>
          <w:lang w:val="en-CA"/>
        </w:rPr>
      </w:pPr>
      <w:r>
        <w:rPr>
          <w:rFonts w:ascii="Arial" w:hAnsi="Arial" w:cs="Arial"/>
          <w:b/>
          <w:lang w:val="en-CA"/>
        </w:rPr>
        <w:t>Text</w:t>
      </w:r>
      <w:bookmarkStart w:id="0" w:name="_GoBack"/>
      <w:bookmarkEnd w:id="0"/>
      <w:r w:rsidR="00946073">
        <w:rPr>
          <w:rFonts w:ascii="Arial" w:hAnsi="Arial" w:cs="Arial"/>
          <w:b/>
          <w:lang w:val="en-CA"/>
        </w:rPr>
        <w:t xml:space="preserve"> S1</w:t>
      </w:r>
      <w:r w:rsidR="00D736AE" w:rsidRPr="00D776B5">
        <w:rPr>
          <w:rFonts w:ascii="Arial" w:hAnsi="Arial" w:cs="Arial"/>
          <w:b/>
          <w:lang w:val="en-CA"/>
        </w:rPr>
        <w:t>:  Population and deliveries estimates</w:t>
      </w:r>
    </w:p>
    <w:p w:rsidR="00D736AE" w:rsidRDefault="00D736AE" w:rsidP="001E2D4E">
      <w:pPr>
        <w:spacing w:after="0" w:line="360" w:lineRule="auto"/>
        <w:jc w:val="both"/>
        <w:rPr>
          <w:rFonts w:ascii="Arial" w:hAnsi="Arial" w:cs="Arial"/>
          <w:u w:val="single"/>
          <w:lang w:val="en-CA"/>
        </w:rPr>
      </w:pPr>
      <w:r>
        <w:rPr>
          <w:rFonts w:ascii="Arial" w:hAnsi="Arial" w:cs="Arial"/>
          <w:u w:val="single"/>
          <w:lang w:val="en-CA"/>
        </w:rPr>
        <w:t>Population estimates by district and communes</w:t>
      </w:r>
    </w:p>
    <w:p w:rsidR="00D736AE" w:rsidRDefault="00D736AE" w:rsidP="001E2D4E">
      <w:pPr>
        <w:spacing w:after="0" w:line="360" w:lineRule="auto"/>
        <w:jc w:val="both"/>
        <w:rPr>
          <w:rFonts w:ascii="Arial" w:hAnsi="Arial" w:cs="Arial"/>
          <w:lang w:val="en-CA"/>
        </w:rPr>
      </w:pPr>
      <w:r w:rsidRPr="00B626DA">
        <w:rPr>
          <w:rFonts w:ascii="Arial" w:hAnsi="Arial" w:cs="Arial"/>
          <w:lang w:val="en-CA"/>
        </w:rPr>
        <w:t xml:space="preserve">The 1998 and </w:t>
      </w:r>
      <w:r>
        <w:rPr>
          <w:rFonts w:ascii="Arial" w:hAnsi="Arial" w:cs="Arial"/>
          <w:lang w:val="en-CA"/>
        </w:rPr>
        <w:t>2009 censuses</w:t>
      </w:r>
      <w:r w:rsidR="001E2D4E">
        <w:rPr>
          <w:rStyle w:val="Appelnotedebasdep"/>
          <w:rFonts w:ascii="Arial" w:hAnsi="Arial" w:cs="Arial"/>
          <w:lang w:val="en-CA"/>
        </w:rPr>
        <w:footnoteReference w:id="1"/>
      </w:r>
      <w:r>
        <w:rPr>
          <w:rFonts w:ascii="Arial" w:hAnsi="Arial" w:cs="Arial"/>
          <w:lang w:val="en-CA"/>
        </w:rPr>
        <w:t xml:space="preserve"> provide direct measures of the population by district and commune</w:t>
      </w:r>
      <w:r>
        <w:rPr>
          <w:rStyle w:val="Appelnotedebasdep"/>
          <w:rFonts w:ascii="Arial" w:hAnsi="Arial" w:cs="Arial"/>
          <w:lang w:val="en-CA"/>
        </w:rPr>
        <w:footnoteReference w:id="2"/>
      </w:r>
      <w:r>
        <w:rPr>
          <w:rFonts w:ascii="Arial" w:hAnsi="Arial" w:cs="Arial"/>
          <w:lang w:val="en-CA"/>
        </w:rPr>
        <w:t>. To estimate the population between 1998 and 2009 a specific growth rate was computed for each of the 69 communes. Population changes showed huge differences between the communes: average growth was 3.45% per year with a maximum of 9.6% and a minimum of – 3.3%.</w:t>
      </w:r>
    </w:p>
    <w:p w:rsidR="00D736AE" w:rsidRDefault="00D736AE" w:rsidP="001E2D4E">
      <w:pPr>
        <w:spacing w:after="120" w:line="360" w:lineRule="auto"/>
        <w:jc w:val="both"/>
        <w:rPr>
          <w:rFonts w:ascii="Arial" w:hAnsi="Arial" w:cs="Arial"/>
          <w:lang w:val="en-CA"/>
        </w:rPr>
      </w:pPr>
      <w:r>
        <w:rPr>
          <w:rFonts w:ascii="Arial" w:hAnsi="Arial" w:cs="Arial"/>
          <w:lang w:val="en-CA"/>
        </w:rPr>
        <w:t>The same rates were applied to estimate the population between 2010 and 2012.</w:t>
      </w:r>
    </w:p>
    <w:p w:rsidR="00D736AE" w:rsidRPr="00B916ED" w:rsidRDefault="00D736AE" w:rsidP="001E2D4E">
      <w:pPr>
        <w:spacing w:after="0" w:line="360" w:lineRule="auto"/>
        <w:jc w:val="both"/>
        <w:rPr>
          <w:rFonts w:ascii="Arial" w:hAnsi="Arial" w:cs="Arial"/>
          <w:u w:val="single"/>
          <w:lang w:val="en-CA"/>
        </w:rPr>
      </w:pPr>
      <w:r w:rsidRPr="00B916ED">
        <w:rPr>
          <w:rFonts w:ascii="Arial" w:hAnsi="Arial" w:cs="Arial"/>
          <w:u w:val="single"/>
          <w:lang w:val="en-CA"/>
        </w:rPr>
        <w:t>Number of deliveries estimates</w:t>
      </w:r>
    </w:p>
    <w:p w:rsidR="00D736AE" w:rsidRPr="00B916ED" w:rsidRDefault="00D736AE" w:rsidP="001E2D4E">
      <w:pPr>
        <w:spacing w:after="120" w:line="360" w:lineRule="auto"/>
        <w:jc w:val="both"/>
        <w:rPr>
          <w:rFonts w:ascii="Arial" w:hAnsi="Arial" w:cs="Arial"/>
          <w:lang w:val="en-CA"/>
        </w:rPr>
      </w:pPr>
      <w:r>
        <w:rPr>
          <w:rFonts w:ascii="Arial" w:hAnsi="Arial" w:cs="Arial"/>
          <w:lang w:val="en-CA"/>
        </w:rPr>
        <w:t>The expected number of deliveries was estimated by multiplying the population estimates by the annual crude birth rate in Mali that varied from 49.</w:t>
      </w:r>
      <w:r w:rsidRPr="00B916ED">
        <w:rPr>
          <w:rFonts w:ascii="Arial" w:hAnsi="Arial" w:cs="Arial"/>
          <w:lang w:val="en-CA"/>
        </w:rPr>
        <w:t xml:space="preserve">166 </w:t>
      </w:r>
      <w:r>
        <w:rPr>
          <w:rFonts w:ascii="Arial" w:hAnsi="Arial" w:cs="Arial"/>
          <w:lang w:val="en-CA"/>
        </w:rPr>
        <w:t>to 45.</w:t>
      </w:r>
      <w:r w:rsidRPr="00B916ED">
        <w:rPr>
          <w:rFonts w:ascii="Arial" w:hAnsi="Arial" w:cs="Arial"/>
          <w:lang w:val="en-CA"/>
        </w:rPr>
        <w:t xml:space="preserve">867 </w:t>
      </w:r>
      <w:r>
        <w:rPr>
          <w:rFonts w:ascii="Arial" w:hAnsi="Arial" w:cs="Arial"/>
          <w:lang w:val="en-CA"/>
        </w:rPr>
        <w:t>per</w:t>
      </w:r>
      <w:r w:rsidRPr="00B916ED">
        <w:rPr>
          <w:rFonts w:ascii="Arial" w:hAnsi="Arial" w:cs="Arial"/>
          <w:lang w:val="en-CA"/>
        </w:rPr>
        <w:t xml:space="preserve"> 1000 </w:t>
      </w:r>
      <w:r>
        <w:rPr>
          <w:rFonts w:ascii="Arial" w:hAnsi="Arial" w:cs="Arial"/>
          <w:lang w:val="en-CA"/>
        </w:rPr>
        <w:t>between</w:t>
      </w:r>
      <w:r w:rsidRPr="00B916ED">
        <w:rPr>
          <w:rFonts w:ascii="Arial" w:hAnsi="Arial" w:cs="Arial"/>
          <w:lang w:val="en-CA"/>
        </w:rPr>
        <w:t xml:space="preserve"> 1998 </w:t>
      </w:r>
      <w:r>
        <w:rPr>
          <w:rFonts w:ascii="Arial" w:hAnsi="Arial" w:cs="Arial"/>
          <w:lang w:val="en-CA"/>
        </w:rPr>
        <w:t>and</w:t>
      </w:r>
      <w:r w:rsidRPr="00B916ED">
        <w:rPr>
          <w:rFonts w:ascii="Arial" w:hAnsi="Arial" w:cs="Arial"/>
          <w:lang w:val="en-CA"/>
        </w:rPr>
        <w:t xml:space="preserve"> 2011</w:t>
      </w:r>
      <w:r>
        <w:rPr>
          <w:rFonts w:ascii="Arial" w:hAnsi="Arial" w:cs="Arial"/>
          <w:lang w:val="en-CA"/>
        </w:rPr>
        <w:t>. For 2012, the decrease rate observed between (2008 and 2011 (5.4 per 1000) was applied.</w:t>
      </w:r>
    </w:p>
    <w:p w:rsidR="00D736AE" w:rsidRPr="002234D7" w:rsidRDefault="00D736AE" w:rsidP="001E2D4E">
      <w:pPr>
        <w:spacing w:after="0" w:line="360" w:lineRule="auto"/>
        <w:jc w:val="both"/>
        <w:rPr>
          <w:rFonts w:ascii="Arial" w:hAnsi="Arial" w:cs="Arial"/>
          <w:u w:val="single"/>
          <w:lang w:val="en-CA"/>
        </w:rPr>
      </w:pPr>
      <w:r w:rsidRPr="002234D7">
        <w:rPr>
          <w:rFonts w:ascii="Arial" w:hAnsi="Arial" w:cs="Arial"/>
          <w:u w:val="single"/>
          <w:lang w:val="en-CA"/>
        </w:rPr>
        <w:t>Numbers of caesareans</w:t>
      </w:r>
    </w:p>
    <w:p w:rsidR="00D736AE" w:rsidRPr="002A1019" w:rsidRDefault="00D736AE" w:rsidP="001E2D4E">
      <w:pPr>
        <w:spacing w:after="120" w:line="360" w:lineRule="auto"/>
        <w:jc w:val="both"/>
        <w:rPr>
          <w:rFonts w:ascii="Arial" w:hAnsi="Arial" w:cs="Arial"/>
          <w:lang w:val="en-CA"/>
        </w:rPr>
      </w:pPr>
      <w:r w:rsidRPr="002A1019">
        <w:rPr>
          <w:rFonts w:ascii="Arial" w:hAnsi="Arial" w:cs="Arial"/>
          <w:lang w:val="en-CA"/>
        </w:rPr>
        <w:t xml:space="preserve">All obstetrical emergencies are systematically registered in all the hospitals of the region in a computerised database (GESYRE), including both planned and emergency caesareans. In the study </w:t>
      </w:r>
      <w:r>
        <w:rPr>
          <w:rFonts w:ascii="Arial" w:hAnsi="Arial" w:cs="Arial"/>
          <w:lang w:val="en-CA"/>
        </w:rPr>
        <w:t>area</w:t>
      </w:r>
      <w:r w:rsidRPr="002A1019">
        <w:rPr>
          <w:rFonts w:ascii="Arial" w:hAnsi="Arial" w:cs="Arial"/>
          <w:lang w:val="en-CA"/>
        </w:rPr>
        <w:t xml:space="preserve"> there are no private institutions carrying out caesareans. The location of residence before delivery is registered for each patient. Every six months, the research team verified the data in each district with respect to the criteria for inclusion in the database, the exhaustiveness of the cases to be included, and missing data. The district health teams use these data to produce activity statistics for several maternal and child health programs as well as to analyse trends and the effects of the Ref-</w:t>
      </w:r>
      <w:proofErr w:type="spellStart"/>
      <w:r w:rsidRPr="002A1019">
        <w:rPr>
          <w:rFonts w:ascii="Arial" w:hAnsi="Arial" w:cs="Arial"/>
          <w:lang w:val="en-CA"/>
        </w:rPr>
        <w:t>Syst</w:t>
      </w:r>
      <w:proofErr w:type="spellEnd"/>
      <w:r w:rsidRPr="002A1019">
        <w:rPr>
          <w:rFonts w:ascii="Arial" w:hAnsi="Arial" w:cs="Arial"/>
          <w:lang w:val="en-CA"/>
        </w:rPr>
        <w:t xml:space="preserve"> at the local level. The data are captured using Microsoft Access</w:t>
      </w:r>
      <w:r w:rsidRPr="002A1019">
        <w:rPr>
          <w:rFonts w:ascii="Arial" w:hAnsi="Arial" w:cs="Arial"/>
          <w:vertAlign w:val="superscript"/>
          <w:lang w:val="en-CA"/>
        </w:rPr>
        <w:t>©</w:t>
      </w:r>
      <w:r w:rsidRPr="002A1019">
        <w:rPr>
          <w:rFonts w:ascii="Arial" w:hAnsi="Arial" w:cs="Arial"/>
          <w:lang w:val="en-CA"/>
        </w:rPr>
        <w:t>.</w:t>
      </w:r>
    </w:p>
    <w:p w:rsidR="00D736AE" w:rsidRDefault="00D736AE" w:rsidP="001E2D4E">
      <w:pPr>
        <w:spacing w:after="0" w:line="360" w:lineRule="auto"/>
        <w:jc w:val="both"/>
        <w:rPr>
          <w:rFonts w:ascii="Arial" w:hAnsi="Arial" w:cs="Arial"/>
          <w:u w:val="single"/>
          <w:lang w:val="en-CA"/>
        </w:rPr>
      </w:pPr>
      <w:r w:rsidRPr="00C60CD1">
        <w:rPr>
          <w:rFonts w:ascii="Arial" w:hAnsi="Arial" w:cs="Arial"/>
          <w:u w:val="single"/>
          <w:lang w:val="en-CA"/>
        </w:rPr>
        <w:t>Caesarean rates</w:t>
      </w:r>
    </w:p>
    <w:p w:rsidR="00D736AE" w:rsidRPr="00040FEA" w:rsidRDefault="00D736AE" w:rsidP="001E2D4E">
      <w:pPr>
        <w:spacing w:after="0" w:line="360" w:lineRule="auto"/>
        <w:jc w:val="both"/>
        <w:rPr>
          <w:rFonts w:ascii="Arial" w:hAnsi="Arial" w:cs="Arial"/>
          <w:lang w:val="en-CA"/>
        </w:rPr>
      </w:pPr>
      <w:r w:rsidRPr="002A1019">
        <w:rPr>
          <w:rFonts w:ascii="Arial" w:hAnsi="Arial" w:cs="Arial"/>
          <w:lang w:val="en-CA"/>
        </w:rPr>
        <w:t>To obtain the most reliable population estimates possible, only residents of a given district or zone were reported in that population of origin (for example, a resident from the main city of District A who had a caesarean in District B was counted in the numerator of District A’s population rate).</w:t>
      </w:r>
    </w:p>
    <w:sectPr w:rsidR="00D736AE" w:rsidRPr="00040FEA" w:rsidSect="00D736AE">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AE" w:rsidRDefault="00D736AE" w:rsidP="00D736AE">
      <w:pPr>
        <w:spacing w:after="0" w:line="240" w:lineRule="auto"/>
      </w:pPr>
      <w:r>
        <w:separator/>
      </w:r>
    </w:p>
  </w:endnote>
  <w:endnote w:type="continuationSeparator" w:id="0">
    <w:p w:rsidR="00D736AE" w:rsidRDefault="00D736AE" w:rsidP="00D7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AE" w:rsidRDefault="00D736AE" w:rsidP="00D736AE">
      <w:pPr>
        <w:spacing w:after="0" w:line="240" w:lineRule="auto"/>
      </w:pPr>
      <w:r>
        <w:separator/>
      </w:r>
    </w:p>
  </w:footnote>
  <w:footnote w:type="continuationSeparator" w:id="0">
    <w:p w:rsidR="00D736AE" w:rsidRDefault="00D736AE" w:rsidP="00D736AE">
      <w:pPr>
        <w:spacing w:after="0" w:line="240" w:lineRule="auto"/>
      </w:pPr>
      <w:r>
        <w:continuationSeparator/>
      </w:r>
    </w:p>
  </w:footnote>
  <w:footnote w:id="1">
    <w:p w:rsidR="001E2D4E" w:rsidRPr="001E2D4E" w:rsidRDefault="001E2D4E">
      <w:pPr>
        <w:pStyle w:val="Notedebasdepage"/>
        <w:rPr>
          <w:rFonts w:ascii="Arial" w:hAnsi="Arial" w:cs="Arial"/>
          <w:sz w:val="18"/>
          <w:szCs w:val="18"/>
        </w:rPr>
      </w:pPr>
      <w:r>
        <w:rPr>
          <w:rStyle w:val="Appelnotedebasdep"/>
        </w:rPr>
        <w:footnoteRef/>
      </w:r>
      <w:r w:rsidRPr="001E2D4E">
        <w:t xml:space="preserve"> </w:t>
      </w:r>
      <w:r w:rsidRPr="001E2D4E">
        <w:rPr>
          <w:rFonts w:ascii="Arial" w:hAnsi="Arial" w:cs="Arial"/>
          <w:sz w:val="18"/>
          <w:szCs w:val="18"/>
        </w:rPr>
        <w:t>Ministère de l’Économie et des Finances, Direction Nationale de la Statistique et de l’Informatique. Recensement général de la population et de l’habitat, Avril 1998. Principaux Résultats. Bamako : INSTAT; 2001.</w:t>
      </w:r>
    </w:p>
    <w:p w:rsidR="001E2D4E" w:rsidRPr="00796C6D" w:rsidRDefault="001E2D4E">
      <w:pPr>
        <w:pStyle w:val="Notedebasdepage"/>
        <w:rPr>
          <w:rFonts w:ascii="Arial" w:hAnsi="Arial" w:cs="Arial"/>
          <w:sz w:val="18"/>
          <w:szCs w:val="18"/>
          <w:lang w:val="en-US"/>
        </w:rPr>
      </w:pPr>
      <w:r w:rsidRPr="001E2D4E">
        <w:rPr>
          <w:rFonts w:ascii="Arial" w:hAnsi="Arial" w:cs="Arial"/>
          <w:color w:val="000000"/>
          <w:sz w:val="18"/>
          <w:szCs w:val="18"/>
        </w:rPr>
        <w:t>Ministère de l’Économie et des Finances, Institut National de la Statistique, Bureau central de recensement. 4</w:t>
      </w:r>
      <w:r w:rsidRPr="001E2D4E">
        <w:rPr>
          <w:rFonts w:ascii="Arial" w:hAnsi="Arial" w:cs="Arial"/>
          <w:color w:val="000000"/>
          <w:sz w:val="18"/>
          <w:szCs w:val="18"/>
          <w:vertAlign w:val="superscript"/>
        </w:rPr>
        <w:t>ème</w:t>
      </w:r>
      <w:r w:rsidRPr="001E2D4E">
        <w:rPr>
          <w:rFonts w:ascii="Arial" w:hAnsi="Arial" w:cs="Arial"/>
          <w:color w:val="000000"/>
          <w:sz w:val="18"/>
          <w:szCs w:val="18"/>
        </w:rPr>
        <w:t xml:space="preserve"> recensement général de la population et de l’habitat du Mali (RGPH). </w:t>
      </w:r>
      <w:r w:rsidRPr="00796C6D">
        <w:rPr>
          <w:rFonts w:ascii="Arial" w:hAnsi="Arial" w:cs="Arial"/>
          <w:color w:val="000000"/>
          <w:sz w:val="18"/>
          <w:szCs w:val="18"/>
          <w:lang w:val="en-US"/>
        </w:rPr>
        <w:t xml:space="preserve">Résultats Définitifs. </w:t>
      </w:r>
      <w:r w:rsidRPr="001E2D4E">
        <w:rPr>
          <w:rFonts w:ascii="Arial" w:hAnsi="Arial" w:cs="Arial"/>
          <w:color w:val="000000"/>
          <w:sz w:val="18"/>
          <w:szCs w:val="18"/>
          <w:lang w:val="en-US"/>
        </w:rPr>
        <w:t xml:space="preserve">Tome </w:t>
      </w:r>
      <w:proofErr w:type="gramStart"/>
      <w:r w:rsidRPr="001E2D4E">
        <w:rPr>
          <w:rFonts w:ascii="Arial" w:hAnsi="Arial" w:cs="Arial"/>
          <w:color w:val="000000"/>
          <w:sz w:val="18"/>
          <w:szCs w:val="18"/>
          <w:lang w:val="en-US"/>
        </w:rPr>
        <w:t>1 :</w:t>
      </w:r>
      <w:proofErr w:type="gramEnd"/>
      <w:r w:rsidRPr="001E2D4E">
        <w:rPr>
          <w:rFonts w:ascii="Arial" w:hAnsi="Arial" w:cs="Arial"/>
          <w:color w:val="000000"/>
          <w:sz w:val="18"/>
          <w:szCs w:val="18"/>
          <w:lang w:val="en-US"/>
        </w:rPr>
        <w:t xml:space="preserve"> </w:t>
      </w:r>
      <w:proofErr w:type="spellStart"/>
      <w:r w:rsidRPr="001E2D4E">
        <w:rPr>
          <w:rFonts w:ascii="Arial" w:hAnsi="Arial" w:cs="Arial"/>
          <w:color w:val="000000"/>
          <w:sz w:val="18"/>
          <w:szCs w:val="18"/>
          <w:lang w:val="en-US"/>
        </w:rPr>
        <w:t>Série</w:t>
      </w:r>
      <w:proofErr w:type="spellEnd"/>
      <w:r w:rsidRPr="001E2D4E">
        <w:rPr>
          <w:rFonts w:ascii="Arial" w:hAnsi="Arial" w:cs="Arial"/>
          <w:color w:val="000000"/>
          <w:sz w:val="18"/>
          <w:szCs w:val="18"/>
          <w:lang w:val="en-US"/>
        </w:rPr>
        <w:t xml:space="preserve"> </w:t>
      </w:r>
      <w:proofErr w:type="spellStart"/>
      <w:r w:rsidRPr="001E2D4E">
        <w:rPr>
          <w:rFonts w:ascii="Arial" w:hAnsi="Arial" w:cs="Arial"/>
          <w:color w:val="000000"/>
          <w:sz w:val="18"/>
          <w:szCs w:val="18"/>
          <w:lang w:val="en-US"/>
        </w:rPr>
        <w:t>Démographique</w:t>
      </w:r>
      <w:proofErr w:type="spellEnd"/>
      <w:r w:rsidRPr="001E2D4E">
        <w:rPr>
          <w:rFonts w:ascii="Arial" w:hAnsi="Arial" w:cs="Arial"/>
          <w:color w:val="000000"/>
          <w:sz w:val="18"/>
          <w:szCs w:val="18"/>
          <w:lang w:val="en-US"/>
        </w:rPr>
        <w:t xml:space="preserve">. </w:t>
      </w:r>
      <w:proofErr w:type="gramStart"/>
      <w:r w:rsidRPr="001E2D4E">
        <w:rPr>
          <w:rFonts w:ascii="Arial" w:hAnsi="Arial" w:cs="Arial"/>
          <w:color w:val="000000"/>
          <w:sz w:val="18"/>
          <w:szCs w:val="18"/>
          <w:lang w:val="en-US"/>
        </w:rPr>
        <w:t>Bamako :</w:t>
      </w:r>
      <w:proofErr w:type="gramEnd"/>
      <w:r w:rsidRPr="001E2D4E">
        <w:rPr>
          <w:rFonts w:ascii="Arial" w:hAnsi="Arial" w:cs="Arial"/>
          <w:color w:val="000000"/>
          <w:sz w:val="18"/>
          <w:szCs w:val="18"/>
          <w:lang w:val="en-US"/>
        </w:rPr>
        <w:t xml:space="preserve"> INSTAT; 2011.</w:t>
      </w:r>
    </w:p>
  </w:footnote>
  <w:footnote w:id="2">
    <w:p w:rsidR="00D736AE" w:rsidRPr="001E2D4E" w:rsidRDefault="00D736AE" w:rsidP="000A4B43">
      <w:pPr>
        <w:pStyle w:val="Notedebasdepage"/>
        <w:rPr>
          <w:rFonts w:ascii="Arial" w:hAnsi="Arial" w:cs="Arial"/>
          <w:sz w:val="18"/>
          <w:szCs w:val="18"/>
          <w:lang w:val="en-CA"/>
        </w:rPr>
      </w:pPr>
      <w:r w:rsidRPr="001E2D4E">
        <w:rPr>
          <w:rStyle w:val="Appelnotedebasdep"/>
          <w:rFonts w:ascii="Arial" w:hAnsi="Arial" w:cs="Arial"/>
          <w:sz w:val="18"/>
          <w:szCs w:val="18"/>
        </w:rPr>
        <w:footnoteRef/>
      </w:r>
      <w:r w:rsidRPr="001E2D4E">
        <w:rPr>
          <w:rFonts w:ascii="Arial" w:hAnsi="Arial" w:cs="Arial"/>
          <w:sz w:val="18"/>
          <w:szCs w:val="18"/>
          <w:lang w:val="en-US"/>
        </w:rPr>
        <w:t xml:space="preserve"> They are two kind of commune: urban and rural. </w:t>
      </w:r>
      <w:r w:rsidRPr="00796C6D">
        <w:rPr>
          <w:rFonts w:ascii="Arial" w:hAnsi="Arial" w:cs="Arial"/>
          <w:sz w:val="18"/>
          <w:szCs w:val="18"/>
          <w:lang w:val="en-US"/>
        </w:rPr>
        <w:t xml:space="preserve">An urban commune is a city while a </w:t>
      </w:r>
      <w:r w:rsidRPr="001E2D4E">
        <w:rPr>
          <w:rFonts w:ascii="Arial" w:hAnsi="Arial" w:cs="Arial"/>
          <w:sz w:val="18"/>
          <w:szCs w:val="18"/>
          <w:lang w:val="en-CA"/>
        </w:rPr>
        <w:t>rural commune is a group of villages or hamlets.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83"/>
    <w:rsid w:val="00024D1C"/>
    <w:rsid w:val="00086C12"/>
    <w:rsid w:val="00110AC3"/>
    <w:rsid w:val="0016746D"/>
    <w:rsid w:val="001E2D4E"/>
    <w:rsid w:val="00272857"/>
    <w:rsid w:val="00276157"/>
    <w:rsid w:val="003020DA"/>
    <w:rsid w:val="00317FCC"/>
    <w:rsid w:val="00344359"/>
    <w:rsid w:val="00434662"/>
    <w:rsid w:val="00462D50"/>
    <w:rsid w:val="004979AB"/>
    <w:rsid w:val="004E05B1"/>
    <w:rsid w:val="00536672"/>
    <w:rsid w:val="005948EC"/>
    <w:rsid w:val="005A574E"/>
    <w:rsid w:val="00682A71"/>
    <w:rsid w:val="0071214F"/>
    <w:rsid w:val="00754A7B"/>
    <w:rsid w:val="00765F81"/>
    <w:rsid w:val="00796C6D"/>
    <w:rsid w:val="007D4F81"/>
    <w:rsid w:val="008970BB"/>
    <w:rsid w:val="008D77A7"/>
    <w:rsid w:val="008F301D"/>
    <w:rsid w:val="00946073"/>
    <w:rsid w:val="00981E47"/>
    <w:rsid w:val="009D3E5F"/>
    <w:rsid w:val="009F3173"/>
    <w:rsid w:val="00A06B05"/>
    <w:rsid w:val="00A2132D"/>
    <w:rsid w:val="00A44CEA"/>
    <w:rsid w:val="00A92D93"/>
    <w:rsid w:val="00AD183C"/>
    <w:rsid w:val="00B21F69"/>
    <w:rsid w:val="00BA0762"/>
    <w:rsid w:val="00C55596"/>
    <w:rsid w:val="00C72351"/>
    <w:rsid w:val="00C9623C"/>
    <w:rsid w:val="00CA110E"/>
    <w:rsid w:val="00CE5C27"/>
    <w:rsid w:val="00D736AE"/>
    <w:rsid w:val="00D914FB"/>
    <w:rsid w:val="00DA025D"/>
    <w:rsid w:val="00DB78DE"/>
    <w:rsid w:val="00DC6118"/>
    <w:rsid w:val="00E3767D"/>
    <w:rsid w:val="00E54683"/>
    <w:rsid w:val="00EF6B7E"/>
    <w:rsid w:val="00F14FA2"/>
    <w:rsid w:val="00F73419"/>
    <w:rsid w:val="00FF36B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4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C72351"/>
  </w:style>
  <w:style w:type="paragraph" w:styleId="Textedebulles">
    <w:name w:val="Balloon Text"/>
    <w:basedOn w:val="Normal"/>
    <w:link w:val="TextedebullesCar"/>
    <w:uiPriority w:val="99"/>
    <w:semiHidden/>
    <w:unhideWhenUsed/>
    <w:rsid w:val="003020D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20DA"/>
    <w:rPr>
      <w:rFonts w:ascii="Lucida Grande" w:hAnsi="Lucida Grande" w:cs="Lucida Grande"/>
      <w:sz w:val="18"/>
      <w:szCs w:val="18"/>
    </w:rPr>
  </w:style>
  <w:style w:type="paragraph" w:styleId="Notedebasdepage">
    <w:name w:val="footnote text"/>
    <w:basedOn w:val="Normal"/>
    <w:link w:val="NotedebasdepageCar"/>
    <w:uiPriority w:val="99"/>
    <w:semiHidden/>
    <w:unhideWhenUsed/>
    <w:rsid w:val="00D736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36AE"/>
    <w:rPr>
      <w:sz w:val="20"/>
      <w:szCs w:val="20"/>
    </w:rPr>
  </w:style>
  <w:style w:type="character" w:styleId="Appelnotedebasdep">
    <w:name w:val="footnote reference"/>
    <w:basedOn w:val="Policepardfaut"/>
    <w:uiPriority w:val="99"/>
    <w:semiHidden/>
    <w:unhideWhenUsed/>
    <w:rsid w:val="00D736AE"/>
    <w:rPr>
      <w:vertAlign w:val="superscript"/>
    </w:rPr>
  </w:style>
  <w:style w:type="paragraph" w:styleId="NormalWeb">
    <w:name w:val="Normal (Web)"/>
    <w:basedOn w:val="Normal"/>
    <w:uiPriority w:val="99"/>
    <w:rsid w:val="00D736AE"/>
    <w:pPr>
      <w:spacing w:beforeLines="1" w:afterLines="1" w:line="240" w:lineRule="auto"/>
    </w:pPr>
    <w:rPr>
      <w:rFonts w:ascii="Times" w:hAnsi="Times" w:cs="Times New Roman"/>
      <w:sz w:val="20"/>
      <w:szCs w:val="20"/>
      <w:lang w:val="fr-FR" w:eastAsia="fr-FR"/>
    </w:rPr>
  </w:style>
  <w:style w:type="paragraph" w:styleId="Notedefin">
    <w:name w:val="endnote text"/>
    <w:basedOn w:val="Normal"/>
    <w:link w:val="NotedefinCar"/>
    <w:uiPriority w:val="99"/>
    <w:semiHidden/>
    <w:unhideWhenUsed/>
    <w:rsid w:val="001E2D4E"/>
    <w:pPr>
      <w:spacing w:after="0" w:line="240" w:lineRule="auto"/>
    </w:pPr>
    <w:rPr>
      <w:sz w:val="20"/>
      <w:szCs w:val="20"/>
    </w:rPr>
  </w:style>
  <w:style w:type="character" w:customStyle="1" w:styleId="NotedefinCar">
    <w:name w:val="Note de fin Car"/>
    <w:basedOn w:val="Policepardfaut"/>
    <w:link w:val="Notedefin"/>
    <w:uiPriority w:val="99"/>
    <w:semiHidden/>
    <w:rsid w:val="001E2D4E"/>
    <w:rPr>
      <w:sz w:val="20"/>
      <w:szCs w:val="20"/>
    </w:rPr>
  </w:style>
  <w:style w:type="character" w:styleId="Appeldenotedefin">
    <w:name w:val="endnote reference"/>
    <w:basedOn w:val="Policepardfaut"/>
    <w:uiPriority w:val="99"/>
    <w:semiHidden/>
    <w:unhideWhenUsed/>
    <w:rsid w:val="001E2D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4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C72351"/>
  </w:style>
  <w:style w:type="paragraph" w:styleId="Textedebulles">
    <w:name w:val="Balloon Text"/>
    <w:basedOn w:val="Normal"/>
    <w:link w:val="TextedebullesCar"/>
    <w:uiPriority w:val="99"/>
    <w:semiHidden/>
    <w:unhideWhenUsed/>
    <w:rsid w:val="003020D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20DA"/>
    <w:rPr>
      <w:rFonts w:ascii="Lucida Grande" w:hAnsi="Lucida Grande" w:cs="Lucida Grande"/>
      <w:sz w:val="18"/>
      <w:szCs w:val="18"/>
    </w:rPr>
  </w:style>
  <w:style w:type="paragraph" w:styleId="Notedebasdepage">
    <w:name w:val="footnote text"/>
    <w:basedOn w:val="Normal"/>
    <w:link w:val="NotedebasdepageCar"/>
    <w:uiPriority w:val="99"/>
    <w:semiHidden/>
    <w:unhideWhenUsed/>
    <w:rsid w:val="00D736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36AE"/>
    <w:rPr>
      <w:sz w:val="20"/>
      <w:szCs w:val="20"/>
    </w:rPr>
  </w:style>
  <w:style w:type="character" w:styleId="Appelnotedebasdep">
    <w:name w:val="footnote reference"/>
    <w:basedOn w:val="Policepardfaut"/>
    <w:uiPriority w:val="99"/>
    <w:semiHidden/>
    <w:unhideWhenUsed/>
    <w:rsid w:val="00D736AE"/>
    <w:rPr>
      <w:vertAlign w:val="superscript"/>
    </w:rPr>
  </w:style>
  <w:style w:type="paragraph" w:styleId="NormalWeb">
    <w:name w:val="Normal (Web)"/>
    <w:basedOn w:val="Normal"/>
    <w:uiPriority w:val="99"/>
    <w:rsid w:val="00D736AE"/>
    <w:pPr>
      <w:spacing w:beforeLines="1" w:afterLines="1" w:line="240" w:lineRule="auto"/>
    </w:pPr>
    <w:rPr>
      <w:rFonts w:ascii="Times" w:hAnsi="Times" w:cs="Times New Roman"/>
      <w:sz w:val="20"/>
      <w:szCs w:val="20"/>
      <w:lang w:val="fr-FR" w:eastAsia="fr-FR"/>
    </w:rPr>
  </w:style>
  <w:style w:type="paragraph" w:styleId="Notedefin">
    <w:name w:val="endnote text"/>
    <w:basedOn w:val="Normal"/>
    <w:link w:val="NotedefinCar"/>
    <w:uiPriority w:val="99"/>
    <w:semiHidden/>
    <w:unhideWhenUsed/>
    <w:rsid w:val="001E2D4E"/>
    <w:pPr>
      <w:spacing w:after="0" w:line="240" w:lineRule="auto"/>
    </w:pPr>
    <w:rPr>
      <w:sz w:val="20"/>
      <w:szCs w:val="20"/>
    </w:rPr>
  </w:style>
  <w:style w:type="character" w:customStyle="1" w:styleId="NotedefinCar">
    <w:name w:val="Note de fin Car"/>
    <w:basedOn w:val="Policepardfaut"/>
    <w:link w:val="Notedefin"/>
    <w:uiPriority w:val="99"/>
    <w:semiHidden/>
    <w:rsid w:val="001E2D4E"/>
    <w:rPr>
      <w:sz w:val="20"/>
      <w:szCs w:val="20"/>
    </w:rPr>
  </w:style>
  <w:style w:type="character" w:styleId="Appeldenotedefin">
    <w:name w:val="endnote reference"/>
    <w:basedOn w:val="Policepardfaut"/>
    <w:uiPriority w:val="99"/>
    <w:semiHidden/>
    <w:unhideWhenUsed/>
    <w:rsid w:val="001E2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173">
      <w:bodyDiv w:val="1"/>
      <w:marLeft w:val="0"/>
      <w:marRight w:val="0"/>
      <w:marTop w:val="0"/>
      <w:marBottom w:val="0"/>
      <w:divBdr>
        <w:top w:val="none" w:sz="0" w:space="0" w:color="auto"/>
        <w:left w:val="none" w:sz="0" w:space="0" w:color="auto"/>
        <w:bottom w:val="none" w:sz="0" w:space="0" w:color="auto"/>
        <w:right w:val="none" w:sz="0" w:space="0" w:color="auto"/>
      </w:divBdr>
    </w:div>
    <w:div w:id="253979955">
      <w:bodyDiv w:val="1"/>
      <w:marLeft w:val="0"/>
      <w:marRight w:val="0"/>
      <w:marTop w:val="0"/>
      <w:marBottom w:val="0"/>
      <w:divBdr>
        <w:top w:val="none" w:sz="0" w:space="0" w:color="auto"/>
        <w:left w:val="none" w:sz="0" w:space="0" w:color="auto"/>
        <w:bottom w:val="none" w:sz="0" w:space="0" w:color="auto"/>
        <w:right w:val="none" w:sz="0" w:space="0" w:color="auto"/>
      </w:divBdr>
    </w:div>
    <w:div w:id="521168345">
      <w:bodyDiv w:val="1"/>
      <w:marLeft w:val="0"/>
      <w:marRight w:val="0"/>
      <w:marTop w:val="0"/>
      <w:marBottom w:val="0"/>
      <w:divBdr>
        <w:top w:val="none" w:sz="0" w:space="0" w:color="auto"/>
        <w:left w:val="none" w:sz="0" w:space="0" w:color="auto"/>
        <w:bottom w:val="none" w:sz="0" w:space="0" w:color="auto"/>
        <w:right w:val="none" w:sz="0" w:space="0" w:color="auto"/>
      </w:divBdr>
    </w:div>
    <w:div w:id="611018099">
      <w:bodyDiv w:val="1"/>
      <w:marLeft w:val="0"/>
      <w:marRight w:val="0"/>
      <w:marTop w:val="0"/>
      <w:marBottom w:val="0"/>
      <w:divBdr>
        <w:top w:val="none" w:sz="0" w:space="0" w:color="auto"/>
        <w:left w:val="none" w:sz="0" w:space="0" w:color="auto"/>
        <w:bottom w:val="none" w:sz="0" w:space="0" w:color="auto"/>
        <w:right w:val="none" w:sz="0" w:space="0" w:color="auto"/>
      </w:divBdr>
    </w:div>
    <w:div w:id="925383291">
      <w:bodyDiv w:val="1"/>
      <w:marLeft w:val="0"/>
      <w:marRight w:val="0"/>
      <w:marTop w:val="0"/>
      <w:marBottom w:val="0"/>
      <w:divBdr>
        <w:top w:val="none" w:sz="0" w:space="0" w:color="auto"/>
        <w:left w:val="none" w:sz="0" w:space="0" w:color="auto"/>
        <w:bottom w:val="none" w:sz="0" w:space="0" w:color="auto"/>
        <w:right w:val="none" w:sz="0" w:space="0" w:color="auto"/>
      </w:divBdr>
    </w:div>
    <w:div w:id="1353610115">
      <w:bodyDiv w:val="1"/>
      <w:marLeft w:val="0"/>
      <w:marRight w:val="0"/>
      <w:marTop w:val="0"/>
      <w:marBottom w:val="0"/>
      <w:divBdr>
        <w:top w:val="none" w:sz="0" w:space="0" w:color="auto"/>
        <w:left w:val="none" w:sz="0" w:space="0" w:color="auto"/>
        <w:bottom w:val="none" w:sz="0" w:space="0" w:color="auto"/>
        <w:right w:val="none" w:sz="0" w:space="0" w:color="auto"/>
      </w:divBdr>
    </w:div>
    <w:div w:id="1503618396">
      <w:bodyDiv w:val="1"/>
      <w:marLeft w:val="0"/>
      <w:marRight w:val="0"/>
      <w:marTop w:val="0"/>
      <w:marBottom w:val="0"/>
      <w:divBdr>
        <w:top w:val="none" w:sz="0" w:space="0" w:color="auto"/>
        <w:left w:val="none" w:sz="0" w:space="0" w:color="auto"/>
        <w:bottom w:val="none" w:sz="0" w:space="0" w:color="auto"/>
        <w:right w:val="none" w:sz="0" w:space="0" w:color="auto"/>
      </w:divBdr>
    </w:div>
    <w:div w:id="1585913009">
      <w:bodyDiv w:val="1"/>
      <w:marLeft w:val="0"/>
      <w:marRight w:val="0"/>
      <w:marTop w:val="0"/>
      <w:marBottom w:val="0"/>
      <w:divBdr>
        <w:top w:val="none" w:sz="0" w:space="0" w:color="auto"/>
        <w:left w:val="none" w:sz="0" w:space="0" w:color="auto"/>
        <w:bottom w:val="none" w:sz="0" w:space="0" w:color="auto"/>
        <w:right w:val="none" w:sz="0" w:space="0" w:color="auto"/>
      </w:divBdr>
    </w:div>
    <w:div w:id="1630357234">
      <w:bodyDiv w:val="1"/>
      <w:marLeft w:val="0"/>
      <w:marRight w:val="0"/>
      <w:marTop w:val="0"/>
      <w:marBottom w:val="0"/>
      <w:divBdr>
        <w:top w:val="none" w:sz="0" w:space="0" w:color="auto"/>
        <w:left w:val="none" w:sz="0" w:space="0" w:color="auto"/>
        <w:bottom w:val="none" w:sz="0" w:space="0" w:color="auto"/>
        <w:right w:val="none" w:sz="0" w:space="0" w:color="auto"/>
      </w:divBdr>
    </w:div>
    <w:div w:id="1720352093">
      <w:bodyDiv w:val="1"/>
      <w:marLeft w:val="0"/>
      <w:marRight w:val="0"/>
      <w:marTop w:val="0"/>
      <w:marBottom w:val="0"/>
      <w:divBdr>
        <w:top w:val="none" w:sz="0" w:space="0" w:color="auto"/>
        <w:left w:val="none" w:sz="0" w:space="0" w:color="auto"/>
        <w:bottom w:val="none" w:sz="0" w:space="0" w:color="auto"/>
        <w:right w:val="none" w:sz="0" w:space="0" w:color="auto"/>
      </w:divBdr>
    </w:div>
    <w:div w:id="1732465123">
      <w:bodyDiv w:val="1"/>
      <w:marLeft w:val="0"/>
      <w:marRight w:val="0"/>
      <w:marTop w:val="0"/>
      <w:marBottom w:val="0"/>
      <w:divBdr>
        <w:top w:val="none" w:sz="0" w:space="0" w:color="auto"/>
        <w:left w:val="none" w:sz="0" w:space="0" w:color="auto"/>
        <w:bottom w:val="none" w:sz="0" w:space="0" w:color="auto"/>
        <w:right w:val="none" w:sz="0" w:space="0" w:color="auto"/>
      </w:divBdr>
    </w:div>
    <w:div w:id="1763406317">
      <w:bodyDiv w:val="1"/>
      <w:marLeft w:val="0"/>
      <w:marRight w:val="0"/>
      <w:marTop w:val="0"/>
      <w:marBottom w:val="0"/>
      <w:divBdr>
        <w:top w:val="none" w:sz="0" w:space="0" w:color="auto"/>
        <w:left w:val="none" w:sz="0" w:space="0" w:color="auto"/>
        <w:bottom w:val="none" w:sz="0" w:space="0" w:color="auto"/>
        <w:right w:val="none" w:sz="0" w:space="0" w:color="auto"/>
      </w:divBdr>
    </w:div>
    <w:div w:id="185684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6A9A-8035-4C20-B5E4-40BEF62F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SC1</dc:creator>
  <cp:lastModifiedBy>Tourigny Caroline</cp:lastModifiedBy>
  <cp:revision>5</cp:revision>
  <cp:lastPrinted>2014-01-13T16:26:00Z</cp:lastPrinted>
  <dcterms:created xsi:type="dcterms:W3CDTF">2014-01-07T20:08:00Z</dcterms:created>
  <dcterms:modified xsi:type="dcterms:W3CDTF">2014-07-29T20:37:00Z</dcterms:modified>
</cp:coreProperties>
</file>