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B7" w:rsidRPr="009D49B8" w:rsidRDefault="00FF55B7" w:rsidP="00FF55B7">
      <w:pPr>
        <w:spacing w:after="0" w:line="480" w:lineRule="auto"/>
        <w:rPr>
          <w:rFonts w:ascii="Arial" w:hAnsi="Arial" w:cs="Arial"/>
        </w:rPr>
      </w:pPr>
      <w:r w:rsidRPr="009D49B8">
        <w:rPr>
          <w:rFonts w:ascii="Arial" w:hAnsi="Arial" w:cs="Arial"/>
          <w:b/>
          <w:kern w:val="24"/>
        </w:rPr>
        <w:t xml:space="preserve">Table </w:t>
      </w:r>
      <w:r>
        <w:rPr>
          <w:rFonts w:ascii="Arial" w:hAnsi="Arial" w:cs="Arial"/>
          <w:b/>
          <w:kern w:val="24"/>
        </w:rPr>
        <w:t>S1</w:t>
      </w:r>
      <w:r w:rsidRPr="009D49B8">
        <w:rPr>
          <w:rFonts w:ascii="Arial" w:hAnsi="Arial" w:cs="Arial"/>
          <w:b/>
          <w:kern w:val="24"/>
        </w:rPr>
        <w:t>.</w:t>
      </w:r>
      <w:r w:rsidRPr="009D49B8">
        <w:rPr>
          <w:rFonts w:ascii="Arial" w:hAnsi="Arial" w:cs="Arial"/>
          <w:kern w:val="24"/>
        </w:rPr>
        <w:t xml:space="preserve"> </w:t>
      </w:r>
      <w:r w:rsidRPr="009D49B8">
        <w:rPr>
          <w:rFonts w:ascii="Arial" w:hAnsi="Arial" w:cs="Arial"/>
        </w:rPr>
        <w:t xml:space="preserve">Major </w:t>
      </w:r>
      <w:proofErr w:type="spellStart"/>
      <w:proofErr w:type="gramStart"/>
      <w:r>
        <w:rPr>
          <w:rFonts w:ascii="Arial" w:hAnsi="Arial" w:cs="Arial"/>
        </w:rPr>
        <w:t>apolipoproteins</w:t>
      </w:r>
      <w:proofErr w:type="spellEnd"/>
      <w:proofErr w:type="gramEnd"/>
      <w:r>
        <w:rPr>
          <w:rFonts w:ascii="Arial" w:hAnsi="Arial" w:cs="Arial"/>
        </w:rPr>
        <w:t xml:space="preserve"> identified by 1D gradient gel electrophoresis in </w:t>
      </w:r>
      <w:r w:rsidRPr="009D49B8">
        <w:rPr>
          <w:rFonts w:ascii="Arial" w:hAnsi="Arial" w:cs="Arial"/>
          <w:kern w:val="24"/>
        </w:rPr>
        <w:t xml:space="preserve">three </w:t>
      </w:r>
      <w:r>
        <w:rPr>
          <w:rFonts w:ascii="Arial" w:hAnsi="Arial" w:cs="Arial"/>
          <w:kern w:val="24"/>
        </w:rPr>
        <w:t>lipoprotein</w:t>
      </w:r>
      <w:r w:rsidRPr="009D49B8">
        <w:rPr>
          <w:rFonts w:ascii="Arial" w:hAnsi="Arial" w:cs="Arial"/>
          <w:kern w:val="24"/>
        </w:rPr>
        <w:t xml:space="preserve"> fraction</w:t>
      </w:r>
      <w:r w:rsidRPr="009D49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confirmation methodology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577"/>
        <w:gridCol w:w="767"/>
        <w:gridCol w:w="620"/>
        <w:gridCol w:w="657"/>
        <w:gridCol w:w="3096"/>
      </w:tblGrid>
      <w:tr w:rsidR="00FF55B7" w:rsidRPr="009D49B8" w:rsidTr="00FE1710">
        <w:trPr>
          <w:trHeight w:val="5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Apolipoprotein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VLDL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LDL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HDL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ID Confi</w:t>
            </w:r>
            <w:r w:rsidRPr="009D49B8">
              <w:rPr>
                <w:rFonts w:ascii="Arial" w:eastAsia="Times New Roman" w:hAnsi="Arial" w:cs="Arial"/>
              </w:rPr>
              <w:t>rmation</w:t>
            </w:r>
          </w:p>
        </w:tc>
      </w:tr>
      <w:tr w:rsidR="00FF55B7" w:rsidRPr="009D49B8" w:rsidTr="00FE1710">
        <w:trPr>
          <w:trHeight w:val="5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9D49B8">
              <w:rPr>
                <w:rFonts w:ascii="Arial" w:eastAsia="Times New Roman" w:hAnsi="Arial" w:cs="Arial"/>
              </w:rPr>
              <w:t>poA1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 xml:space="preserve">LC-MS/MS </w:t>
            </w:r>
            <w:proofErr w:type="spellStart"/>
            <w:r w:rsidRPr="009D49B8">
              <w:rPr>
                <w:rFonts w:ascii="Arial" w:eastAsia="Times New Roman" w:hAnsi="Arial" w:cs="Arial"/>
                <w:vertAlign w:val="superscript"/>
              </w:rPr>
              <w:t>a,c</w:t>
            </w:r>
            <w:proofErr w:type="spellEnd"/>
          </w:p>
        </w:tc>
      </w:tr>
      <w:tr w:rsidR="00FF55B7" w:rsidRPr="009D49B8" w:rsidTr="00FE1710">
        <w:trPr>
          <w:trHeight w:val="5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9D49B8">
              <w:rPr>
                <w:rFonts w:ascii="Arial" w:eastAsia="Times New Roman" w:hAnsi="Arial" w:cs="Arial"/>
              </w:rPr>
              <w:t>poA2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 xml:space="preserve">LC-MS/MS </w:t>
            </w:r>
            <w:r w:rsidRPr="009D49B8">
              <w:rPr>
                <w:rFonts w:ascii="Arial" w:eastAsia="Times New Roman" w:hAnsi="Arial" w:cs="Arial"/>
                <w:vertAlign w:val="superscript"/>
              </w:rPr>
              <w:t>c</w:t>
            </w:r>
          </w:p>
        </w:tc>
      </w:tr>
      <w:tr w:rsidR="00FF55B7" w:rsidRPr="009D49B8" w:rsidTr="00FE1710">
        <w:trPr>
          <w:trHeight w:val="5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</w:t>
            </w:r>
            <w:r w:rsidRPr="009D49B8">
              <w:rPr>
                <w:rFonts w:ascii="Arial" w:eastAsia="Times New Roman" w:hAnsi="Arial" w:cs="Arial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 xml:space="preserve">LC-MS/MS </w:t>
            </w:r>
            <w:r w:rsidRPr="009D49B8">
              <w:rPr>
                <w:rFonts w:ascii="Arial" w:eastAsia="Times New Roman" w:hAnsi="Arial" w:cs="Arial"/>
                <w:vertAlign w:val="superscript"/>
              </w:rPr>
              <w:t>a</w:t>
            </w:r>
            <w:r w:rsidRPr="009D49B8">
              <w:rPr>
                <w:rFonts w:ascii="Arial" w:eastAsia="Times New Roman" w:hAnsi="Arial" w:cs="Arial"/>
              </w:rPr>
              <w:t xml:space="preserve">; WB </w:t>
            </w:r>
            <w:proofErr w:type="spellStart"/>
            <w:r w:rsidRPr="009D49B8">
              <w:rPr>
                <w:rFonts w:ascii="Arial" w:eastAsia="Times New Roman" w:hAnsi="Arial" w:cs="Arial"/>
                <w:vertAlign w:val="superscript"/>
              </w:rPr>
              <w:t>b.c</w:t>
            </w:r>
            <w:proofErr w:type="spellEnd"/>
          </w:p>
        </w:tc>
      </w:tr>
      <w:tr w:rsidR="00FF55B7" w:rsidRPr="009D49B8" w:rsidTr="00FE1710">
        <w:trPr>
          <w:trHeight w:val="5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</w:t>
            </w:r>
            <w:r w:rsidRPr="009D49B8">
              <w:rPr>
                <w:rFonts w:ascii="Arial" w:eastAsia="Times New Roman" w:hAnsi="Arial" w:cs="Arial"/>
              </w:rPr>
              <w:t>poB</w:t>
            </w:r>
            <w:proofErr w:type="spellEnd"/>
            <w:r w:rsidRPr="009D49B8">
              <w:rPr>
                <w:rFonts w:ascii="Arial" w:eastAsia="Times New Roman" w:hAnsi="Arial" w:cs="Arial"/>
              </w:rPr>
              <w:t xml:space="preserve"> 140kDa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 xml:space="preserve">LC-MS/MS </w:t>
            </w:r>
            <w:r w:rsidRPr="009D49B8">
              <w:rPr>
                <w:rFonts w:ascii="Arial" w:eastAsia="Times New Roman" w:hAnsi="Arial" w:cs="Arial"/>
                <w:vertAlign w:val="superscript"/>
              </w:rPr>
              <w:t>c</w:t>
            </w:r>
            <w:r w:rsidRPr="009D49B8">
              <w:rPr>
                <w:rFonts w:ascii="Arial" w:eastAsia="Times New Roman" w:hAnsi="Arial" w:cs="Arial"/>
              </w:rPr>
              <w:t xml:space="preserve">; WB </w:t>
            </w:r>
            <w:proofErr w:type="spellStart"/>
            <w:r w:rsidRPr="009D49B8">
              <w:rPr>
                <w:rFonts w:ascii="Arial" w:eastAsia="Times New Roman" w:hAnsi="Arial" w:cs="Arial"/>
                <w:vertAlign w:val="superscript"/>
              </w:rPr>
              <w:t>b,c</w:t>
            </w:r>
            <w:proofErr w:type="spellEnd"/>
          </w:p>
        </w:tc>
      </w:tr>
      <w:tr w:rsidR="00FF55B7" w:rsidRPr="009D49B8" w:rsidTr="00FE1710">
        <w:trPr>
          <w:trHeight w:val="5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9D49B8">
              <w:rPr>
                <w:rFonts w:ascii="Arial" w:eastAsia="Times New Roman" w:hAnsi="Arial" w:cs="Arial"/>
              </w:rPr>
              <w:t>poC2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 xml:space="preserve">LC-MS/MS </w:t>
            </w:r>
            <w:proofErr w:type="spellStart"/>
            <w:r w:rsidRPr="009D49B8">
              <w:rPr>
                <w:rFonts w:ascii="Arial" w:eastAsia="Times New Roman" w:hAnsi="Arial" w:cs="Arial"/>
                <w:vertAlign w:val="superscript"/>
              </w:rPr>
              <w:t>a,c</w:t>
            </w:r>
            <w:proofErr w:type="spellEnd"/>
          </w:p>
        </w:tc>
      </w:tr>
      <w:tr w:rsidR="00FF55B7" w:rsidRPr="009D49B8" w:rsidTr="00FE1710">
        <w:trPr>
          <w:trHeight w:val="5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9D49B8">
              <w:rPr>
                <w:rFonts w:ascii="Arial" w:eastAsia="Times New Roman" w:hAnsi="Arial" w:cs="Arial"/>
              </w:rPr>
              <w:t>poC3 di-</w:t>
            </w:r>
            <w:proofErr w:type="spellStart"/>
            <w:r w:rsidRPr="009D49B8">
              <w:rPr>
                <w:rFonts w:ascii="Arial" w:eastAsia="Times New Roman" w:hAnsi="Arial" w:cs="Arial"/>
              </w:rPr>
              <w:t>sialo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 xml:space="preserve">LC-MS/MS </w:t>
            </w:r>
            <w:proofErr w:type="spellStart"/>
            <w:r w:rsidRPr="009D49B8">
              <w:rPr>
                <w:rFonts w:ascii="Arial" w:eastAsia="Times New Roman" w:hAnsi="Arial" w:cs="Arial"/>
                <w:vertAlign w:val="superscript"/>
              </w:rPr>
              <w:t>a,c</w:t>
            </w:r>
            <w:proofErr w:type="spellEnd"/>
            <w:r w:rsidRPr="009D49B8">
              <w:rPr>
                <w:rFonts w:ascii="Arial" w:eastAsia="Times New Roman" w:hAnsi="Arial" w:cs="Arial"/>
              </w:rPr>
              <w:t xml:space="preserve">; MALDI-TOF </w:t>
            </w:r>
            <w:proofErr w:type="spellStart"/>
            <w:r w:rsidRPr="009D49B8">
              <w:rPr>
                <w:rFonts w:ascii="Arial" w:eastAsia="Times New Roman" w:hAnsi="Arial" w:cs="Arial"/>
                <w:vertAlign w:val="superscript"/>
              </w:rPr>
              <w:t>a,c</w:t>
            </w:r>
            <w:proofErr w:type="spellEnd"/>
          </w:p>
        </w:tc>
      </w:tr>
      <w:tr w:rsidR="00FF55B7" w:rsidRPr="009D49B8" w:rsidTr="00FE1710">
        <w:trPr>
          <w:trHeight w:val="5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9D49B8">
              <w:rPr>
                <w:rFonts w:ascii="Arial" w:eastAsia="Times New Roman" w:hAnsi="Arial" w:cs="Arial"/>
              </w:rPr>
              <w:t>poC3 mono-</w:t>
            </w:r>
            <w:proofErr w:type="spellStart"/>
            <w:r w:rsidRPr="009D49B8">
              <w:rPr>
                <w:rFonts w:ascii="Arial" w:eastAsia="Times New Roman" w:hAnsi="Arial" w:cs="Arial"/>
              </w:rPr>
              <w:t>sialo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 xml:space="preserve">LC-MS/MS </w:t>
            </w:r>
            <w:proofErr w:type="spellStart"/>
            <w:r w:rsidRPr="009D49B8">
              <w:rPr>
                <w:rFonts w:ascii="Arial" w:eastAsia="Times New Roman" w:hAnsi="Arial" w:cs="Arial"/>
                <w:vertAlign w:val="superscript"/>
              </w:rPr>
              <w:t>a,c</w:t>
            </w:r>
            <w:proofErr w:type="spellEnd"/>
            <w:r w:rsidRPr="009D49B8">
              <w:rPr>
                <w:rFonts w:ascii="Arial" w:eastAsia="Times New Roman" w:hAnsi="Arial" w:cs="Arial"/>
              </w:rPr>
              <w:t xml:space="preserve">; MALDI-TOF </w:t>
            </w:r>
            <w:proofErr w:type="spellStart"/>
            <w:r w:rsidRPr="009D49B8">
              <w:rPr>
                <w:rFonts w:ascii="Arial" w:eastAsia="Times New Roman" w:hAnsi="Arial" w:cs="Arial"/>
                <w:vertAlign w:val="superscript"/>
              </w:rPr>
              <w:t>a,c</w:t>
            </w:r>
            <w:proofErr w:type="spellEnd"/>
          </w:p>
        </w:tc>
      </w:tr>
      <w:tr w:rsidR="00FF55B7" w:rsidRPr="009D49B8" w:rsidTr="00FE1710">
        <w:trPr>
          <w:trHeight w:val="5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apoC3 non-glycosylated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D49B8">
              <w:rPr>
                <w:rFonts w:ascii="Arial" w:eastAsia="Times New Roman" w:hAnsi="Arial" w:cs="Arial"/>
              </w:rPr>
              <w:t>n.r</w:t>
            </w:r>
            <w:proofErr w:type="spellEnd"/>
            <w:r w:rsidRPr="009D49B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 xml:space="preserve">MALDI-TOF </w:t>
            </w:r>
            <w:proofErr w:type="spellStart"/>
            <w:r w:rsidRPr="009D49B8">
              <w:rPr>
                <w:rFonts w:ascii="Arial" w:eastAsia="Times New Roman" w:hAnsi="Arial" w:cs="Arial"/>
                <w:vertAlign w:val="superscript"/>
              </w:rPr>
              <w:t>a,c</w:t>
            </w:r>
            <w:proofErr w:type="spellEnd"/>
          </w:p>
        </w:tc>
      </w:tr>
      <w:tr w:rsidR="00FF55B7" w:rsidRPr="009D49B8" w:rsidTr="00FE1710">
        <w:trPr>
          <w:trHeight w:val="5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</w:t>
            </w:r>
            <w:r w:rsidRPr="009D49B8">
              <w:rPr>
                <w:rFonts w:ascii="Arial" w:eastAsia="Times New Roman" w:hAnsi="Arial" w:cs="Arial"/>
              </w:rPr>
              <w:t>poE</w:t>
            </w:r>
            <w:proofErr w:type="spellEnd"/>
            <w:r w:rsidRPr="009D49B8">
              <w:rPr>
                <w:rFonts w:ascii="Arial" w:eastAsia="Times New Roman" w:hAnsi="Arial" w:cs="Arial"/>
              </w:rPr>
              <w:t xml:space="preserve"> high MW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 xml:space="preserve">LC-MS/MS </w:t>
            </w:r>
            <w:r w:rsidRPr="009D49B8">
              <w:rPr>
                <w:rFonts w:ascii="Arial" w:eastAsia="Times New Roman" w:hAnsi="Arial" w:cs="Arial"/>
                <w:vertAlign w:val="superscript"/>
              </w:rPr>
              <w:t>c</w:t>
            </w:r>
          </w:p>
        </w:tc>
      </w:tr>
      <w:tr w:rsidR="00FF55B7" w:rsidRPr="009D49B8" w:rsidTr="00FE1710">
        <w:trPr>
          <w:trHeight w:val="5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</w:t>
            </w:r>
            <w:r w:rsidRPr="009D49B8">
              <w:rPr>
                <w:rFonts w:ascii="Arial" w:eastAsia="Times New Roman" w:hAnsi="Arial" w:cs="Arial"/>
              </w:rPr>
              <w:t>poE</w:t>
            </w:r>
            <w:proofErr w:type="spellEnd"/>
            <w:r w:rsidRPr="009D49B8">
              <w:rPr>
                <w:rFonts w:ascii="Arial" w:eastAsia="Times New Roman" w:hAnsi="Arial" w:cs="Arial"/>
              </w:rPr>
              <w:t xml:space="preserve"> low MW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 xml:space="preserve">LC-MS/MS </w:t>
            </w:r>
            <w:r w:rsidRPr="009D49B8"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</w:tr>
      <w:tr w:rsidR="00FF55B7" w:rsidRPr="009D49B8" w:rsidTr="00FE1710">
        <w:trPr>
          <w:trHeight w:val="5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SAA4 high MW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 xml:space="preserve">LC-MS/MS </w:t>
            </w:r>
            <w:r w:rsidRPr="009D49B8">
              <w:rPr>
                <w:rFonts w:ascii="Arial" w:eastAsia="Times New Roman" w:hAnsi="Arial" w:cs="Arial"/>
                <w:vertAlign w:val="superscript"/>
              </w:rPr>
              <w:t>c</w:t>
            </w:r>
          </w:p>
        </w:tc>
      </w:tr>
      <w:tr w:rsidR="00FF55B7" w:rsidRPr="009D49B8" w:rsidTr="00FE1710">
        <w:trPr>
          <w:trHeight w:val="5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0" w:name="_GoBack"/>
            <w:r w:rsidRPr="009D49B8">
              <w:rPr>
                <w:rFonts w:ascii="Arial" w:eastAsia="Times New Roman" w:hAnsi="Arial" w:cs="Arial"/>
              </w:rPr>
              <w:t>SAA4 low MW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7" w:rsidRPr="009D49B8" w:rsidRDefault="00FF55B7" w:rsidP="00B73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49B8">
              <w:rPr>
                <w:rFonts w:ascii="Arial" w:eastAsia="Times New Roman" w:hAnsi="Arial" w:cs="Arial"/>
              </w:rPr>
              <w:t xml:space="preserve">LC-MS/MS </w:t>
            </w:r>
            <w:r w:rsidRPr="009D49B8">
              <w:rPr>
                <w:rFonts w:ascii="Arial" w:eastAsia="Times New Roman" w:hAnsi="Arial" w:cs="Arial"/>
                <w:vertAlign w:val="superscript"/>
              </w:rPr>
              <w:t>c</w:t>
            </w:r>
          </w:p>
        </w:tc>
      </w:tr>
    </w:tbl>
    <w:bookmarkEnd w:id="0"/>
    <w:p w:rsidR="00FF55B7" w:rsidRDefault="00FF55B7" w:rsidP="00FF55B7">
      <w:pPr>
        <w:spacing w:before="240" w:after="0" w:line="480" w:lineRule="auto"/>
        <w:rPr>
          <w:rFonts w:ascii="Arial" w:eastAsia="Times New Roman" w:hAnsi="Arial" w:cs="Arial"/>
        </w:rPr>
      </w:pPr>
      <w:r w:rsidRPr="009D49B8">
        <w:rPr>
          <w:rFonts w:ascii="Arial" w:eastAsia="Times New Roman" w:hAnsi="Arial" w:cs="Arial"/>
        </w:rPr>
        <w:t>+, detected</w:t>
      </w:r>
      <w:r>
        <w:rPr>
          <w:rFonts w:ascii="Arial" w:eastAsia="Times New Roman" w:hAnsi="Arial" w:cs="Arial"/>
        </w:rPr>
        <w:t xml:space="preserve"> in all subjects</w:t>
      </w:r>
      <w:r w:rsidRPr="009D49B8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n.r</w:t>
      </w:r>
      <w:proofErr w:type="spellEnd"/>
      <w:r>
        <w:rPr>
          <w:rFonts w:ascii="Arial" w:eastAsia="Times New Roman" w:hAnsi="Arial" w:cs="Arial"/>
        </w:rPr>
        <w:t>., not resolved (masked by a</w:t>
      </w:r>
      <w:r w:rsidRPr="009D49B8">
        <w:rPr>
          <w:rFonts w:ascii="Arial" w:eastAsia="Times New Roman" w:hAnsi="Arial" w:cs="Arial"/>
        </w:rPr>
        <w:t>poA2 band); ID conformation was obtained in (</w:t>
      </w:r>
      <w:r w:rsidRPr="009D49B8">
        <w:rPr>
          <w:rFonts w:ascii="Arial" w:eastAsia="Times New Roman" w:hAnsi="Arial" w:cs="Arial"/>
          <w:vertAlign w:val="superscript"/>
        </w:rPr>
        <w:t>a</w:t>
      </w:r>
      <w:r w:rsidRPr="009D49B8">
        <w:rPr>
          <w:rFonts w:ascii="Arial" w:eastAsia="Times New Roman" w:hAnsi="Arial" w:cs="Arial"/>
        </w:rPr>
        <w:t xml:space="preserve">) VLDL, </w:t>
      </w:r>
      <w:r w:rsidRPr="009D49B8">
        <w:rPr>
          <w:rFonts w:ascii="Arial" w:eastAsia="Times New Roman" w:hAnsi="Arial" w:cs="Arial"/>
          <w:vertAlign w:val="superscript"/>
        </w:rPr>
        <w:t xml:space="preserve"> </w:t>
      </w:r>
      <w:r w:rsidRPr="009D49B8">
        <w:rPr>
          <w:rFonts w:ascii="Arial" w:eastAsia="Times New Roman" w:hAnsi="Arial" w:cs="Arial"/>
        </w:rPr>
        <w:t>(</w:t>
      </w:r>
      <w:r w:rsidRPr="009D49B8">
        <w:rPr>
          <w:rFonts w:ascii="Arial" w:eastAsia="Times New Roman" w:hAnsi="Arial" w:cs="Arial"/>
          <w:vertAlign w:val="superscript"/>
        </w:rPr>
        <w:t>b</w:t>
      </w:r>
      <w:r w:rsidRPr="009D49B8">
        <w:rPr>
          <w:rFonts w:ascii="Arial" w:eastAsia="Times New Roman" w:hAnsi="Arial" w:cs="Arial"/>
        </w:rPr>
        <w:t>) LDL, or (</w:t>
      </w:r>
      <w:r w:rsidRPr="009D49B8">
        <w:rPr>
          <w:rFonts w:ascii="Arial" w:eastAsia="Times New Roman" w:hAnsi="Arial" w:cs="Arial"/>
          <w:vertAlign w:val="superscript"/>
        </w:rPr>
        <w:t>c</w:t>
      </w:r>
      <w:r w:rsidRPr="009D49B8">
        <w:rPr>
          <w:rFonts w:ascii="Arial" w:eastAsia="Times New Roman" w:hAnsi="Arial" w:cs="Arial"/>
        </w:rPr>
        <w:t>) HDL fractions</w:t>
      </w:r>
      <w:r>
        <w:rPr>
          <w:rFonts w:ascii="Arial" w:eastAsia="Times New Roman" w:hAnsi="Arial" w:cs="Arial"/>
        </w:rPr>
        <w:t xml:space="preserve">; MW, molecular weight; LC-MS/MS, liquid chromatography – tandem mass spectrometry; MALDI-TOF, </w:t>
      </w:r>
      <w:r w:rsidRPr="00DC3B30">
        <w:rPr>
          <w:rFonts w:ascii="Arial" w:eastAsia="Times New Roman" w:hAnsi="Arial" w:cs="Arial"/>
        </w:rPr>
        <w:t>Matrix Assisted Laser Desorption Ionization Time-of-Flight</w:t>
      </w:r>
      <w:r>
        <w:rPr>
          <w:rFonts w:ascii="Arial" w:eastAsia="Times New Roman" w:hAnsi="Arial" w:cs="Arial"/>
        </w:rPr>
        <w:t xml:space="preserve"> mass spectrometry.</w:t>
      </w:r>
    </w:p>
    <w:p w:rsidR="004845E0" w:rsidRDefault="004845E0"/>
    <w:sectPr w:rsidR="0048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B7"/>
    <w:rsid w:val="004845E0"/>
    <w:rsid w:val="00FE1710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2</cp:revision>
  <dcterms:created xsi:type="dcterms:W3CDTF">2014-05-10T02:02:00Z</dcterms:created>
  <dcterms:modified xsi:type="dcterms:W3CDTF">2014-05-13T04:33:00Z</dcterms:modified>
</cp:coreProperties>
</file>