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0F" w:rsidRPr="00BE7F37" w:rsidRDefault="00E6320F" w:rsidP="00E6320F">
      <w:pPr>
        <w:widowControl/>
        <w:wordWrap/>
        <w:autoSpaceDE/>
        <w:autoSpaceDN/>
        <w:spacing w:after="0" w:line="360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bookmarkStart w:id="0" w:name="_GoBack"/>
      <w:bookmarkEnd w:id="0"/>
      <w:r w:rsidRPr="00AA3B0D">
        <w:rPr>
          <w:rFonts w:ascii="Times New Roman" w:eastAsia="맑은 고딕" w:hAnsi="Times New Roman" w:cs="Times New Roman"/>
          <w:b/>
          <w:color w:val="000000"/>
          <w:kern w:val="0"/>
          <w:szCs w:val="20"/>
          <w:lang w:val="en-US"/>
        </w:rPr>
        <w:t xml:space="preserve">Table </w:t>
      </w:r>
      <w:r w:rsidR="000E0C0E">
        <w:rPr>
          <w:rFonts w:ascii="Times New Roman" w:eastAsia="맑은 고딕" w:hAnsi="Times New Roman" w:cs="Times New Roman" w:hint="eastAsia"/>
          <w:b/>
          <w:color w:val="000000"/>
          <w:kern w:val="0"/>
          <w:szCs w:val="20"/>
          <w:lang w:val="en-US"/>
        </w:rPr>
        <w:t>S</w:t>
      </w:r>
      <w:r w:rsidRPr="00AA3B0D">
        <w:rPr>
          <w:rFonts w:ascii="Times New Roman" w:eastAsia="맑은 고딕" w:hAnsi="Times New Roman" w:cs="Times New Roman"/>
          <w:b/>
          <w:color w:val="000000"/>
          <w:kern w:val="0"/>
          <w:szCs w:val="20"/>
          <w:lang w:val="en-US"/>
        </w:rPr>
        <w:t>1</w:t>
      </w:r>
      <w:r w:rsidR="00744B03">
        <w:rPr>
          <w:rFonts w:ascii="Times New Roman" w:eastAsia="맑은 고딕" w:hAnsi="Times New Roman" w:cs="Times New Roman" w:hint="eastAsia"/>
          <w:b/>
          <w:color w:val="000000"/>
          <w:kern w:val="0"/>
          <w:szCs w:val="20"/>
          <w:lang w:val="en-US"/>
        </w:rPr>
        <w:t>.</w:t>
      </w:r>
      <w:r w:rsidRPr="00AA3B0D">
        <w:rPr>
          <w:rFonts w:ascii="Times New Roman" w:eastAsia="맑은 고딕" w:hAnsi="Times New Roman" w:cs="Times New Roman"/>
          <w:b/>
          <w:color w:val="000000"/>
          <w:kern w:val="0"/>
          <w:szCs w:val="20"/>
          <w:lang w:val="en-US"/>
        </w:rPr>
        <w:t xml:space="preserve"> </w:t>
      </w:r>
      <w:r w:rsidRPr="00BE7F37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Odd</w:t>
      </w:r>
      <w:r w:rsidR="00143190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s</w:t>
      </w:r>
      <w:r w:rsidRPr="00BE7F37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ratios </w:t>
      </w:r>
      <w:r w:rsidR="00143190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and 95% confidence intervals </w:t>
      </w:r>
      <w:r w:rsidRPr="00BE7F37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of </w:t>
      </w:r>
      <w:r w:rsidR="00143190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HR-</w:t>
      </w:r>
      <w:r w:rsidRPr="00BE7F37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HPV load and alcohol drinking for the risk of persistent high-risk human papillomavirus infection</w:t>
      </w:r>
    </w:p>
    <w:tbl>
      <w:tblPr>
        <w:tblW w:w="9467" w:type="dxa"/>
        <w:tblInd w:w="8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012"/>
        <w:gridCol w:w="1012"/>
        <w:gridCol w:w="1596"/>
        <w:gridCol w:w="166"/>
        <w:gridCol w:w="991"/>
        <w:gridCol w:w="1014"/>
        <w:gridCol w:w="1592"/>
      </w:tblGrid>
      <w:tr w:rsidR="00E6320F" w:rsidRPr="0077536F" w:rsidTr="00F739F3">
        <w:trPr>
          <w:trHeight w:val="258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One-year follow-up persistence (n=284)</w:t>
            </w:r>
          </w:p>
        </w:tc>
        <w:tc>
          <w:tcPr>
            <w:tcW w:w="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Two-year follow-up persistence (n=122)</w:t>
            </w:r>
          </w:p>
        </w:tc>
      </w:tr>
      <w:tr w:rsidR="000E0C0E" w:rsidRPr="0077536F" w:rsidTr="00F739F3">
        <w:trPr>
          <w:trHeight w:val="222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E0C0E" w:rsidRPr="002277F0" w:rsidRDefault="000E0C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Clearance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E0C0E" w:rsidRPr="002277F0" w:rsidRDefault="000E0C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Persistence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Multivariate odd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>s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ratios (95% CI)</w:t>
            </w: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E0C0E" w:rsidRPr="002277F0" w:rsidRDefault="000E0C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Clearance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E0C0E" w:rsidRPr="002277F0" w:rsidRDefault="000E0C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Persistence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Multivariate odd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>s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ratios (95% CI)</w:t>
            </w:r>
          </w:p>
        </w:tc>
      </w:tr>
      <w:tr w:rsidR="000E0C0E" w:rsidRPr="0077536F" w:rsidTr="00F739F3">
        <w:trPr>
          <w:trHeight w:val="227"/>
        </w:trPr>
        <w:tc>
          <w:tcPr>
            <w:tcW w:w="2084" w:type="dxa"/>
            <w:shd w:val="clear" w:color="auto" w:fill="auto"/>
            <w:noWrap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(n=148)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(n=136)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(n=66)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(n=56)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0E0C0E" w:rsidRPr="002277F0" w:rsidRDefault="000E0C0E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E6320F" w:rsidRPr="0077536F" w:rsidTr="00F739F3">
        <w:trPr>
          <w:trHeight w:val="309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HPV load (Median)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5.40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47.30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p&lt;0.001</w:t>
            </w:r>
            <w:r w:rsidR="000E0C0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F739F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17.90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136.55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p=0.001</w:t>
            </w:r>
          </w:p>
        </w:tc>
      </w:tr>
      <w:tr w:rsidR="00E6320F" w:rsidRPr="0077536F" w:rsidTr="00F739F3">
        <w:trPr>
          <w:trHeight w:val="321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HPV load group</w:t>
            </w:r>
            <w:r w:rsidR="000E0C0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F739F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US"/>
              </w:rPr>
              <w:t>2)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E6320F" w:rsidRPr="0077536F" w:rsidTr="00F739F3">
        <w:trPr>
          <w:trHeight w:val="170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Low (&lt;</w:t>
            </w:r>
            <w:r w:rsidR="0014319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100 RLU/PC)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111 (75.0)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75 (55.2)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46 (69.7)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21 (37.5)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</w:tr>
      <w:tr w:rsidR="00E6320F" w:rsidRPr="0077536F" w:rsidTr="00F739F3">
        <w:trPr>
          <w:trHeight w:val="194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 xml:space="preserve">High </w:t>
            </w:r>
            <w:r w:rsidRPr="002277F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  <w:lang w:val="en-US"/>
              </w:rPr>
              <w:t>(</w:t>
            </w:r>
            <w:r w:rsidR="0014319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≥</w:t>
            </w:r>
            <w:r w:rsidRPr="002277F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  <w:lang w:val="en-US"/>
              </w:rPr>
              <w:t>100</w:t>
            </w: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 xml:space="preserve"> RLU/PC)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37 (25.0)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61 (44.9)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2.80 (1.64</w:t>
            </w:r>
            <w:r w:rsidR="00143190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4.78)</w:t>
            </w:r>
            <w:r w:rsidR="000E0C0E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  <w:lang w:val="en-US"/>
              </w:rPr>
              <w:t xml:space="preserve"> </w:t>
            </w:r>
            <w:r w:rsidRPr="00F739F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  <w:lang w:val="en-US"/>
              </w:rPr>
              <w:t>3)</w:t>
            </w: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20 (30.3)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35 (62.5)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5.40 (2.25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12.9)</w:t>
            </w:r>
          </w:p>
        </w:tc>
      </w:tr>
      <w:tr w:rsidR="00E6320F" w:rsidRPr="0077536F" w:rsidTr="00F739F3">
        <w:trPr>
          <w:trHeight w:val="309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Alcohol drinking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E6320F" w:rsidRPr="0077536F" w:rsidTr="00F739F3">
        <w:trPr>
          <w:trHeight w:val="219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Non-drinkers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69 (46.6)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58 (42.7)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  <w:tc>
          <w:tcPr>
            <w:tcW w:w="166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33 (50.0)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26 (46.4)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</w:tr>
      <w:tr w:rsidR="00E6320F" w:rsidRPr="0077536F" w:rsidTr="00F739F3">
        <w:trPr>
          <w:trHeight w:val="210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Drinkers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79 (53.4)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78 (57.3)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1.31 (0.79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2.18)</w:t>
            </w:r>
          </w:p>
        </w:tc>
        <w:tc>
          <w:tcPr>
            <w:tcW w:w="166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33 (50.0)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30 (53.6)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1.48 (0.66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3.32)</w:t>
            </w:r>
          </w:p>
        </w:tc>
      </w:tr>
      <w:tr w:rsidR="00E6320F" w:rsidRPr="0077536F" w:rsidTr="00F739F3">
        <w:trPr>
          <w:trHeight w:val="368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Duration of drinking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E6320F" w:rsidRPr="0077536F" w:rsidTr="00F739F3">
        <w:trPr>
          <w:trHeight w:val="234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Never, &lt;5 years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73 (57.5)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62 (53.5)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34 (59.7)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29 (60.4)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</w:tr>
      <w:tr w:rsidR="00E6320F" w:rsidRPr="0077536F" w:rsidTr="00F739F3">
        <w:trPr>
          <w:trHeight w:val="245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143190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≥</w:t>
            </w:r>
            <w:r w:rsidR="00EE6981">
              <w:rPr>
                <w:rFonts w:ascii="Times New Roman" w:eastAsia="바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="00E6320F"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 years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54 (42.5)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54 (46.5)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1.28 (0.73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2.24)</w:t>
            </w: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23 (40.3)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19 (39.6)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1.17 (0.45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3.01)</w:t>
            </w:r>
          </w:p>
        </w:tc>
      </w:tr>
      <w:tr w:rsidR="00E6320F" w:rsidRPr="0077536F" w:rsidTr="00F739F3">
        <w:trPr>
          <w:trHeight w:val="382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 xml:space="preserve">Drinking 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amount of alcohol 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E6320F" w:rsidRPr="002277F0" w:rsidRDefault="00E6320F" w:rsidP="00F73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E6320F" w:rsidRPr="0077536F" w:rsidTr="00F739F3">
        <w:trPr>
          <w:trHeight w:val="30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&lt;15 g/day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81 (66.9)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71 (65.7)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38 (74.5)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31 (67.4)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 (ref.)</w:t>
            </w:r>
          </w:p>
        </w:tc>
      </w:tr>
      <w:tr w:rsidR="00E6320F" w:rsidRPr="0077536F" w:rsidTr="00F739F3">
        <w:trPr>
          <w:trHeight w:val="103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0F" w:rsidRPr="002277F0" w:rsidRDefault="00143190" w:rsidP="00613663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≥</w:t>
            </w:r>
            <w:r w:rsidR="00EE6981">
              <w:rPr>
                <w:rFonts w:ascii="Times New Roman" w:eastAsia="바탕" w:hAnsi="Times New Roman" w:cs="Times New Roman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="00E6320F"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15 g/day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40 (33.1)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37 (34.3)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EE69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1.01 (0.55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1.85)</w:t>
            </w:r>
          </w:p>
        </w:tc>
        <w:tc>
          <w:tcPr>
            <w:tcW w:w="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13 (25.5)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 w:rsidP="006136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15 (32.6)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20F" w:rsidRPr="002277F0" w:rsidRDefault="00E63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1.46 (0.53</w:t>
            </w:r>
            <w:r w:rsidR="00EE6981">
              <w:rPr>
                <w:rFonts w:ascii="Arial" w:eastAsia="맑은 고딕" w:hAnsi="Arial" w:cs="Arial"/>
                <w:kern w:val="0"/>
                <w:sz w:val="18"/>
                <w:szCs w:val="18"/>
                <w:lang w:val="en-US"/>
              </w:rPr>
              <w:t>−</w:t>
            </w:r>
            <w:r w:rsidRPr="002277F0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lang w:val="en-US"/>
              </w:rPr>
              <w:t>4.02)</w:t>
            </w:r>
          </w:p>
        </w:tc>
      </w:tr>
    </w:tbl>
    <w:p w:rsidR="00E6320F" w:rsidRPr="00827399" w:rsidRDefault="00E6320F" w:rsidP="00E6320F">
      <w:pPr>
        <w:widowControl/>
        <w:wordWrap/>
        <w:autoSpaceDE/>
        <w:autoSpaceDN/>
        <w:spacing w:after="0" w:line="288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 w:rsidRPr="00744B03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1)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  <w:lang w:val="en-US"/>
        </w:rPr>
        <w:t xml:space="preserve">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P value was from Wilcoxon rank sum test after testing for normality.</w:t>
      </w:r>
    </w:p>
    <w:p w:rsidR="00F942E7" w:rsidRPr="00FD1B24" w:rsidRDefault="00F942E7" w:rsidP="00F942E7">
      <w:pPr>
        <w:widowControl/>
        <w:wordWrap/>
        <w:autoSpaceDE/>
        <w:autoSpaceDN/>
        <w:spacing w:after="0" w:line="288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>2</w:t>
      </w:r>
      <w:r w:rsidRPr="00A246B2">
        <w:rPr>
          <w:rFonts w:ascii="Times New Roman" w:eastAsia="맑은 고딕" w:hAnsi="Times New Roman" w:cs="Times New Roman"/>
          <w:color w:val="000000"/>
          <w:kern w:val="0"/>
          <w:szCs w:val="20"/>
        </w:rPr>
        <w:t>)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 xml:space="preserve"> 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HPV load value was 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classified as l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ow 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(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&lt;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100 relative light units [RLU]/positive control [PC]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)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or h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igh 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(</w:t>
      </w:r>
      <w:r w:rsidRPr="00FD1B24">
        <w:rPr>
          <w:rFonts w:ascii="Times New Roman" w:eastAsia="바탕" w:hAnsi="Times New Roman" w:cs="Times New Roman"/>
          <w:color w:val="000000"/>
          <w:kern w:val="0"/>
          <w:szCs w:val="20"/>
          <w:lang w:val="en-US"/>
        </w:rPr>
        <w:t>≥</w:t>
      </w:r>
      <w:r>
        <w:rPr>
          <w:rFonts w:ascii="Times New Roman" w:eastAsia="바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100 RLU/PC).</w:t>
      </w:r>
    </w:p>
    <w:p w:rsidR="00E6320F" w:rsidRPr="00827399" w:rsidRDefault="00E6320F" w:rsidP="00E6320F">
      <w:pPr>
        <w:widowControl/>
        <w:wordWrap/>
        <w:autoSpaceDE/>
        <w:autoSpaceDN/>
        <w:spacing w:after="0" w:line="288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 w:rsidRPr="00744B03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3)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Multivariate logistic regression analysis was performed after adjusting for age 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as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a continuous variable and for menopaus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al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status, oral contraceptive use, smoking 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status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and the number of child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ren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as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categorical variable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s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. </w:t>
      </w:r>
      <w:r w:rsidR="0005039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The r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isk</w:t>
      </w:r>
      <w:r w:rsidR="0005039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s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</w:t>
      </w:r>
      <w:r w:rsidR="0005039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were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estimate</w:t>
      </w:r>
      <w:r w:rsidR="0005039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d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with 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the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low HPV load, non-drinkers, &lt;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5 years, or &lt;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15g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alcohol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/day as 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the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reference categor</w:t>
      </w:r>
      <w:r w:rsidR="00EE698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ies</w:t>
      </w:r>
      <w:r w:rsidRPr="00827399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.</w:t>
      </w:r>
    </w:p>
    <w:p w:rsidR="00E6320F" w:rsidRPr="00CB1762" w:rsidRDefault="00E6320F">
      <w:pPr>
        <w:rPr>
          <w:lang w:val="en-US"/>
        </w:rPr>
      </w:pPr>
    </w:p>
    <w:sectPr w:rsidR="00E6320F" w:rsidRPr="00CB1762" w:rsidSect="00DC029D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79" w:rsidRDefault="00C57679" w:rsidP="0037464E">
      <w:pPr>
        <w:spacing w:after="0" w:line="240" w:lineRule="auto"/>
      </w:pPr>
      <w:r>
        <w:separator/>
      </w:r>
    </w:p>
  </w:endnote>
  <w:endnote w:type="continuationSeparator" w:id="0">
    <w:p w:rsidR="00C57679" w:rsidRDefault="00C57679" w:rsidP="0037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79" w:rsidRDefault="00C57679" w:rsidP="0037464E">
      <w:pPr>
        <w:spacing w:after="0" w:line="240" w:lineRule="auto"/>
      </w:pPr>
      <w:r>
        <w:separator/>
      </w:r>
    </w:p>
  </w:footnote>
  <w:footnote w:type="continuationSeparator" w:id="0">
    <w:p w:rsidR="00C57679" w:rsidRDefault="00C57679" w:rsidP="0037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FE"/>
    <w:multiLevelType w:val="multilevel"/>
    <w:tmpl w:val="CD3043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">
    <w:nsid w:val="57EB2DFB"/>
    <w:multiLevelType w:val="multilevel"/>
    <w:tmpl w:val="7ED89E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F"/>
    <w:rsid w:val="000460A8"/>
    <w:rsid w:val="00050393"/>
    <w:rsid w:val="000E0C0E"/>
    <w:rsid w:val="001156A5"/>
    <w:rsid w:val="001265C9"/>
    <w:rsid w:val="00143190"/>
    <w:rsid w:val="00215CDD"/>
    <w:rsid w:val="00254CB7"/>
    <w:rsid w:val="00256C0C"/>
    <w:rsid w:val="00293831"/>
    <w:rsid w:val="0037464E"/>
    <w:rsid w:val="00613663"/>
    <w:rsid w:val="00744B03"/>
    <w:rsid w:val="008845DA"/>
    <w:rsid w:val="008F56A0"/>
    <w:rsid w:val="00973E9A"/>
    <w:rsid w:val="00A246B2"/>
    <w:rsid w:val="00AF61F1"/>
    <w:rsid w:val="00B20BD5"/>
    <w:rsid w:val="00BE7F37"/>
    <w:rsid w:val="00C57679"/>
    <w:rsid w:val="00CB1762"/>
    <w:rsid w:val="00D53011"/>
    <w:rsid w:val="00DA66B4"/>
    <w:rsid w:val="00DC029D"/>
    <w:rsid w:val="00DD5E4B"/>
    <w:rsid w:val="00DF6F5B"/>
    <w:rsid w:val="00E043B4"/>
    <w:rsid w:val="00E6320F"/>
    <w:rsid w:val="00EA534E"/>
    <w:rsid w:val="00EE6981"/>
    <w:rsid w:val="00F16659"/>
    <w:rsid w:val="00F1757E"/>
    <w:rsid w:val="00F62D9D"/>
    <w:rsid w:val="00F739F3"/>
    <w:rsid w:val="00F942E7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7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0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64E"/>
    <w:rPr>
      <w:lang w:val="en-GB"/>
    </w:rPr>
  </w:style>
  <w:style w:type="paragraph" w:styleId="a5">
    <w:name w:val="footer"/>
    <w:basedOn w:val="a"/>
    <w:link w:val="Char0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64E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143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319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7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0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64E"/>
    <w:rPr>
      <w:lang w:val="en-GB"/>
    </w:rPr>
  </w:style>
  <w:style w:type="paragraph" w:styleId="a5">
    <w:name w:val="footer"/>
    <w:basedOn w:val="a"/>
    <w:link w:val="Char0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64E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143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319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2014-07-15T08:32:00Z</dcterms:created>
  <dcterms:modified xsi:type="dcterms:W3CDTF">2014-07-15T08:37:00Z</dcterms:modified>
</cp:coreProperties>
</file>