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A1" w:rsidRPr="004D4231" w:rsidRDefault="00F657A1" w:rsidP="00F657A1">
      <w:pPr>
        <w:ind w:left="284"/>
        <w:rPr>
          <w:rFonts w:ascii="Times New Roman" w:hAnsi="Times New Roman" w:cs="Times New Roman"/>
          <w:sz w:val="20"/>
          <w:szCs w:val="20"/>
          <w:lang w:val="en-US"/>
        </w:rPr>
      </w:pPr>
      <w:r w:rsidRPr="004D4231">
        <w:rPr>
          <w:rFonts w:ascii="Times New Roman" w:hAnsi="Times New Roman" w:cs="Times New Roman"/>
          <w:b/>
          <w:sz w:val="20"/>
          <w:szCs w:val="20"/>
          <w:lang w:val="en-US"/>
        </w:rPr>
        <w:t xml:space="preserve">Table </w:t>
      </w:r>
      <w:bookmarkStart w:id="0" w:name="_GoBack"/>
      <w:bookmarkEnd w:id="0"/>
      <w:r w:rsidRPr="004D4231">
        <w:rPr>
          <w:rFonts w:ascii="Times New Roman" w:hAnsi="Times New Roman" w:cs="Times New Roman"/>
          <w:b/>
          <w:sz w:val="20"/>
          <w:szCs w:val="20"/>
          <w:lang w:val="en-US"/>
        </w:rPr>
        <w:t xml:space="preserve">S4. </w:t>
      </w:r>
      <w:r w:rsidRPr="004D4231">
        <w:rPr>
          <w:rFonts w:ascii="Times New Roman" w:hAnsi="Times New Roman" w:cs="Times New Roman"/>
          <w:sz w:val="20"/>
          <w:szCs w:val="20"/>
          <w:lang w:val="en-US"/>
        </w:rPr>
        <w:t xml:space="preserve">Details of studies reporting carriage of </w:t>
      </w:r>
      <w:r w:rsidRPr="004D4231">
        <w:rPr>
          <w:rFonts w:ascii="Times New Roman" w:hAnsi="Times New Roman" w:cs="Times New Roman"/>
          <w:i/>
          <w:sz w:val="20"/>
          <w:szCs w:val="20"/>
          <w:lang w:val="en-US"/>
        </w:rPr>
        <w:t xml:space="preserve">Haemophilus influenzae </w:t>
      </w:r>
    </w:p>
    <w:tbl>
      <w:tblPr>
        <w:tblW w:w="4766" w:type="pct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564"/>
        <w:gridCol w:w="1049"/>
        <w:gridCol w:w="998"/>
        <w:gridCol w:w="710"/>
        <w:gridCol w:w="992"/>
        <w:gridCol w:w="1136"/>
        <w:gridCol w:w="1133"/>
        <w:gridCol w:w="851"/>
        <w:gridCol w:w="1277"/>
        <w:gridCol w:w="1133"/>
        <w:gridCol w:w="1274"/>
        <w:gridCol w:w="1139"/>
        <w:gridCol w:w="1299"/>
      </w:tblGrid>
      <w:tr w:rsidR="00F657A1" w:rsidRPr="004D4231" w:rsidTr="009B5EAB">
        <w:trPr>
          <w:trHeight w:val="227"/>
          <w:tblHeader/>
          <w:jc w:val="center"/>
        </w:trPr>
        <w:tc>
          <w:tcPr>
            <w:tcW w:w="5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>Reference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7A1" w:rsidRPr="004D4231" w:rsidRDefault="00F657A1" w:rsidP="009B5EA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>Study design</w:t>
            </w:r>
          </w:p>
        </w:tc>
        <w:tc>
          <w:tcPr>
            <w:tcW w:w="2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>Study period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>Setting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>Sample size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>Number of swabs</w:t>
            </w:r>
          </w:p>
        </w:tc>
        <w:tc>
          <w:tcPr>
            <w:tcW w:w="4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>Route of swab (</w:t>
            </w:r>
            <w:r w:rsidRPr="004D423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>Type of swab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4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>Identification method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(Culture plate)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>Denominator; Prevalence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>Age group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>Prevalence of c</w:t>
            </w:r>
            <w:r w:rsidRPr="004D423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>arriage, % (95% CI)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b/>
                <w:i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b/>
                <w:i/>
                <w:color w:val="000000"/>
                <w:sz w:val="16"/>
                <w:szCs w:val="16"/>
                <w:lang w:val="en-US"/>
              </w:rPr>
              <w:t>Low income countries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5000" w:type="pct"/>
            <w:gridSpan w:val="13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>Healthy population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208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val="en-US"/>
              </w:rPr>
              <w:t>[43]</w:t>
            </w:r>
          </w:p>
        </w:tc>
        <w:tc>
          <w:tcPr>
            <w:tcW w:w="387" w:type="pct"/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Kwambana</w:t>
            </w:r>
            <w:proofErr w:type="spellEnd"/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et al. 2011</w:t>
            </w:r>
          </w:p>
        </w:tc>
        <w:tc>
          <w:tcPr>
            <w:tcW w:w="368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Longitudinal</w:t>
            </w:r>
          </w:p>
        </w:tc>
        <w:tc>
          <w:tcPr>
            <w:tcW w:w="262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NR</w:t>
            </w:r>
          </w:p>
        </w:tc>
        <w:tc>
          <w:tcPr>
            <w:tcW w:w="366" w:type="pct"/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The Gambia</w:t>
            </w:r>
          </w:p>
        </w:tc>
        <w:tc>
          <w:tcPr>
            <w:tcW w:w="419" w:type="pct"/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Rural. 21 villages. </w:t>
            </w:r>
          </w:p>
        </w:tc>
        <w:tc>
          <w:tcPr>
            <w:tcW w:w="418" w:type="pct"/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30 infants</w:t>
            </w:r>
          </w:p>
        </w:tc>
        <w:tc>
          <w:tcPr>
            <w:tcW w:w="314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498</w:t>
            </w:r>
          </w:p>
        </w:tc>
        <w:tc>
          <w:tcPr>
            <w:tcW w:w="471" w:type="pct"/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Nasopharyngeal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(Calcium alginate)</w:t>
            </w:r>
          </w:p>
        </w:tc>
        <w:tc>
          <w:tcPr>
            <w:tcW w:w="418" w:type="pct"/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Molecular (</w:t>
            </w:r>
            <w:r w:rsidRPr="00837247"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en-US"/>
              </w:rPr>
              <w:t>OmpP2</w:t>
            </w:r>
            <w:r>
              <w:rPr>
                <w:rFonts w:ascii="Arial Narrow" w:eastAsia="Times New Roman" w:hAnsi="Arial Narrow" w:cs="Arial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PCR)</w:t>
            </w:r>
          </w:p>
        </w:tc>
        <w:tc>
          <w:tcPr>
            <w:tcW w:w="470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Samples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;</w:t>
            </w: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br/>
              <w:t>Average prevalence</w:t>
            </w:r>
          </w:p>
        </w:tc>
        <w:tc>
          <w:tcPr>
            <w:tcW w:w="420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0–12 months</w:t>
            </w:r>
          </w:p>
        </w:tc>
        <w:tc>
          <w:tcPr>
            <w:tcW w:w="480" w:type="pct"/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70 (65–74)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208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val="en-US"/>
              </w:rPr>
              <w:t>[72]</w:t>
            </w:r>
          </w:p>
        </w:tc>
        <w:tc>
          <w:tcPr>
            <w:tcW w:w="387" w:type="pct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Adegbola et al. 1998 </w:t>
            </w:r>
          </w:p>
        </w:tc>
        <w:tc>
          <w:tcPr>
            <w:tcW w:w="368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Double-blind, randomized, placebo controlled</w:t>
            </w:r>
          </w:p>
        </w:tc>
        <w:tc>
          <w:tcPr>
            <w:tcW w:w="262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NR</w:t>
            </w:r>
          </w:p>
        </w:tc>
        <w:tc>
          <w:tcPr>
            <w:tcW w:w="366" w:type="pct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The Gambia</w:t>
            </w:r>
          </w:p>
        </w:tc>
        <w:tc>
          <w:tcPr>
            <w:tcW w:w="419" w:type="pct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Urban and rural. Immunization centers</w:t>
            </w:r>
          </w:p>
        </w:tc>
        <w:tc>
          <w:tcPr>
            <w:tcW w:w="418" w:type="pct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3986 children</w:t>
            </w:r>
          </w:p>
        </w:tc>
        <w:tc>
          <w:tcPr>
            <w:tcW w:w="314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3986</w:t>
            </w:r>
          </w:p>
        </w:tc>
        <w:tc>
          <w:tcPr>
            <w:tcW w:w="471" w:type="pct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Oropharyngeal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(Cotton)</w:t>
            </w:r>
          </w:p>
        </w:tc>
        <w:tc>
          <w:tcPr>
            <w:tcW w:w="418" w:type="pct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Microbiology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Levinthal</w:t>
            </w:r>
            <w:proofErr w:type="spellEnd"/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agar ASA 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+</w:t>
            </w:r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burro anti-Hib antiserum, 5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U/m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L</w:t>
            </w:r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bacitracin, 3.9 µg/m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L </w:t>
            </w:r>
            <w:proofErr w:type="spellStart"/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vancomycin</w:t>
            </w:r>
            <w:proofErr w:type="spellEnd"/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, 0.78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µg/m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L </w:t>
            </w:r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clindamycin)</w:t>
            </w:r>
          </w:p>
        </w:tc>
        <w:tc>
          <w:tcPr>
            <w:tcW w:w="470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Persons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;</w:t>
            </w: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br/>
              <w:t>Point prevalence</w:t>
            </w:r>
          </w:p>
        </w:tc>
        <w:tc>
          <w:tcPr>
            <w:tcW w:w="420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1–2 years</w:t>
            </w:r>
          </w:p>
        </w:tc>
        <w:tc>
          <w:tcPr>
            <w:tcW w:w="480" w:type="pct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Urban: 5.6 </w:t>
            </w: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perscript"/>
                <w:lang w:val="en-US"/>
              </w:rPr>
              <w:t>a</w:t>
            </w: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br/>
              <w:t>Rural: 10.9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208" w:type="pct"/>
            <w:vMerge w:val="restart"/>
            <w:tcBorders>
              <w:bottom w:val="nil"/>
            </w:tcBorders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val="en-US"/>
              </w:rPr>
              <w:t>[55]</w:t>
            </w:r>
          </w:p>
        </w:tc>
        <w:tc>
          <w:tcPr>
            <w:tcW w:w="387" w:type="pct"/>
            <w:vMerge w:val="restart"/>
            <w:tcBorders>
              <w:bottom w:val="nil"/>
            </w:tcBorders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Abdullahi</w:t>
            </w:r>
            <w:proofErr w:type="spellEnd"/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et al. 2008 </w:t>
            </w:r>
          </w:p>
        </w:tc>
        <w:tc>
          <w:tcPr>
            <w:tcW w:w="368" w:type="pct"/>
            <w:vMerge w:val="restart"/>
            <w:tcBorders>
              <w:bottom w:val="nil"/>
            </w:tcBorders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Longitudinal</w:t>
            </w:r>
          </w:p>
        </w:tc>
        <w:tc>
          <w:tcPr>
            <w:tcW w:w="262" w:type="pct"/>
            <w:vMerge w:val="restart"/>
            <w:tcBorders>
              <w:bottom w:val="nil"/>
            </w:tcBorders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2004</w:t>
            </w: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vertAlign w:val="superscript"/>
                <w:lang w:val="en-US"/>
              </w:rPr>
              <w:t xml:space="preserve"> b</w:t>
            </w:r>
          </w:p>
        </w:tc>
        <w:tc>
          <w:tcPr>
            <w:tcW w:w="366" w:type="pct"/>
            <w:vMerge w:val="restart"/>
            <w:tcBorders>
              <w:bottom w:val="nil"/>
            </w:tcBorders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Kenya</w:t>
            </w:r>
          </w:p>
        </w:tc>
        <w:tc>
          <w:tcPr>
            <w:tcW w:w="419" w:type="pct"/>
            <w:vMerge w:val="restart"/>
            <w:tcBorders>
              <w:bottom w:val="nil"/>
            </w:tcBorders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Semi-urban and rural. </w:t>
            </w: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br/>
              <w:t>4 villages</w:t>
            </w:r>
          </w:p>
        </w:tc>
        <w:tc>
          <w:tcPr>
            <w:tcW w:w="418" w:type="pct"/>
            <w:vMerge w:val="restart"/>
            <w:tcBorders>
              <w:bottom w:val="nil"/>
            </w:tcBorders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450 individuals</w:t>
            </w:r>
          </w:p>
        </w:tc>
        <w:tc>
          <w:tcPr>
            <w:tcW w:w="314" w:type="pct"/>
            <w:tcBorders>
              <w:bottom w:val="nil"/>
            </w:tcBorders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864</w:t>
            </w:r>
          </w:p>
        </w:tc>
        <w:tc>
          <w:tcPr>
            <w:tcW w:w="471" w:type="pct"/>
            <w:vMerge w:val="restart"/>
            <w:tcBorders>
              <w:bottom w:val="nil"/>
            </w:tcBorders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Nasopharyngeal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(Rayon)</w:t>
            </w:r>
          </w:p>
        </w:tc>
        <w:tc>
          <w:tcPr>
            <w:tcW w:w="418" w:type="pct"/>
            <w:vMerge w:val="restart"/>
            <w:tcBorders>
              <w:bottom w:val="nil"/>
            </w:tcBorders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Microbiology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(</w:t>
            </w:r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7% 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h</w:t>
            </w:r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orse blood agar 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+ </w:t>
            </w:r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2.5 µg/m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L</w:t>
            </w:r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gentamicin and 7% chocolate agar)</w:t>
            </w:r>
          </w:p>
        </w:tc>
        <w:tc>
          <w:tcPr>
            <w:tcW w:w="470" w:type="pct"/>
            <w:vMerge w:val="restart"/>
            <w:shd w:val="clear" w:color="auto" w:fill="D9D9D9" w:themeFill="background1" w:themeFillShade="D9"/>
          </w:tcPr>
          <w:p w:rsidR="00F657A1" w:rsidRPr="004D4231" w:rsidDel="00C3541C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highlight w:val="green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Persons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;</w:t>
            </w: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br/>
              <w:t>Point prevalence</w:t>
            </w:r>
          </w:p>
        </w:tc>
        <w:tc>
          <w:tcPr>
            <w:tcW w:w="420" w:type="pct"/>
            <w:shd w:val="clear" w:color="auto" w:fill="D9D9D9" w:themeFill="background1" w:themeFillShade="D9"/>
          </w:tcPr>
          <w:p w:rsidR="00F657A1" w:rsidRPr="004D4231" w:rsidDel="00C3541C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highlight w:val="green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480" w:type="pct"/>
            <w:tcBorders>
              <w:bottom w:val="nil"/>
            </w:tcBorders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highlight w:val="green"/>
                <w:lang w:val="en-US"/>
              </w:rPr>
            </w:pP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208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87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6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9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8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4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98</w:t>
            </w:r>
          </w:p>
        </w:tc>
        <w:tc>
          <w:tcPr>
            <w:tcW w:w="471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8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0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0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&lt;1 years</w:t>
            </w:r>
          </w:p>
        </w:tc>
        <w:tc>
          <w:tcPr>
            <w:tcW w:w="480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29 (20–39)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208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87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6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9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8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4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130</w:t>
            </w:r>
          </w:p>
        </w:tc>
        <w:tc>
          <w:tcPr>
            <w:tcW w:w="471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8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0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0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1–2 years</w:t>
            </w:r>
            <w:r w:rsidRPr="004D4231" w:rsidDel="00785934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80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28 (20–36)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208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87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6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9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8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4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121</w:t>
            </w:r>
          </w:p>
        </w:tc>
        <w:tc>
          <w:tcPr>
            <w:tcW w:w="471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8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0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0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3–4 years</w:t>
            </w:r>
            <w:r w:rsidRPr="004D4231" w:rsidDel="00785934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80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21 (15–30)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208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87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6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9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8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4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109</w:t>
            </w:r>
          </w:p>
        </w:tc>
        <w:tc>
          <w:tcPr>
            <w:tcW w:w="471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8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0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0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5–9 years</w:t>
            </w:r>
          </w:p>
        </w:tc>
        <w:tc>
          <w:tcPr>
            <w:tcW w:w="480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24.0 (16–33)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208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87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6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9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8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4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104</w:t>
            </w:r>
          </w:p>
        </w:tc>
        <w:tc>
          <w:tcPr>
            <w:tcW w:w="471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8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0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0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10–19 years</w:t>
            </w:r>
          </w:p>
        </w:tc>
        <w:tc>
          <w:tcPr>
            <w:tcW w:w="480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3.8 (1.1–9.6)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208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87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6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9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8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4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102</w:t>
            </w:r>
          </w:p>
        </w:tc>
        <w:tc>
          <w:tcPr>
            <w:tcW w:w="471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8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0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0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20–29 years</w:t>
            </w:r>
          </w:p>
        </w:tc>
        <w:tc>
          <w:tcPr>
            <w:tcW w:w="480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3.9 (1.1–9.7)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208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87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6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9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8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4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93</w:t>
            </w:r>
          </w:p>
        </w:tc>
        <w:tc>
          <w:tcPr>
            <w:tcW w:w="471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8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0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0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30–49 years</w:t>
            </w:r>
          </w:p>
        </w:tc>
        <w:tc>
          <w:tcPr>
            <w:tcW w:w="480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1.1 (0.03–5.8)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208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87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6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9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8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4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107</w:t>
            </w:r>
          </w:p>
        </w:tc>
        <w:tc>
          <w:tcPr>
            <w:tcW w:w="471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8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0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0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≥50 years</w:t>
            </w:r>
          </w:p>
        </w:tc>
        <w:tc>
          <w:tcPr>
            <w:tcW w:w="480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2.8 (0.6–8.0)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208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87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6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9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8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4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1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8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0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0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0–4 years</w:t>
            </w:r>
          </w:p>
        </w:tc>
        <w:tc>
          <w:tcPr>
            <w:tcW w:w="480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26.0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208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87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6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9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8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4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1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8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0" w:type="pct"/>
            <w:vMerge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0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10–85 years</w:t>
            </w:r>
          </w:p>
        </w:tc>
        <w:tc>
          <w:tcPr>
            <w:tcW w:w="480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3.0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208" w:type="pct"/>
            <w:vMerge w:val="restar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val="en-US"/>
              </w:rPr>
              <w:t>[74]</w:t>
            </w:r>
          </w:p>
        </w:tc>
        <w:tc>
          <w:tcPr>
            <w:tcW w:w="387" w:type="pct"/>
            <w:vMerge w:val="restart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Williams et al. 2011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Cross-sectional</w:t>
            </w:r>
          </w:p>
        </w:tc>
        <w:tc>
          <w:tcPr>
            <w:tcW w:w="262" w:type="pct"/>
            <w:vMerge w:val="restar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366" w:type="pct"/>
            <w:vMerge w:val="restart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Nepal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Urban. Outpatient department, schools and children’s homes</w:t>
            </w:r>
          </w:p>
        </w:tc>
        <w:tc>
          <w:tcPr>
            <w:tcW w:w="418" w:type="pct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2195 children:</w:t>
            </w:r>
          </w:p>
        </w:tc>
        <w:tc>
          <w:tcPr>
            <w:tcW w:w="314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2195</w:t>
            </w:r>
          </w:p>
        </w:tc>
        <w:tc>
          <w:tcPr>
            <w:tcW w:w="471" w:type="pct"/>
            <w:vMerge w:val="restart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Oropharyngeal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(Cotton)</w:t>
            </w:r>
          </w:p>
        </w:tc>
        <w:tc>
          <w:tcPr>
            <w:tcW w:w="418" w:type="pct"/>
            <w:vMerge w:val="restart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Microbiology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(</w:t>
            </w:r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Hib antiserum agar)</w:t>
            </w:r>
          </w:p>
        </w:tc>
        <w:tc>
          <w:tcPr>
            <w:tcW w:w="470" w:type="pct"/>
            <w:vMerge w:val="restar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Persons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;</w:t>
            </w: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br/>
              <w:t>Point prevalence</w:t>
            </w:r>
          </w:p>
        </w:tc>
        <w:tc>
          <w:tcPr>
            <w:tcW w:w="420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0–13 years</w:t>
            </w:r>
          </w:p>
        </w:tc>
        <w:tc>
          <w:tcPr>
            <w:tcW w:w="480" w:type="pct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5.0 (3.9–6.4)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208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8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4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420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3–11 months</w:t>
            </w:r>
          </w:p>
        </w:tc>
        <w:tc>
          <w:tcPr>
            <w:tcW w:w="480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3.4 (2.5–4.7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208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8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4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420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1–4 years</w:t>
            </w:r>
          </w:p>
        </w:tc>
        <w:tc>
          <w:tcPr>
            <w:tcW w:w="480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6.4 (4.7–8.8)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208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8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4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highlight w:val="green"/>
                <w:lang w:val="en-US"/>
              </w:rPr>
            </w:pPr>
          </w:p>
        </w:tc>
        <w:tc>
          <w:tcPr>
            <w:tcW w:w="420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≥5 years</w:t>
            </w:r>
          </w:p>
        </w:tc>
        <w:tc>
          <w:tcPr>
            <w:tcW w:w="480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5.0 (3.1–8.1)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208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8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1311 outpatient department</w:t>
            </w:r>
          </w:p>
        </w:tc>
        <w:tc>
          <w:tcPr>
            <w:tcW w:w="314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0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0–12 years</w:t>
            </w:r>
          </w:p>
        </w:tc>
        <w:tc>
          <w:tcPr>
            <w:tcW w:w="480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4.1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208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8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647 schools</w:t>
            </w:r>
          </w:p>
        </w:tc>
        <w:tc>
          <w:tcPr>
            <w:tcW w:w="314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0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3–13 years</w:t>
            </w:r>
          </w:p>
        </w:tc>
        <w:tc>
          <w:tcPr>
            <w:tcW w:w="480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5.4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208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87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9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8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237 children’s homes</w:t>
            </w:r>
          </w:p>
        </w:tc>
        <w:tc>
          <w:tcPr>
            <w:tcW w:w="314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0" w:type="pct"/>
            <w:vMerge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0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0–12 years</w:t>
            </w:r>
          </w:p>
        </w:tc>
        <w:tc>
          <w:tcPr>
            <w:tcW w:w="480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8.9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5000" w:type="pct"/>
            <w:gridSpan w:val="13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>Immunocompromised population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5000" w:type="pct"/>
            <w:gridSpan w:val="13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No data found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5000" w:type="pct"/>
            <w:gridSpan w:val="13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Sick population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No data found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b/>
                <w:i/>
                <w:color w:val="000000"/>
                <w:sz w:val="16"/>
                <w:szCs w:val="16"/>
                <w:lang w:val="en-US"/>
              </w:rPr>
              <w:t>Lower-middle income countries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5000" w:type="pct"/>
            <w:gridSpan w:val="13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>Healthy population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208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val="en-US"/>
              </w:rPr>
              <w:t>[75]</w:t>
            </w:r>
          </w:p>
        </w:tc>
        <w:tc>
          <w:tcPr>
            <w:tcW w:w="387" w:type="pct"/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Das et al. 2002 </w:t>
            </w:r>
          </w:p>
        </w:tc>
        <w:tc>
          <w:tcPr>
            <w:tcW w:w="368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Cross-sectional</w:t>
            </w:r>
          </w:p>
        </w:tc>
        <w:tc>
          <w:tcPr>
            <w:tcW w:w="262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2000–2001</w:t>
            </w:r>
          </w:p>
        </w:tc>
        <w:tc>
          <w:tcPr>
            <w:tcW w:w="366" w:type="pct"/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India</w:t>
            </w:r>
          </w:p>
        </w:tc>
        <w:tc>
          <w:tcPr>
            <w:tcW w:w="419" w:type="pct"/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Urban. </w:t>
            </w: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br/>
              <w:t>Schools</w:t>
            </w:r>
          </w:p>
        </w:tc>
        <w:tc>
          <w:tcPr>
            <w:tcW w:w="418" w:type="pct"/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566 children</w:t>
            </w:r>
          </w:p>
        </w:tc>
        <w:tc>
          <w:tcPr>
            <w:tcW w:w="314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566</w:t>
            </w:r>
          </w:p>
        </w:tc>
        <w:tc>
          <w:tcPr>
            <w:tcW w:w="471" w:type="pct"/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Nasopharyngeal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(NR)</w:t>
            </w:r>
          </w:p>
        </w:tc>
        <w:tc>
          <w:tcPr>
            <w:tcW w:w="418" w:type="pct"/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Microbiology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(</w:t>
            </w:r>
            <w:r w:rsidRPr="005F26F7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Modifi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ed chocolate agar and 5% sheep</w:t>
            </w:r>
            <w:r w:rsidRPr="005F26F7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blood agar)</w:t>
            </w:r>
          </w:p>
        </w:tc>
        <w:tc>
          <w:tcPr>
            <w:tcW w:w="470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Persons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;</w:t>
            </w: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br/>
              <w:t>Point prevalence</w:t>
            </w:r>
          </w:p>
        </w:tc>
        <w:tc>
          <w:tcPr>
            <w:tcW w:w="420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5–12 years</w:t>
            </w:r>
          </w:p>
        </w:tc>
        <w:tc>
          <w:tcPr>
            <w:tcW w:w="480" w:type="pct"/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28.6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208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val="en-US"/>
              </w:rPr>
              <w:t>[76]</w:t>
            </w:r>
          </w:p>
        </w:tc>
        <w:tc>
          <w:tcPr>
            <w:tcW w:w="387" w:type="pct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Sekhar</w:t>
            </w:r>
            <w:proofErr w:type="spellEnd"/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et al. 2009 </w:t>
            </w:r>
          </w:p>
        </w:tc>
        <w:tc>
          <w:tcPr>
            <w:tcW w:w="368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Cross-sectional</w:t>
            </w:r>
          </w:p>
        </w:tc>
        <w:tc>
          <w:tcPr>
            <w:tcW w:w="262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2005–2006</w:t>
            </w:r>
          </w:p>
        </w:tc>
        <w:tc>
          <w:tcPr>
            <w:tcW w:w="366" w:type="pct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India</w:t>
            </w:r>
          </w:p>
        </w:tc>
        <w:tc>
          <w:tcPr>
            <w:tcW w:w="419" w:type="pct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Rural and urban. </w:t>
            </w: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br/>
              <w:t>Random households</w:t>
            </w:r>
          </w:p>
        </w:tc>
        <w:tc>
          <w:tcPr>
            <w:tcW w:w="418" w:type="pct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1000 children</w:t>
            </w:r>
          </w:p>
        </w:tc>
        <w:tc>
          <w:tcPr>
            <w:tcW w:w="314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1000</w:t>
            </w:r>
          </w:p>
        </w:tc>
        <w:tc>
          <w:tcPr>
            <w:tcW w:w="471" w:type="pct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Nasopharyngeal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(Calcium alginate)</w:t>
            </w:r>
          </w:p>
        </w:tc>
        <w:tc>
          <w:tcPr>
            <w:tcW w:w="418" w:type="pct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Microbiology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(</w:t>
            </w:r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Chocolate agar 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+ </w:t>
            </w:r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300 </w:t>
            </w:r>
            <w:proofErr w:type="spellStart"/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μg</w:t>
            </w:r>
            <w:proofErr w:type="spellEnd"/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/m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L</w:t>
            </w:r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bacitracin)</w:t>
            </w:r>
          </w:p>
        </w:tc>
        <w:tc>
          <w:tcPr>
            <w:tcW w:w="470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Persons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;</w:t>
            </w: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br/>
              <w:t>Point prevalence</w:t>
            </w:r>
          </w:p>
        </w:tc>
        <w:tc>
          <w:tcPr>
            <w:tcW w:w="420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&lt;2 years</w:t>
            </w:r>
          </w:p>
        </w:tc>
        <w:tc>
          <w:tcPr>
            <w:tcW w:w="480" w:type="pct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11.2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208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val="en-US"/>
              </w:rPr>
              <w:t>[73]</w:t>
            </w:r>
          </w:p>
        </w:tc>
        <w:tc>
          <w:tcPr>
            <w:tcW w:w="387" w:type="pct"/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Gessner</w:t>
            </w:r>
            <w:proofErr w:type="spellEnd"/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et al. 1998 </w:t>
            </w:r>
          </w:p>
        </w:tc>
        <w:tc>
          <w:tcPr>
            <w:tcW w:w="368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Cross-sectional</w:t>
            </w:r>
          </w:p>
        </w:tc>
        <w:tc>
          <w:tcPr>
            <w:tcW w:w="262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NR</w:t>
            </w:r>
          </w:p>
        </w:tc>
        <w:tc>
          <w:tcPr>
            <w:tcW w:w="366" w:type="pct"/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Indonesia</w:t>
            </w:r>
          </w:p>
        </w:tc>
        <w:tc>
          <w:tcPr>
            <w:tcW w:w="419" w:type="pct"/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Rural. </w:t>
            </w: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br/>
              <w:t>20 randomly selected settlements</w:t>
            </w:r>
          </w:p>
        </w:tc>
        <w:tc>
          <w:tcPr>
            <w:tcW w:w="418" w:type="pct"/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484 children</w:t>
            </w:r>
          </w:p>
        </w:tc>
        <w:tc>
          <w:tcPr>
            <w:tcW w:w="314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484</w:t>
            </w:r>
          </w:p>
        </w:tc>
        <w:tc>
          <w:tcPr>
            <w:tcW w:w="471" w:type="pct"/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Nasopharyngeal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(WHO)</w:t>
            </w:r>
          </w:p>
        </w:tc>
        <w:tc>
          <w:tcPr>
            <w:tcW w:w="418" w:type="pct"/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Microbiology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(</w:t>
            </w:r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Chocolate agar 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+</w:t>
            </w:r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300 µg/m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L</w:t>
            </w:r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bacitracin)</w:t>
            </w:r>
          </w:p>
        </w:tc>
        <w:tc>
          <w:tcPr>
            <w:tcW w:w="470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Persons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;</w:t>
            </w: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br/>
              <w:t>Point prevalence</w:t>
            </w:r>
          </w:p>
        </w:tc>
        <w:tc>
          <w:tcPr>
            <w:tcW w:w="420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0–24 months</w:t>
            </w:r>
          </w:p>
        </w:tc>
        <w:tc>
          <w:tcPr>
            <w:tcW w:w="480" w:type="pct"/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4.6 (3.7–5.5)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4D4231">
              <w:rPr>
                <w:rFonts w:ascii="Arial Narrow" w:eastAsia="Times New Roman" w:hAnsi="Arial Narrow" w:cs="Arial"/>
                <w:iCs/>
                <w:color w:val="000000"/>
                <w:sz w:val="16"/>
                <w:szCs w:val="16"/>
                <w:vertAlign w:val="superscript"/>
                <w:lang w:val="en-US"/>
              </w:rPr>
              <w:t>c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208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val="en-US"/>
              </w:rPr>
              <w:t>[36]</w:t>
            </w:r>
          </w:p>
        </w:tc>
        <w:tc>
          <w:tcPr>
            <w:tcW w:w="387" w:type="pct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Vu et al. 2011</w:t>
            </w:r>
          </w:p>
        </w:tc>
        <w:tc>
          <w:tcPr>
            <w:tcW w:w="368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Case-control</w:t>
            </w:r>
          </w:p>
        </w:tc>
        <w:tc>
          <w:tcPr>
            <w:tcW w:w="262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2007–2008</w:t>
            </w:r>
          </w:p>
        </w:tc>
        <w:tc>
          <w:tcPr>
            <w:tcW w:w="366" w:type="pct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Vietnam</w:t>
            </w:r>
          </w:p>
        </w:tc>
        <w:tc>
          <w:tcPr>
            <w:tcW w:w="419" w:type="pct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Urban/rural: NR. Pediatric department</w:t>
            </w:r>
          </w:p>
        </w:tc>
        <w:tc>
          <w:tcPr>
            <w:tcW w:w="418" w:type="pct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350 children</w:t>
            </w:r>
          </w:p>
        </w:tc>
        <w:tc>
          <w:tcPr>
            <w:tcW w:w="314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NR</w:t>
            </w:r>
          </w:p>
        </w:tc>
        <w:tc>
          <w:tcPr>
            <w:tcW w:w="471" w:type="pct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Nasopharyngeal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(Dacron, WHO)</w:t>
            </w:r>
          </w:p>
        </w:tc>
        <w:tc>
          <w:tcPr>
            <w:tcW w:w="418" w:type="pct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Molecular (PCR)</w:t>
            </w:r>
          </w:p>
        </w:tc>
        <w:tc>
          <w:tcPr>
            <w:tcW w:w="470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Persons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;</w:t>
            </w: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br/>
              <w:t>Point prevalence</w:t>
            </w:r>
          </w:p>
        </w:tc>
        <w:tc>
          <w:tcPr>
            <w:tcW w:w="420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&lt;5 years</w:t>
            </w:r>
          </w:p>
        </w:tc>
        <w:tc>
          <w:tcPr>
            <w:tcW w:w="480" w:type="pct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31.4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5000" w:type="pct"/>
            <w:gridSpan w:val="13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>Immunocompromised population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208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val="en-US"/>
              </w:rPr>
              <w:t>[70]</w:t>
            </w:r>
          </w:p>
        </w:tc>
        <w:tc>
          <w:tcPr>
            <w:tcW w:w="387" w:type="pct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Bhattacharya et al. 2012</w:t>
            </w:r>
          </w:p>
        </w:tc>
        <w:tc>
          <w:tcPr>
            <w:tcW w:w="368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Cross-sectional</w:t>
            </w:r>
          </w:p>
        </w:tc>
        <w:tc>
          <w:tcPr>
            <w:tcW w:w="262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2008–2009</w:t>
            </w:r>
          </w:p>
        </w:tc>
        <w:tc>
          <w:tcPr>
            <w:tcW w:w="366" w:type="pct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India</w:t>
            </w:r>
          </w:p>
        </w:tc>
        <w:tc>
          <w:tcPr>
            <w:tcW w:w="419" w:type="pct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Urban/rural: NR. </w:t>
            </w: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br/>
              <w:t>Outpatient care at pediatric HIV clinic</w:t>
            </w:r>
          </w:p>
        </w:tc>
        <w:tc>
          <w:tcPr>
            <w:tcW w:w="418" w:type="pct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148 children with HIV</w:t>
            </w:r>
          </w:p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4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148</w:t>
            </w:r>
          </w:p>
        </w:tc>
        <w:tc>
          <w:tcPr>
            <w:tcW w:w="471" w:type="pct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Nasopharyngeal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(Calcium alginate)</w:t>
            </w:r>
          </w:p>
        </w:tc>
        <w:tc>
          <w:tcPr>
            <w:tcW w:w="418" w:type="pct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Microbiology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(</w:t>
            </w:r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Sheep blood agar 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+ </w:t>
            </w:r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 µg/m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L</w:t>
            </w:r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gentamicin and chocolate agar 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+</w:t>
            </w:r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300 µg/m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L</w:t>
            </w:r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bacitracin)</w:t>
            </w:r>
          </w:p>
        </w:tc>
        <w:tc>
          <w:tcPr>
            <w:tcW w:w="470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Persons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;</w:t>
            </w: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br/>
              <w:t>Point prevalence</w:t>
            </w:r>
          </w:p>
        </w:tc>
        <w:tc>
          <w:tcPr>
            <w:tcW w:w="420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1–16 years</w:t>
            </w:r>
          </w:p>
        </w:tc>
        <w:tc>
          <w:tcPr>
            <w:tcW w:w="480" w:type="pct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24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208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val="en-US"/>
              </w:rPr>
              <w:t>[71]</w:t>
            </w:r>
          </w:p>
        </w:tc>
        <w:tc>
          <w:tcPr>
            <w:tcW w:w="387" w:type="pct"/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Mwenya</w:t>
            </w:r>
            <w:proofErr w:type="spellEnd"/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et al. 2010</w:t>
            </w:r>
          </w:p>
        </w:tc>
        <w:tc>
          <w:tcPr>
            <w:tcW w:w="368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Double-blind, randomized control study</w:t>
            </w:r>
          </w:p>
        </w:tc>
        <w:tc>
          <w:tcPr>
            <w:tcW w:w="262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2002–2003</w:t>
            </w:r>
          </w:p>
        </w:tc>
        <w:tc>
          <w:tcPr>
            <w:tcW w:w="366" w:type="pct"/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Zambia</w:t>
            </w:r>
          </w:p>
        </w:tc>
        <w:tc>
          <w:tcPr>
            <w:tcW w:w="419" w:type="pct"/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Urban. Suburbs</w:t>
            </w:r>
          </w:p>
        </w:tc>
        <w:tc>
          <w:tcPr>
            <w:tcW w:w="418" w:type="pct"/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439 children with HIV</w:t>
            </w:r>
          </w:p>
        </w:tc>
        <w:tc>
          <w:tcPr>
            <w:tcW w:w="314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630</w:t>
            </w:r>
          </w:p>
        </w:tc>
        <w:tc>
          <w:tcPr>
            <w:tcW w:w="471" w:type="pct"/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Nasopharyngeal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(Rayon)</w:t>
            </w:r>
          </w:p>
        </w:tc>
        <w:tc>
          <w:tcPr>
            <w:tcW w:w="418" w:type="pct"/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Microbiology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(</w:t>
            </w:r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chocolate agar 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+</w:t>
            </w:r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5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µg/m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L</w:t>
            </w:r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vancomycin</w:t>
            </w:r>
            <w:proofErr w:type="spellEnd"/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470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Persons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;</w:t>
            </w: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br/>
              <w:t>Point prevalence</w:t>
            </w:r>
          </w:p>
        </w:tc>
        <w:tc>
          <w:tcPr>
            <w:tcW w:w="420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6 months–14 years</w:t>
            </w:r>
          </w:p>
        </w:tc>
        <w:tc>
          <w:tcPr>
            <w:tcW w:w="480" w:type="pct"/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29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5000" w:type="pct"/>
            <w:gridSpan w:val="13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val="en-US"/>
              </w:rPr>
              <w:t>Sick population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208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val="en-US"/>
              </w:rPr>
              <w:t>[62]</w:t>
            </w:r>
          </w:p>
        </w:tc>
        <w:tc>
          <w:tcPr>
            <w:tcW w:w="387" w:type="pct"/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Mastro</w:t>
            </w:r>
            <w:proofErr w:type="spellEnd"/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et al.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1993</w:t>
            </w:r>
          </w:p>
        </w:tc>
        <w:tc>
          <w:tcPr>
            <w:tcW w:w="368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Cross-sectional</w:t>
            </w:r>
          </w:p>
        </w:tc>
        <w:tc>
          <w:tcPr>
            <w:tcW w:w="262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1989–1990</w:t>
            </w:r>
          </w:p>
        </w:tc>
        <w:tc>
          <w:tcPr>
            <w:tcW w:w="366" w:type="pct"/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Pakistan</w:t>
            </w:r>
          </w:p>
        </w:tc>
        <w:tc>
          <w:tcPr>
            <w:tcW w:w="419" w:type="pct"/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Rural. Outpatient clinics, emergency departments and immunization clinics</w:t>
            </w:r>
          </w:p>
        </w:tc>
        <w:tc>
          <w:tcPr>
            <w:tcW w:w="418" w:type="pct"/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601 children with ARI</w:t>
            </w:r>
          </w:p>
        </w:tc>
        <w:tc>
          <w:tcPr>
            <w:tcW w:w="314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601</w:t>
            </w:r>
          </w:p>
        </w:tc>
        <w:tc>
          <w:tcPr>
            <w:tcW w:w="471" w:type="pct"/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Nasopharyngeal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(Dacron)</w:t>
            </w:r>
          </w:p>
        </w:tc>
        <w:tc>
          <w:tcPr>
            <w:tcW w:w="418" w:type="pct"/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Microbiology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Trypticase</w:t>
            </w:r>
            <w:proofErr w:type="spellEnd"/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soy agar 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+ 5% sheep</w:t>
            </w:r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blood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,</w:t>
            </w:r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5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µg/m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L </w:t>
            </w:r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gentam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i</w:t>
            </w:r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cin and chocolate agar 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+</w:t>
            </w:r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300 µg/m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L</w:t>
            </w:r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bacitracin)</w:t>
            </w:r>
          </w:p>
        </w:tc>
        <w:tc>
          <w:tcPr>
            <w:tcW w:w="470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Persons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;</w:t>
            </w: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br/>
              <w:t>Point prevalence</w:t>
            </w:r>
          </w:p>
        </w:tc>
        <w:tc>
          <w:tcPr>
            <w:tcW w:w="420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Mean: 14.5 months</w:t>
            </w:r>
          </w:p>
        </w:tc>
        <w:tc>
          <w:tcPr>
            <w:tcW w:w="480" w:type="pct"/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36.6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208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val="en-US"/>
              </w:rPr>
              <w:lastRenderedPageBreak/>
              <w:t>[61]</w:t>
            </w:r>
          </w:p>
        </w:tc>
        <w:tc>
          <w:tcPr>
            <w:tcW w:w="387" w:type="pct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Lupisan</w:t>
            </w:r>
            <w:proofErr w:type="spellEnd"/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et al. 2000 </w:t>
            </w:r>
          </w:p>
        </w:tc>
        <w:tc>
          <w:tcPr>
            <w:tcW w:w="368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Cross-sectional</w:t>
            </w:r>
          </w:p>
        </w:tc>
        <w:tc>
          <w:tcPr>
            <w:tcW w:w="262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1994</w:t>
            </w:r>
          </w:p>
        </w:tc>
        <w:tc>
          <w:tcPr>
            <w:tcW w:w="366" w:type="pct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The Philippines</w:t>
            </w:r>
          </w:p>
        </w:tc>
        <w:tc>
          <w:tcPr>
            <w:tcW w:w="419" w:type="pct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Rural. </w:t>
            </w: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br/>
              <w:t>Tertiary care government hospital</w:t>
            </w:r>
          </w:p>
        </w:tc>
        <w:tc>
          <w:tcPr>
            <w:tcW w:w="418" w:type="pct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956 children with severe pneumonia, suspected meningitis, or clinical suspicion of sepsis.</w:t>
            </w:r>
          </w:p>
        </w:tc>
        <w:tc>
          <w:tcPr>
            <w:tcW w:w="314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935</w:t>
            </w:r>
          </w:p>
        </w:tc>
        <w:tc>
          <w:tcPr>
            <w:tcW w:w="471" w:type="pct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Nasopharyngeal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(Cotton)</w:t>
            </w:r>
          </w:p>
        </w:tc>
        <w:tc>
          <w:tcPr>
            <w:tcW w:w="418" w:type="pct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Microbiology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(</w:t>
            </w:r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Sheep blood agar 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+</w:t>
            </w:r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5 µg/m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L</w:t>
            </w:r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gentamycin and chocolate agar 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+ </w:t>
            </w:r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100 µg/m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L </w:t>
            </w:r>
            <w:r w:rsidRPr="00783DAA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bacitracin)</w:t>
            </w:r>
          </w:p>
        </w:tc>
        <w:tc>
          <w:tcPr>
            <w:tcW w:w="470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NR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;</w:t>
            </w: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br/>
              <w:t>Point prevalence</w:t>
            </w:r>
          </w:p>
        </w:tc>
        <w:tc>
          <w:tcPr>
            <w:tcW w:w="420" w:type="pct"/>
            <w:shd w:val="clear" w:color="auto" w:fill="auto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0–59 months</w:t>
            </w:r>
          </w:p>
        </w:tc>
        <w:tc>
          <w:tcPr>
            <w:tcW w:w="480" w:type="pct"/>
            <w:shd w:val="clear" w:color="auto" w:fill="auto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15.2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208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6"/>
                <w:szCs w:val="16"/>
                <w:lang w:val="en-US"/>
              </w:rPr>
              <w:t>[36]</w:t>
            </w:r>
          </w:p>
        </w:tc>
        <w:tc>
          <w:tcPr>
            <w:tcW w:w="387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Vu et al. 2011 </w:t>
            </w:r>
          </w:p>
        </w:tc>
        <w:tc>
          <w:tcPr>
            <w:tcW w:w="368" w:type="pct"/>
            <w:vMerge w:val="restar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Case-control</w:t>
            </w:r>
          </w:p>
        </w:tc>
        <w:tc>
          <w:tcPr>
            <w:tcW w:w="262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2007–2008</w:t>
            </w:r>
          </w:p>
        </w:tc>
        <w:tc>
          <w:tcPr>
            <w:tcW w:w="366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Vietnam</w:t>
            </w:r>
          </w:p>
        </w:tc>
        <w:tc>
          <w:tcPr>
            <w:tcW w:w="419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Urban/rural: NR. Pediatric department</w:t>
            </w:r>
          </w:p>
        </w:tc>
        <w:tc>
          <w:tcPr>
            <w:tcW w:w="418" w:type="pct"/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274 children with 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radiologically</w:t>
            </w: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confirmed pneumonia</w:t>
            </w:r>
          </w:p>
        </w:tc>
        <w:tc>
          <w:tcPr>
            <w:tcW w:w="314" w:type="pct"/>
            <w:vMerge w:val="restar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NR</w:t>
            </w:r>
          </w:p>
        </w:tc>
        <w:tc>
          <w:tcPr>
            <w:tcW w:w="471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Nasopharyngeal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 xml:space="preserve"> (Dacron, WHO)</w:t>
            </w:r>
          </w:p>
        </w:tc>
        <w:tc>
          <w:tcPr>
            <w:tcW w:w="418" w:type="pct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Molecular (PCR)</w:t>
            </w:r>
          </w:p>
        </w:tc>
        <w:tc>
          <w:tcPr>
            <w:tcW w:w="470" w:type="pct"/>
            <w:vMerge w:val="restar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Persons</w:t>
            </w: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;</w:t>
            </w: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br/>
              <w:t>Point prevalence</w:t>
            </w:r>
          </w:p>
        </w:tc>
        <w:tc>
          <w:tcPr>
            <w:tcW w:w="420" w:type="pct"/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&lt;5 years</w:t>
            </w:r>
          </w:p>
        </w:tc>
        <w:tc>
          <w:tcPr>
            <w:tcW w:w="480" w:type="pct"/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50</w:t>
            </w:r>
          </w:p>
        </w:tc>
      </w:tr>
      <w:tr w:rsidR="00F657A1" w:rsidRPr="004D4231" w:rsidTr="009B5EAB">
        <w:trPr>
          <w:trHeight w:val="227"/>
          <w:jc w:val="center"/>
        </w:trPr>
        <w:tc>
          <w:tcPr>
            <w:tcW w:w="208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8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2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9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276 children with other LRTI</w:t>
            </w:r>
          </w:p>
        </w:tc>
        <w:tc>
          <w:tcPr>
            <w:tcW w:w="314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0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F657A1" w:rsidRPr="004D4231" w:rsidRDefault="00F657A1" w:rsidP="009B5EA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</w:pPr>
            <w:r w:rsidRPr="004D4231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val="en-US"/>
              </w:rPr>
              <w:t>53.5</w:t>
            </w:r>
          </w:p>
        </w:tc>
      </w:tr>
    </w:tbl>
    <w:p w:rsidR="00F657A1" w:rsidRPr="004D4231" w:rsidRDefault="00F657A1" w:rsidP="00F657A1">
      <w:pPr>
        <w:spacing w:after="0"/>
        <w:ind w:left="284"/>
        <w:rPr>
          <w:rFonts w:ascii="Times New Roman" w:hAnsi="Times New Roman" w:cs="Times New Roman"/>
          <w:sz w:val="20"/>
          <w:szCs w:val="20"/>
          <w:lang w:val="en-US"/>
        </w:rPr>
      </w:pPr>
      <w:r w:rsidRPr="004D4231">
        <w:rPr>
          <w:rFonts w:ascii="Times New Roman" w:hAnsi="Times New Roman" w:cs="Times New Roman"/>
          <w:sz w:val="20"/>
          <w:szCs w:val="20"/>
          <w:lang w:val="en-US"/>
        </w:rPr>
        <w:t xml:space="preserve">ARI, acute respiratory infection; HIV, human immunodeficiency virus; LRTI, lower respiratory tract infection; PCR, polymerase chain reaction; NR, not reported. </w:t>
      </w:r>
    </w:p>
    <w:p w:rsidR="00F657A1" w:rsidRPr="004D4231" w:rsidRDefault="00F657A1" w:rsidP="00F657A1">
      <w:pPr>
        <w:spacing w:after="0"/>
        <w:ind w:left="284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4D423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proofErr w:type="spellEnd"/>
      <w:proofErr w:type="gramEnd"/>
      <w:r w:rsidRPr="004D423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Pr="004D4231">
        <w:rPr>
          <w:rFonts w:ascii="Times New Roman" w:hAnsi="Times New Roman" w:cs="Times New Roman"/>
          <w:sz w:val="20"/>
          <w:szCs w:val="20"/>
          <w:lang w:val="en-US"/>
        </w:rPr>
        <w:t xml:space="preserve">All carriage rates presented are from the control group. </w:t>
      </w:r>
    </w:p>
    <w:p w:rsidR="00F657A1" w:rsidRPr="004D4231" w:rsidRDefault="00F657A1" w:rsidP="00F657A1">
      <w:pPr>
        <w:spacing w:after="0"/>
        <w:ind w:left="284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4D423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b</w:t>
      </w:r>
      <w:proofErr w:type="gramEnd"/>
      <w:r w:rsidRPr="004D423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Pr="004D4231">
        <w:rPr>
          <w:rFonts w:ascii="Times New Roman" w:hAnsi="Times New Roman" w:cs="Times New Roman"/>
          <w:sz w:val="20"/>
          <w:szCs w:val="20"/>
          <w:lang w:val="en-US"/>
        </w:rPr>
        <w:t>Post-Hib vaccination data</w:t>
      </w:r>
    </w:p>
    <w:p w:rsidR="00F657A1" w:rsidRDefault="00F657A1" w:rsidP="00D071A0">
      <w:pPr>
        <w:spacing w:after="0"/>
        <w:ind w:left="284"/>
      </w:pPr>
      <w:proofErr w:type="gramStart"/>
      <w:r w:rsidRPr="004D423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c</w:t>
      </w:r>
      <w:proofErr w:type="gramEnd"/>
      <w:r w:rsidRPr="004D423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Pr="004D4231">
        <w:rPr>
          <w:rFonts w:ascii="Times New Roman" w:hAnsi="Times New Roman" w:cs="Times New Roman"/>
          <w:sz w:val="20"/>
          <w:szCs w:val="20"/>
          <w:lang w:val="en-US"/>
        </w:rPr>
        <w:t xml:space="preserve">Age- and population-weighted carriage rate, adjusted for design effect. </w:t>
      </w:r>
    </w:p>
    <w:p w:rsidR="00D51F97" w:rsidRDefault="00D51F97"/>
    <w:sectPr w:rsidR="00D51F97" w:rsidSect="003A05C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A17" w:rsidRDefault="00953A17">
      <w:pPr>
        <w:spacing w:after="0" w:line="240" w:lineRule="auto"/>
      </w:pPr>
      <w:r>
        <w:separator/>
      </w:r>
    </w:p>
  </w:endnote>
  <w:endnote w:type="continuationSeparator" w:id="0">
    <w:p w:rsidR="00953A17" w:rsidRDefault="0095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564">
    <w:altName w:val="Times New Roman"/>
    <w:panose1 w:val="00000000000000000000"/>
    <w:charset w:val="00"/>
    <w:family w:val="auto"/>
    <w:notTrueType/>
    <w:pitch w:val="default"/>
    <w:sig w:usb0="0028A6B8" w:usb1="BFF728A2" w:usb2="00000008" w:usb3="00AC448C" w:csb0="0062D694" w:csb1="00000001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709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05C8" w:rsidRPr="00AB3D98" w:rsidRDefault="0044770A">
        <w:pPr>
          <w:pStyle w:val="Footer"/>
          <w:jc w:val="center"/>
          <w:rPr>
            <w:lang w:val="en-GB"/>
          </w:rPr>
        </w:pPr>
        <w:r>
          <w:fldChar w:fldCharType="begin"/>
        </w:r>
        <w:r w:rsidRPr="00AB3D98">
          <w:rPr>
            <w:lang w:val="en-GB"/>
          </w:rPr>
          <w:instrText xml:space="preserve"> PAGE   \* MERGEFORMAT </w:instrText>
        </w:r>
        <w:r>
          <w:fldChar w:fldCharType="separate"/>
        </w:r>
        <w:r w:rsidR="00D071A0">
          <w:rPr>
            <w:noProof/>
            <w:lang w:val="en-GB"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A17" w:rsidRDefault="00953A17">
      <w:pPr>
        <w:spacing w:after="0" w:line="240" w:lineRule="auto"/>
      </w:pPr>
      <w:r>
        <w:separator/>
      </w:r>
    </w:p>
  </w:footnote>
  <w:footnote w:type="continuationSeparator" w:id="0">
    <w:p w:rsidR="00953A17" w:rsidRDefault="00953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5C8" w:rsidRPr="00EA0355" w:rsidRDefault="00953A17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A9B"/>
    <w:multiLevelType w:val="hybridMultilevel"/>
    <w:tmpl w:val="B4E65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A439C"/>
    <w:multiLevelType w:val="hybridMultilevel"/>
    <w:tmpl w:val="77905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673EB"/>
    <w:multiLevelType w:val="hybridMultilevel"/>
    <w:tmpl w:val="0400E4E4"/>
    <w:lvl w:ilvl="0" w:tplc="AE881D2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F2FB6"/>
    <w:multiLevelType w:val="hybridMultilevel"/>
    <w:tmpl w:val="279C0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174B5"/>
    <w:multiLevelType w:val="hybridMultilevel"/>
    <w:tmpl w:val="BA248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124B13"/>
    <w:multiLevelType w:val="hybridMultilevel"/>
    <w:tmpl w:val="A2C2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D5D30"/>
    <w:multiLevelType w:val="hybridMultilevel"/>
    <w:tmpl w:val="9DAEC8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60282C"/>
    <w:multiLevelType w:val="hybridMultilevel"/>
    <w:tmpl w:val="A39C20E4"/>
    <w:lvl w:ilvl="0" w:tplc="56B6E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F578E"/>
    <w:multiLevelType w:val="hybridMultilevel"/>
    <w:tmpl w:val="8F1811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A5BDD"/>
    <w:multiLevelType w:val="hybridMultilevel"/>
    <w:tmpl w:val="0D6AF7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8A7E7C"/>
    <w:multiLevelType w:val="hybridMultilevel"/>
    <w:tmpl w:val="68F2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068FB"/>
    <w:multiLevelType w:val="hybridMultilevel"/>
    <w:tmpl w:val="076CF66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B046D1C"/>
    <w:multiLevelType w:val="hybridMultilevel"/>
    <w:tmpl w:val="2E969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130C51"/>
    <w:multiLevelType w:val="hybridMultilevel"/>
    <w:tmpl w:val="919209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A640D0"/>
    <w:multiLevelType w:val="hybridMultilevel"/>
    <w:tmpl w:val="7C789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65364"/>
    <w:multiLevelType w:val="hybridMultilevel"/>
    <w:tmpl w:val="7E8A1CDE"/>
    <w:lvl w:ilvl="0" w:tplc="C59C8B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55C19"/>
    <w:multiLevelType w:val="hybridMultilevel"/>
    <w:tmpl w:val="C3A2A3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F342FE"/>
    <w:multiLevelType w:val="hybridMultilevel"/>
    <w:tmpl w:val="935E0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310243"/>
    <w:multiLevelType w:val="hybridMultilevel"/>
    <w:tmpl w:val="DB8E8A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6B32A0"/>
    <w:multiLevelType w:val="hybridMultilevel"/>
    <w:tmpl w:val="C0BEED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700245"/>
    <w:multiLevelType w:val="hybridMultilevel"/>
    <w:tmpl w:val="5A90AE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FC2787"/>
    <w:multiLevelType w:val="hybridMultilevel"/>
    <w:tmpl w:val="51BE3C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33E59"/>
    <w:multiLevelType w:val="hybridMultilevel"/>
    <w:tmpl w:val="4F6E84E8"/>
    <w:lvl w:ilvl="0" w:tplc="E738D2C4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52AC9"/>
    <w:multiLevelType w:val="hybridMultilevel"/>
    <w:tmpl w:val="B5FE6F4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205C6"/>
    <w:multiLevelType w:val="hybridMultilevel"/>
    <w:tmpl w:val="69C07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5B0AF1"/>
    <w:multiLevelType w:val="hybridMultilevel"/>
    <w:tmpl w:val="DE0C15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6206DB8"/>
    <w:multiLevelType w:val="hybridMultilevel"/>
    <w:tmpl w:val="3AF42D2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4B0C5749"/>
    <w:multiLevelType w:val="hybridMultilevel"/>
    <w:tmpl w:val="C340FD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7E532E"/>
    <w:multiLevelType w:val="hybridMultilevel"/>
    <w:tmpl w:val="BAD07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E44BA5"/>
    <w:multiLevelType w:val="hybridMultilevel"/>
    <w:tmpl w:val="66D2F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476C2B"/>
    <w:multiLevelType w:val="hybridMultilevel"/>
    <w:tmpl w:val="0284CC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FD1FD1"/>
    <w:multiLevelType w:val="hybridMultilevel"/>
    <w:tmpl w:val="43A46B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A6323F"/>
    <w:multiLevelType w:val="hybridMultilevel"/>
    <w:tmpl w:val="8C02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45239"/>
    <w:multiLevelType w:val="multilevel"/>
    <w:tmpl w:val="68CA6B5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4"/>
        </w:tabs>
        <w:ind w:left="1004" w:hanging="720"/>
      </w:pPr>
      <w:rPr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90"/>
        </w:tabs>
        <w:ind w:left="1290" w:hanging="864"/>
      </w:pPr>
      <w:rPr>
        <w:lang w:val="en-GB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5DC524CD"/>
    <w:multiLevelType w:val="multilevel"/>
    <w:tmpl w:val="002E602C"/>
    <w:lvl w:ilvl="0">
      <w:start w:val="1"/>
      <w:numFmt w:val="bullet"/>
      <w:pStyle w:val="LijstBullets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suff w:val="space"/>
      <w:lvlText w:val="-"/>
      <w:lvlJc w:val="left"/>
      <w:pPr>
        <w:ind w:left="720" w:hanging="522"/>
      </w:pPr>
      <w:rPr>
        <w:rFonts w:ascii="font564" w:hAnsi="font564" w:hint="default"/>
      </w:rPr>
    </w:lvl>
    <w:lvl w:ilvl="2">
      <w:start w:val="1"/>
      <w:numFmt w:val="bullet"/>
      <w:suff w:val="space"/>
      <w:lvlText w:val=""/>
      <w:lvlJc w:val="left"/>
      <w:pPr>
        <w:ind w:left="0" w:firstLine="284"/>
      </w:pPr>
      <w:rPr>
        <w:rFonts w:ascii="Wingdings" w:hAnsi="Wingdings" w:hint="default"/>
        <w:kern w:val="2"/>
        <w:position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>
    <w:nsid w:val="5E2165F5"/>
    <w:multiLevelType w:val="hybridMultilevel"/>
    <w:tmpl w:val="86F62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31094"/>
    <w:multiLevelType w:val="hybridMultilevel"/>
    <w:tmpl w:val="8398D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2531A5"/>
    <w:multiLevelType w:val="hybridMultilevel"/>
    <w:tmpl w:val="7994B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5D0C31"/>
    <w:multiLevelType w:val="hybridMultilevel"/>
    <w:tmpl w:val="C23E7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B310C2"/>
    <w:multiLevelType w:val="hybridMultilevel"/>
    <w:tmpl w:val="6100C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5100D"/>
    <w:multiLevelType w:val="hybridMultilevel"/>
    <w:tmpl w:val="F87C4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771E2B"/>
    <w:multiLevelType w:val="hybridMultilevel"/>
    <w:tmpl w:val="064026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6EE7542E"/>
    <w:multiLevelType w:val="hybridMultilevel"/>
    <w:tmpl w:val="AE9AD4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184D2E"/>
    <w:multiLevelType w:val="hybridMultilevel"/>
    <w:tmpl w:val="88385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73500CD"/>
    <w:multiLevelType w:val="hybridMultilevel"/>
    <w:tmpl w:val="1A26A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516897E">
      <w:numFmt w:val="bullet"/>
      <w:lvlText w:val="•"/>
      <w:lvlJc w:val="left"/>
      <w:pPr>
        <w:ind w:left="2160" w:hanging="720"/>
      </w:pPr>
      <w:rPr>
        <w:rFonts w:ascii="Times New Roman" w:eastAsia="Calibri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9F57A72"/>
    <w:multiLevelType w:val="multilevel"/>
    <w:tmpl w:val="6C2651B0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7BB06643"/>
    <w:multiLevelType w:val="hybridMultilevel"/>
    <w:tmpl w:val="54407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386D14"/>
    <w:multiLevelType w:val="hybridMultilevel"/>
    <w:tmpl w:val="76D2F4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27"/>
  </w:num>
  <w:num w:numId="4">
    <w:abstractNumId w:val="28"/>
  </w:num>
  <w:num w:numId="5">
    <w:abstractNumId w:val="34"/>
  </w:num>
  <w:num w:numId="6">
    <w:abstractNumId w:val="1"/>
  </w:num>
  <w:num w:numId="7">
    <w:abstractNumId w:val="38"/>
  </w:num>
  <w:num w:numId="8">
    <w:abstractNumId w:val="14"/>
  </w:num>
  <w:num w:numId="9">
    <w:abstractNumId w:val="33"/>
  </w:num>
  <w:num w:numId="10">
    <w:abstractNumId w:val="20"/>
  </w:num>
  <w:num w:numId="11">
    <w:abstractNumId w:val="31"/>
  </w:num>
  <w:num w:numId="12">
    <w:abstractNumId w:val="4"/>
  </w:num>
  <w:num w:numId="13">
    <w:abstractNumId w:val="18"/>
  </w:num>
  <w:num w:numId="14">
    <w:abstractNumId w:val="43"/>
  </w:num>
  <w:num w:numId="15">
    <w:abstractNumId w:val="46"/>
  </w:num>
  <w:num w:numId="16">
    <w:abstractNumId w:val="24"/>
  </w:num>
  <w:num w:numId="17">
    <w:abstractNumId w:val="12"/>
  </w:num>
  <w:num w:numId="18">
    <w:abstractNumId w:val="29"/>
  </w:num>
  <w:num w:numId="19">
    <w:abstractNumId w:val="47"/>
  </w:num>
  <w:num w:numId="20">
    <w:abstractNumId w:val="15"/>
  </w:num>
  <w:num w:numId="21">
    <w:abstractNumId w:val="3"/>
  </w:num>
  <w:num w:numId="22">
    <w:abstractNumId w:val="17"/>
  </w:num>
  <w:num w:numId="23">
    <w:abstractNumId w:val="5"/>
  </w:num>
  <w:num w:numId="24">
    <w:abstractNumId w:val="10"/>
  </w:num>
  <w:num w:numId="25">
    <w:abstractNumId w:val="8"/>
  </w:num>
  <w:num w:numId="26">
    <w:abstractNumId w:val="21"/>
  </w:num>
  <w:num w:numId="27">
    <w:abstractNumId w:val="0"/>
  </w:num>
  <w:num w:numId="28">
    <w:abstractNumId w:val="16"/>
  </w:num>
  <w:num w:numId="29">
    <w:abstractNumId w:val="30"/>
  </w:num>
  <w:num w:numId="30">
    <w:abstractNumId w:val="19"/>
  </w:num>
  <w:num w:numId="31">
    <w:abstractNumId w:val="7"/>
  </w:num>
  <w:num w:numId="32">
    <w:abstractNumId w:val="39"/>
  </w:num>
  <w:num w:numId="33">
    <w:abstractNumId w:val="37"/>
  </w:num>
  <w:num w:numId="34">
    <w:abstractNumId w:val="13"/>
  </w:num>
  <w:num w:numId="35">
    <w:abstractNumId w:val="42"/>
  </w:num>
  <w:num w:numId="36">
    <w:abstractNumId w:val="44"/>
  </w:num>
  <w:num w:numId="37">
    <w:abstractNumId w:val="45"/>
  </w:num>
  <w:num w:numId="38">
    <w:abstractNumId w:val="6"/>
  </w:num>
  <w:num w:numId="39">
    <w:abstractNumId w:val="32"/>
  </w:num>
  <w:num w:numId="40">
    <w:abstractNumId w:val="26"/>
  </w:num>
  <w:num w:numId="41">
    <w:abstractNumId w:val="22"/>
  </w:num>
  <w:num w:numId="42">
    <w:abstractNumId w:val="40"/>
  </w:num>
  <w:num w:numId="43">
    <w:abstractNumId w:val="23"/>
  </w:num>
  <w:num w:numId="44">
    <w:abstractNumId w:val="2"/>
  </w:num>
  <w:num w:numId="45">
    <w:abstractNumId w:val="41"/>
  </w:num>
  <w:num w:numId="46">
    <w:abstractNumId w:val="11"/>
  </w:num>
  <w:num w:numId="47">
    <w:abstractNumId w:val="25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A1"/>
    <w:rsid w:val="002A54CF"/>
    <w:rsid w:val="00337A9D"/>
    <w:rsid w:val="0044770A"/>
    <w:rsid w:val="00953A17"/>
    <w:rsid w:val="00D071A0"/>
    <w:rsid w:val="00D51F97"/>
    <w:rsid w:val="00E90CA4"/>
    <w:rsid w:val="00F6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A1"/>
  </w:style>
  <w:style w:type="paragraph" w:styleId="Heading1">
    <w:name w:val="heading 1"/>
    <w:basedOn w:val="Normal"/>
    <w:next w:val="Normal"/>
    <w:link w:val="Heading1Char"/>
    <w:qFormat/>
    <w:rsid w:val="00F657A1"/>
    <w:pPr>
      <w:keepNext/>
      <w:keepLines/>
      <w:pageBreakBefore/>
      <w:numPr>
        <w:numId w:val="9"/>
      </w:numPr>
      <w:shd w:val="clear" w:color="auto" w:fill="E0E0E0"/>
      <w:tabs>
        <w:tab w:val="clear" w:pos="432"/>
      </w:tabs>
      <w:spacing w:after="600" w:line="288" w:lineRule="auto"/>
      <w:ind w:left="0" w:right="-170" w:hanging="720"/>
      <w:outlineLvl w:val="0"/>
    </w:pPr>
    <w:rPr>
      <w:rFonts w:ascii="Arial" w:eastAsia="MS Mincho" w:hAnsi="Arial" w:cs="Arial"/>
      <w:b/>
      <w:bCs/>
      <w:color w:val="325F91"/>
      <w:kern w:val="32"/>
      <w:position w:val="-6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F657A1"/>
    <w:pPr>
      <w:keepNext/>
      <w:keepLines/>
      <w:numPr>
        <w:ilvl w:val="1"/>
        <w:numId w:val="9"/>
      </w:numPr>
      <w:tabs>
        <w:tab w:val="clear" w:pos="576"/>
      </w:tabs>
      <w:spacing w:before="480" w:after="240" w:line="288" w:lineRule="auto"/>
      <w:ind w:left="0" w:hanging="720"/>
      <w:outlineLvl w:val="1"/>
    </w:pPr>
    <w:rPr>
      <w:rFonts w:ascii="Arial" w:eastAsia="MS Mincho" w:hAnsi="Arial" w:cs="Arial"/>
      <w:b/>
      <w:bCs/>
      <w:iCs/>
      <w:color w:val="325F91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F657A1"/>
    <w:pPr>
      <w:keepNext/>
      <w:keepLines/>
      <w:numPr>
        <w:ilvl w:val="2"/>
        <w:numId w:val="9"/>
      </w:numPr>
      <w:tabs>
        <w:tab w:val="clear" w:pos="1004"/>
      </w:tabs>
      <w:spacing w:before="240" w:after="0" w:line="288" w:lineRule="auto"/>
      <w:ind w:left="540" w:hanging="540"/>
      <w:outlineLvl w:val="2"/>
    </w:pPr>
    <w:rPr>
      <w:rFonts w:ascii="Arial" w:eastAsia="MS Mincho" w:hAnsi="Arial" w:cs="Arial"/>
      <w:b/>
      <w:bCs/>
      <w:color w:val="325F91"/>
      <w:sz w:val="18"/>
      <w:szCs w:val="18"/>
      <w:lang w:val="en-GB"/>
    </w:rPr>
  </w:style>
  <w:style w:type="paragraph" w:styleId="Heading4">
    <w:name w:val="heading 4"/>
    <w:basedOn w:val="Normal"/>
    <w:next w:val="Normal"/>
    <w:link w:val="Heading4Char"/>
    <w:qFormat/>
    <w:rsid w:val="00F657A1"/>
    <w:pPr>
      <w:keepNext/>
      <w:numPr>
        <w:ilvl w:val="3"/>
        <w:numId w:val="9"/>
      </w:numPr>
      <w:spacing w:before="240" w:after="0" w:line="288" w:lineRule="auto"/>
      <w:ind w:left="720" w:hanging="720"/>
      <w:outlineLvl w:val="3"/>
    </w:pPr>
    <w:rPr>
      <w:rFonts w:ascii="Arial" w:eastAsia="MS Mincho" w:hAnsi="Arial" w:cs="Arial"/>
      <w:bCs/>
      <w:i/>
      <w:color w:val="325F91"/>
      <w:sz w:val="18"/>
      <w:szCs w:val="18"/>
      <w:lang w:val="en-GB"/>
    </w:rPr>
  </w:style>
  <w:style w:type="paragraph" w:styleId="Heading5">
    <w:name w:val="heading 5"/>
    <w:basedOn w:val="Normal"/>
    <w:next w:val="Normal"/>
    <w:link w:val="Heading5Char"/>
    <w:qFormat/>
    <w:rsid w:val="00F657A1"/>
    <w:pPr>
      <w:numPr>
        <w:ilvl w:val="4"/>
        <w:numId w:val="9"/>
      </w:numPr>
      <w:spacing w:before="240" w:after="60" w:line="288" w:lineRule="auto"/>
      <w:outlineLvl w:val="4"/>
    </w:pPr>
    <w:rPr>
      <w:rFonts w:ascii="Arial" w:eastAsia="MS Mincho" w:hAnsi="Arial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F657A1"/>
    <w:pPr>
      <w:numPr>
        <w:ilvl w:val="5"/>
        <w:numId w:val="9"/>
      </w:numPr>
      <w:spacing w:before="240" w:after="60" w:line="288" w:lineRule="auto"/>
      <w:outlineLvl w:val="5"/>
    </w:pPr>
    <w:rPr>
      <w:rFonts w:ascii="Times New Roman" w:eastAsia="MS Mincho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F657A1"/>
    <w:pPr>
      <w:numPr>
        <w:ilvl w:val="6"/>
        <w:numId w:val="9"/>
      </w:numPr>
      <w:spacing w:before="240" w:after="60" w:line="288" w:lineRule="auto"/>
      <w:outlineLvl w:val="6"/>
    </w:pPr>
    <w:rPr>
      <w:rFonts w:ascii="Times New Roman" w:eastAsia="MS Mincho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F657A1"/>
    <w:pPr>
      <w:numPr>
        <w:ilvl w:val="7"/>
        <w:numId w:val="9"/>
      </w:numPr>
      <w:spacing w:before="240" w:after="60" w:line="288" w:lineRule="auto"/>
      <w:outlineLvl w:val="7"/>
    </w:pPr>
    <w:rPr>
      <w:rFonts w:ascii="Times New Roman" w:eastAsia="MS Mincho" w:hAnsi="Times New Roman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F657A1"/>
    <w:pPr>
      <w:numPr>
        <w:ilvl w:val="8"/>
        <w:numId w:val="9"/>
      </w:numPr>
      <w:spacing w:before="240" w:after="60" w:line="288" w:lineRule="auto"/>
      <w:outlineLvl w:val="8"/>
    </w:pPr>
    <w:rPr>
      <w:rFonts w:ascii="Arial" w:eastAsia="MS Mincho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7A1"/>
    <w:rPr>
      <w:rFonts w:ascii="Arial" w:eastAsia="MS Mincho" w:hAnsi="Arial" w:cs="Arial"/>
      <w:b/>
      <w:bCs/>
      <w:color w:val="325F91"/>
      <w:kern w:val="32"/>
      <w:position w:val="-6"/>
      <w:sz w:val="32"/>
      <w:szCs w:val="32"/>
      <w:shd w:val="clear" w:color="auto" w:fill="E0E0E0"/>
      <w:lang w:val="en-GB"/>
    </w:rPr>
  </w:style>
  <w:style w:type="character" w:customStyle="1" w:styleId="Heading2Char">
    <w:name w:val="Heading 2 Char"/>
    <w:basedOn w:val="DefaultParagraphFont"/>
    <w:link w:val="Heading2"/>
    <w:rsid w:val="00F657A1"/>
    <w:rPr>
      <w:rFonts w:ascii="Arial" w:eastAsia="MS Mincho" w:hAnsi="Arial" w:cs="Arial"/>
      <w:b/>
      <w:bCs/>
      <w:iCs/>
      <w:color w:val="325F91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F657A1"/>
    <w:rPr>
      <w:rFonts w:ascii="Arial" w:eastAsia="MS Mincho" w:hAnsi="Arial" w:cs="Arial"/>
      <w:b/>
      <w:bCs/>
      <w:color w:val="325F91"/>
      <w:sz w:val="18"/>
      <w:szCs w:val="18"/>
      <w:lang w:val="en-GB"/>
    </w:rPr>
  </w:style>
  <w:style w:type="character" w:customStyle="1" w:styleId="Heading4Char">
    <w:name w:val="Heading 4 Char"/>
    <w:basedOn w:val="DefaultParagraphFont"/>
    <w:link w:val="Heading4"/>
    <w:rsid w:val="00F657A1"/>
    <w:rPr>
      <w:rFonts w:ascii="Arial" w:eastAsia="MS Mincho" w:hAnsi="Arial" w:cs="Arial"/>
      <w:bCs/>
      <w:i/>
      <w:color w:val="325F91"/>
      <w:sz w:val="18"/>
      <w:szCs w:val="18"/>
      <w:lang w:val="en-GB"/>
    </w:rPr>
  </w:style>
  <w:style w:type="character" w:customStyle="1" w:styleId="Heading5Char">
    <w:name w:val="Heading 5 Char"/>
    <w:basedOn w:val="DefaultParagraphFont"/>
    <w:link w:val="Heading5"/>
    <w:rsid w:val="00F657A1"/>
    <w:rPr>
      <w:rFonts w:ascii="Arial" w:eastAsia="MS Mincho" w:hAnsi="Arial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F657A1"/>
    <w:rPr>
      <w:rFonts w:ascii="Times New Roman" w:eastAsia="MS Mincho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F657A1"/>
    <w:rPr>
      <w:rFonts w:ascii="Times New Roman" w:eastAsia="MS Mincho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F657A1"/>
    <w:rPr>
      <w:rFonts w:ascii="Times New Roman" w:eastAsia="MS Mincho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F657A1"/>
    <w:rPr>
      <w:rFonts w:ascii="Arial" w:eastAsia="MS Mincho" w:hAnsi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F657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57A1"/>
    <w:pPr>
      <w:ind w:left="720"/>
      <w:contextualSpacing/>
    </w:pPr>
    <w:rPr>
      <w:rFonts w:ascii="Calibri" w:eastAsia="Calibri" w:hAnsi="Calibri" w:cs="Times New Roman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F657A1"/>
    <w:pPr>
      <w:spacing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57A1"/>
    <w:rPr>
      <w:rFonts w:eastAsiaTheme="minorEastAsia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657A1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6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ijstBullets">
    <w:name w:val="Lijst Bullets"/>
    <w:basedOn w:val="Normal"/>
    <w:rsid w:val="00F657A1"/>
    <w:pPr>
      <w:numPr>
        <w:numId w:val="5"/>
      </w:numPr>
      <w:spacing w:after="0" w:line="312" w:lineRule="auto"/>
      <w:ind w:left="142" w:hanging="142"/>
    </w:pPr>
    <w:rPr>
      <w:rFonts w:ascii="Arial" w:eastAsia="Times New Roman" w:hAnsi="Arial" w:cs="Times New Roman"/>
      <w:sz w:val="18"/>
      <w:szCs w:val="20"/>
      <w:lang w:val="en-GB" w:eastAsia="nl-NL"/>
    </w:rPr>
  </w:style>
  <w:style w:type="paragraph" w:styleId="NoSpacing">
    <w:name w:val="No Spacing"/>
    <w:uiPriority w:val="1"/>
    <w:qFormat/>
    <w:rsid w:val="00F657A1"/>
    <w:pPr>
      <w:spacing w:after="0" w:line="240" w:lineRule="auto"/>
    </w:pPr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5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7A1"/>
  </w:style>
  <w:style w:type="paragraph" w:styleId="Footer">
    <w:name w:val="footer"/>
    <w:basedOn w:val="Normal"/>
    <w:link w:val="FooterChar"/>
    <w:uiPriority w:val="99"/>
    <w:unhideWhenUsed/>
    <w:rsid w:val="00F65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7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7A1"/>
    <w:rPr>
      <w:rFonts w:eastAsiaTheme="minorEastAsia"/>
      <w:b/>
      <w:bCs/>
      <w:sz w:val="20"/>
      <w:szCs w:val="20"/>
      <w:lang w:val="en-GB" w:eastAsia="en-GB"/>
    </w:rPr>
  </w:style>
  <w:style w:type="character" w:styleId="Strong">
    <w:name w:val="Strong"/>
    <w:basedOn w:val="DefaultParagraphFont"/>
    <w:uiPriority w:val="22"/>
    <w:qFormat/>
    <w:rsid w:val="00F657A1"/>
    <w:rPr>
      <w:b/>
      <w:bCs/>
    </w:rPr>
  </w:style>
  <w:style w:type="table" w:styleId="TableGrid">
    <w:name w:val="Table Grid"/>
    <w:basedOn w:val="TableNormal"/>
    <w:uiPriority w:val="59"/>
    <w:rsid w:val="00F657A1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657A1"/>
    <w:rPr>
      <w:color w:val="800080" w:themeColor="followedHyperlink"/>
      <w:u w:val="single"/>
    </w:rPr>
  </w:style>
  <w:style w:type="paragraph" w:customStyle="1" w:styleId="Default">
    <w:name w:val="Default"/>
    <w:rsid w:val="00F657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657A1"/>
  </w:style>
  <w:style w:type="paragraph" w:customStyle="1" w:styleId="xmsonormal">
    <w:name w:val="x_msonormal"/>
    <w:basedOn w:val="Normal"/>
    <w:rsid w:val="00F657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CO" w:eastAsia="en-GB"/>
    </w:rPr>
  </w:style>
  <w:style w:type="paragraph" w:styleId="Revision">
    <w:name w:val="Revision"/>
    <w:hidden/>
    <w:uiPriority w:val="99"/>
    <w:semiHidden/>
    <w:rsid w:val="00F657A1"/>
    <w:pPr>
      <w:spacing w:after="0" w:line="240" w:lineRule="auto"/>
    </w:pPr>
  </w:style>
  <w:style w:type="character" w:customStyle="1" w:styleId="citation-abbreviation">
    <w:name w:val="citation-abbreviation"/>
    <w:basedOn w:val="DefaultParagraphFont"/>
    <w:rsid w:val="00F657A1"/>
  </w:style>
  <w:style w:type="character" w:customStyle="1" w:styleId="citation-publication-date">
    <w:name w:val="citation-publication-date"/>
    <w:basedOn w:val="DefaultParagraphFont"/>
    <w:rsid w:val="00F657A1"/>
  </w:style>
  <w:style w:type="character" w:customStyle="1" w:styleId="citation-volume">
    <w:name w:val="citation-volume"/>
    <w:basedOn w:val="DefaultParagraphFont"/>
    <w:rsid w:val="00F657A1"/>
  </w:style>
  <w:style w:type="character" w:customStyle="1" w:styleId="citation-issue">
    <w:name w:val="citation-issue"/>
    <w:basedOn w:val="DefaultParagraphFont"/>
    <w:rsid w:val="00F657A1"/>
  </w:style>
  <w:style w:type="character" w:customStyle="1" w:styleId="citation-flpages">
    <w:name w:val="citation-flpages"/>
    <w:basedOn w:val="DefaultParagraphFont"/>
    <w:rsid w:val="00F657A1"/>
  </w:style>
  <w:style w:type="character" w:styleId="Emphasis">
    <w:name w:val="Emphasis"/>
    <w:basedOn w:val="DefaultParagraphFont"/>
    <w:uiPriority w:val="20"/>
    <w:qFormat/>
    <w:rsid w:val="00F657A1"/>
    <w:rPr>
      <w:i/>
      <w:iCs/>
    </w:rPr>
  </w:style>
  <w:style w:type="character" w:customStyle="1" w:styleId="highlight">
    <w:name w:val="highlight"/>
    <w:basedOn w:val="DefaultParagraphFont"/>
    <w:rsid w:val="00F65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A1"/>
  </w:style>
  <w:style w:type="paragraph" w:styleId="Heading1">
    <w:name w:val="heading 1"/>
    <w:basedOn w:val="Normal"/>
    <w:next w:val="Normal"/>
    <w:link w:val="Heading1Char"/>
    <w:qFormat/>
    <w:rsid w:val="00F657A1"/>
    <w:pPr>
      <w:keepNext/>
      <w:keepLines/>
      <w:pageBreakBefore/>
      <w:numPr>
        <w:numId w:val="9"/>
      </w:numPr>
      <w:shd w:val="clear" w:color="auto" w:fill="E0E0E0"/>
      <w:tabs>
        <w:tab w:val="clear" w:pos="432"/>
      </w:tabs>
      <w:spacing w:after="600" w:line="288" w:lineRule="auto"/>
      <w:ind w:left="0" w:right="-170" w:hanging="720"/>
      <w:outlineLvl w:val="0"/>
    </w:pPr>
    <w:rPr>
      <w:rFonts w:ascii="Arial" w:eastAsia="MS Mincho" w:hAnsi="Arial" w:cs="Arial"/>
      <w:b/>
      <w:bCs/>
      <w:color w:val="325F91"/>
      <w:kern w:val="32"/>
      <w:position w:val="-6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F657A1"/>
    <w:pPr>
      <w:keepNext/>
      <w:keepLines/>
      <w:numPr>
        <w:ilvl w:val="1"/>
        <w:numId w:val="9"/>
      </w:numPr>
      <w:tabs>
        <w:tab w:val="clear" w:pos="576"/>
      </w:tabs>
      <w:spacing w:before="480" w:after="240" w:line="288" w:lineRule="auto"/>
      <w:ind w:left="0" w:hanging="720"/>
      <w:outlineLvl w:val="1"/>
    </w:pPr>
    <w:rPr>
      <w:rFonts w:ascii="Arial" w:eastAsia="MS Mincho" w:hAnsi="Arial" w:cs="Arial"/>
      <w:b/>
      <w:bCs/>
      <w:iCs/>
      <w:color w:val="325F91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F657A1"/>
    <w:pPr>
      <w:keepNext/>
      <w:keepLines/>
      <w:numPr>
        <w:ilvl w:val="2"/>
        <w:numId w:val="9"/>
      </w:numPr>
      <w:tabs>
        <w:tab w:val="clear" w:pos="1004"/>
      </w:tabs>
      <w:spacing w:before="240" w:after="0" w:line="288" w:lineRule="auto"/>
      <w:ind w:left="540" w:hanging="540"/>
      <w:outlineLvl w:val="2"/>
    </w:pPr>
    <w:rPr>
      <w:rFonts w:ascii="Arial" w:eastAsia="MS Mincho" w:hAnsi="Arial" w:cs="Arial"/>
      <w:b/>
      <w:bCs/>
      <w:color w:val="325F91"/>
      <w:sz w:val="18"/>
      <w:szCs w:val="18"/>
      <w:lang w:val="en-GB"/>
    </w:rPr>
  </w:style>
  <w:style w:type="paragraph" w:styleId="Heading4">
    <w:name w:val="heading 4"/>
    <w:basedOn w:val="Normal"/>
    <w:next w:val="Normal"/>
    <w:link w:val="Heading4Char"/>
    <w:qFormat/>
    <w:rsid w:val="00F657A1"/>
    <w:pPr>
      <w:keepNext/>
      <w:numPr>
        <w:ilvl w:val="3"/>
        <w:numId w:val="9"/>
      </w:numPr>
      <w:spacing w:before="240" w:after="0" w:line="288" w:lineRule="auto"/>
      <w:ind w:left="720" w:hanging="720"/>
      <w:outlineLvl w:val="3"/>
    </w:pPr>
    <w:rPr>
      <w:rFonts w:ascii="Arial" w:eastAsia="MS Mincho" w:hAnsi="Arial" w:cs="Arial"/>
      <w:bCs/>
      <w:i/>
      <w:color w:val="325F91"/>
      <w:sz w:val="18"/>
      <w:szCs w:val="18"/>
      <w:lang w:val="en-GB"/>
    </w:rPr>
  </w:style>
  <w:style w:type="paragraph" w:styleId="Heading5">
    <w:name w:val="heading 5"/>
    <w:basedOn w:val="Normal"/>
    <w:next w:val="Normal"/>
    <w:link w:val="Heading5Char"/>
    <w:qFormat/>
    <w:rsid w:val="00F657A1"/>
    <w:pPr>
      <w:numPr>
        <w:ilvl w:val="4"/>
        <w:numId w:val="9"/>
      </w:numPr>
      <w:spacing w:before="240" w:after="60" w:line="288" w:lineRule="auto"/>
      <w:outlineLvl w:val="4"/>
    </w:pPr>
    <w:rPr>
      <w:rFonts w:ascii="Arial" w:eastAsia="MS Mincho" w:hAnsi="Arial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F657A1"/>
    <w:pPr>
      <w:numPr>
        <w:ilvl w:val="5"/>
        <w:numId w:val="9"/>
      </w:numPr>
      <w:spacing w:before="240" w:after="60" w:line="288" w:lineRule="auto"/>
      <w:outlineLvl w:val="5"/>
    </w:pPr>
    <w:rPr>
      <w:rFonts w:ascii="Times New Roman" w:eastAsia="MS Mincho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F657A1"/>
    <w:pPr>
      <w:numPr>
        <w:ilvl w:val="6"/>
        <w:numId w:val="9"/>
      </w:numPr>
      <w:spacing w:before="240" w:after="60" w:line="288" w:lineRule="auto"/>
      <w:outlineLvl w:val="6"/>
    </w:pPr>
    <w:rPr>
      <w:rFonts w:ascii="Times New Roman" w:eastAsia="MS Mincho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F657A1"/>
    <w:pPr>
      <w:numPr>
        <w:ilvl w:val="7"/>
        <w:numId w:val="9"/>
      </w:numPr>
      <w:spacing w:before="240" w:after="60" w:line="288" w:lineRule="auto"/>
      <w:outlineLvl w:val="7"/>
    </w:pPr>
    <w:rPr>
      <w:rFonts w:ascii="Times New Roman" w:eastAsia="MS Mincho" w:hAnsi="Times New Roman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F657A1"/>
    <w:pPr>
      <w:numPr>
        <w:ilvl w:val="8"/>
        <w:numId w:val="9"/>
      </w:numPr>
      <w:spacing w:before="240" w:after="60" w:line="288" w:lineRule="auto"/>
      <w:outlineLvl w:val="8"/>
    </w:pPr>
    <w:rPr>
      <w:rFonts w:ascii="Arial" w:eastAsia="MS Mincho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7A1"/>
    <w:rPr>
      <w:rFonts w:ascii="Arial" w:eastAsia="MS Mincho" w:hAnsi="Arial" w:cs="Arial"/>
      <w:b/>
      <w:bCs/>
      <w:color w:val="325F91"/>
      <w:kern w:val="32"/>
      <w:position w:val="-6"/>
      <w:sz w:val="32"/>
      <w:szCs w:val="32"/>
      <w:shd w:val="clear" w:color="auto" w:fill="E0E0E0"/>
      <w:lang w:val="en-GB"/>
    </w:rPr>
  </w:style>
  <w:style w:type="character" w:customStyle="1" w:styleId="Heading2Char">
    <w:name w:val="Heading 2 Char"/>
    <w:basedOn w:val="DefaultParagraphFont"/>
    <w:link w:val="Heading2"/>
    <w:rsid w:val="00F657A1"/>
    <w:rPr>
      <w:rFonts w:ascii="Arial" w:eastAsia="MS Mincho" w:hAnsi="Arial" w:cs="Arial"/>
      <w:b/>
      <w:bCs/>
      <w:iCs/>
      <w:color w:val="325F91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F657A1"/>
    <w:rPr>
      <w:rFonts w:ascii="Arial" w:eastAsia="MS Mincho" w:hAnsi="Arial" w:cs="Arial"/>
      <w:b/>
      <w:bCs/>
      <w:color w:val="325F91"/>
      <w:sz w:val="18"/>
      <w:szCs w:val="18"/>
      <w:lang w:val="en-GB"/>
    </w:rPr>
  </w:style>
  <w:style w:type="character" w:customStyle="1" w:styleId="Heading4Char">
    <w:name w:val="Heading 4 Char"/>
    <w:basedOn w:val="DefaultParagraphFont"/>
    <w:link w:val="Heading4"/>
    <w:rsid w:val="00F657A1"/>
    <w:rPr>
      <w:rFonts w:ascii="Arial" w:eastAsia="MS Mincho" w:hAnsi="Arial" w:cs="Arial"/>
      <w:bCs/>
      <w:i/>
      <w:color w:val="325F91"/>
      <w:sz w:val="18"/>
      <w:szCs w:val="18"/>
      <w:lang w:val="en-GB"/>
    </w:rPr>
  </w:style>
  <w:style w:type="character" w:customStyle="1" w:styleId="Heading5Char">
    <w:name w:val="Heading 5 Char"/>
    <w:basedOn w:val="DefaultParagraphFont"/>
    <w:link w:val="Heading5"/>
    <w:rsid w:val="00F657A1"/>
    <w:rPr>
      <w:rFonts w:ascii="Arial" w:eastAsia="MS Mincho" w:hAnsi="Arial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F657A1"/>
    <w:rPr>
      <w:rFonts w:ascii="Times New Roman" w:eastAsia="MS Mincho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F657A1"/>
    <w:rPr>
      <w:rFonts w:ascii="Times New Roman" w:eastAsia="MS Mincho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F657A1"/>
    <w:rPr>
      <w:rFonts w:ascii="Times New Roman" w:eastAsia="MS Mincho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F657A1"/>
    <w:rPr>
      <w:rFonts w:ascii="Arial" w:eastAsia="MS Mincho" w:hAnsi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F657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57A1"/>
    <w:pPr>
      <w:ind w:left="720"/>
      <w:contextualSpacing/>
    </w:pPr>
    <w:rPr>
      <w:rFonts w:ascii="Calibri" w:eastAsia="Calibri" w:hAnsi="Calibri" w:cs="Times New Roman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F657A1"/>
    <w:pPr>
      <w:spacing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57A1"/>
    <w:rPr>
      <w:rFonts w:eastAsiaTheme="minorEastAsia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657A1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6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LijstBullets">
    <w:name w:val="Lijst Bullets"/>
    <w:basedOn w:val="Normal"/>
    <w:rsid w:val="00F657A1"/>
    <w:pPr>
      <w:numPr>
        <w:numId w:val="5"/>
      </w:numPr>
      <w:spacing w:after="0" w:line="312" w:lineRule="auto"/>
      <w:ind w:left="142" w:hanging="142"/>
    </w:pPr>
    <w:rPr>
      <w:rFonts w:ascii="Arial" w:eastAsia="Times New Roman" w:hAnsi="Arial" w:cs="Times New Roman"/>
      <w:sz w:val="18"/>
      <w:szCs w:val="20"/>
      <w:lang w:val="en-GB" w:eastAsia="nl-NL"/>
    </w:rPr>
  </w:style>
  <w:style w:type="paragraph" w:styleId="NoSpacing">
    <w:name w:val="No Spacing"/>
    <w:uiPriority w:val="1"/>
    <w:qFormat/>
    <w:rsid w:val="00F657A1"/>
    <w:pPr>
      <w:spacing w:after="0" w:line="240" w:lineRule="auto"/>
    </w:pPr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5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7A1"/>
  </w:style>
  <w:style w:type="paragraph" w:styleId="Footer">
    <w:name w:val="footer"/>
    <w:basedOn w:val="Normal"/>
    <w:link w:val="FooterChar"/>
    <w:uiPriority w:val="99"/>
    <w:unhideWhenUsed/>
    <w:rsid w:val="00F65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7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7A1"/>
    <w:rPr>
      <w:rFonts w:eastAsiaTheme="minorEastAsia"/>
      <w:b/>
      <w:bCs/>
      <w:sz w:val="20"/>
      <w:szCs w:val="20"/>
      <w:lang w:val="en-GB" w:eastAsia="en-GB"/>
    </w:rPr>
  </w:style>
  <w:style w:type="character" w:styleId="Strong">
    <w:name w:val="Strong"/>
    <w:basedOn w:val="DefaultParagraphFont"/>
    <w:uiPriority w:val="22"/>
    <w:qFormat/>
    <w:rsid w:val="00F657A1"/>
    <w:rPr>
      <w:b/>
      <w:bCs/>
    </w:rPr>
  </w:style>
  <w:style w:type="table" w:styleId="TableGrid">
    <w:name w:val="Table Grid"/>
    <w:basedOn w:val="TableNormal"/>
    <w:uiPriority w:val="59"/>
    <w:rsid w:val="00F657A1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657A1"/>
    <w:rPr>
      <w:color w:val="800080" w:themeColor="followedHyperlink"/>
      <w:u w:val="single"/>
    </w:rPr>
  </w:style>
  <w:style w:type="paragraph" w:customStyle="1" w:styleId="Default">
    <w:name w:val="Default"/>
    <w:rsid w:val="00F657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657A1"/>
  </w:style>
  <w:style w:type="paragraph" w:customStyle="1" w:styleId="xmsonormal">
    <w:name w:val="x_msonormal"/>
    <w:basedOn w:val="Normal"/>
    <w:rsid w:val="00F657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CO" w:eastAsia="en-GB"/>
    </w:rPr>
  </w:style>
  <w:style w:type="paragraph" w:styleId="Revision">
    <w:name w:val="Revision"/>
    <w:hidden/>
    <w:uiPriority w:val="99"/>
    <w:semiHidden/>
    <w:rsid w:val="00F657A1"/>
    <w:pPr>
      <w:spacing w:after="0" w:line="240" w:lineRule="auto"/>
    </w:pPr>
  </w:style>
  <w:style w:type="character" w:customStyle="1" w:styleId="citation-abbreviation">
    <w:name w:val="citation-abbreviation"/>
    <w:basedOn w:val="DefaultParagraphFont"/>
    <w:rsid w:val="00F657A1"/>
  </w:style>
  <w:style w:type="character" w:customStyle="1" w:styleId="citation-publication-date">
    <w:name w:val="citation-publication-date"/>
    <w:basedOn w:val="DefaultParagraphFont"/>
    <w:rsid w:val="00F657A1"/>
  </w:style>
  <w:style w:type="character" w:customStyle="1" w:styleId="citation-volume">
    <w:name w:val="citation-volume"/>
    <w:basedOn w:val="DefaultParagraphFont"/>
    <w:rsid w:val="00F657A1"/>
  </w:style>
  <w:style w:type="character" w:customStyle="1" w:styleId="citation-issue">
    <w:name w:val="citation-issue"/>
    <w:basedOn w:val="DefaultParagraphFont"/>
    <w:rsid w:val="00F657A1"/>
  </w:style>
  <w:style w:type="character" w:customStyle="1" w:styleId="citation-flpages">
    <w:name w:val="citation-flpages"/>
    <w:basedOn w:val="DefaultParagraphFont"/>
    <w:rsid w:val="00F657A1"/>
  </w:style>
  <w:style w:type="character" w:styleId="Emphasis">
    <w:name w:val="Emphasis"/>
    <w:basedOn w:val="DefaultParagraphFont"/>
    <w:uiPriority w:val="20"/>
    <w:qFormat/>
    <w:rsid w:val="00F657A1"/>
    <w:rPr>
      <w:i/>
      <w:iCs/>
    </w:rPr>
  </w:style>
  <w:style w:type="character" w:customStyle="1" w:styleId="highlight">
    <w:name w:val="highlight"/>
    <w:basedOn w:val="DefaultParagraphFont"/>
    <w:rsid w:val="00F65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754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Harriague</dc:creator>
  <cp:lastModifiedBy>Julie Harriague</cp:lastModifiedBy>
  <cp:revision>3</cp:revision>
  <dcterms:created xsi:type="dcterms:W3CDTF">2014-05-14T16:06:00Z</dcterms:created>
  <dcterms:modified xsi:type="dcterms:W3CDTF">2014-05-14T16:15:00Z</dcterms:modified>
</cp:coreProperties>
</file>