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C6" w:rsidRPr="00163EB5" w:rsidRDefault="003314D7" w:rsidP="00EB0BC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3EB5">
        <w:rPr>
          <w:rFonts w:ascii="Times New Roman" w:hAnsi="Times New Roman"/>
          <w:sz w:val="24"/>
          <w:szCs w:val="24"/>
        </w:rPr>
        <w:t>SUPP</w:t>
      </w:r>
      <w:r>
        <w:rPr>
          <w:rFonts w:ascii="Times New Roman" w:hAnsi="Times New Roman"/>
          <w:sz w:val="24"/>
          <w:szCs w:val="24"/>
        </w:rPr>
        <w:t>ORTING</w:t>
      </w:r>
      <w:r w:rsidRPr="00163EB5">
        <w:rPr>
          <w:rFonts w:ascii="Times New Roman" w:hAnsi="Times New Roman"/>
          <w:sz w:val="24"/>
          <w:szCs w:val="24"/>
        </w:rPr>
        <w:t xml:space="preserve"> </w:t>
      </w:r>
      <w:r w:rsidR="00163EB5" w:rsidRPr="00163EB5">
        <w:rPr>
          <w:rFonts w:ascii="Times New Roman" w:hAnsi="Times New Roman"/>
          <w:sz w:val="24"/>
          <w:szCs w:val="24"/>
        </w:rPr>
        <w:t>INFORMATION</w:t>
      </w:r>
    </w:p>
    <w:p w:rsidR="009B6513" w:rsidRPr="00163EB5" w:rsidRDefault="009B6513" w:rsidP="009B6513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F4587" w:rsidRPr="00163EB5" w:rsidRDefault="003314D7" w:rsidP="00163EB5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63EB5">
        <w:rPr>
          <w:rFonts w:ascii="Times New Roman" w:hAnsi="Times New Roman"/>
          <w:b/>
          <w:sz w:val="24"/>
          <w:szCs w:val="24"/>
        </w:rPr>
        <w:t>Supp</w:t>
      </w:r>
      <w:r>
        <w:rPr>
          <w:rFonts w:ascii="Times New Roman" w:hAnsi="Times New Roman"/>
          <w:b/>
          <w:sz w:val="24"/>
          <w:szCs w:val="24"/>
        </w:rPr>
        <w:t>orting</w:t>
      </w:r>
      <w:r w:rsidRPr="00163EB5">
        <w:rPr>
          <w:rFonts w:ascii="Times New Roman" w:hAnsi="Times New Roman"/>
          <w:b/>
          <w:sz w:val="24"/>
          <w:szCs w:val="24"/>
        </w:rPr>
        <w:t xml:space="preserve"> </w:t>
      </w:r>
      <w:r w:rsidR="00AD1D09" w:rsidRPr="00163EB5">
        <w:rPr>
          <w:rFonts w:ascii="Times New Roman" w:hAnsi="Times New Roman"/>
          <w:b/>
          <w:sz w:val="24"/>
          <w:szCs w:val="24"/>
        </w:rPr>
        <w:t>methods</w:t>
      </w:r>
    </w:p>
    <w:p w:rsidR="007F4820" w:rsidRPr="00163EB5" w:rsidRDefault="007F4820" w:rsidP="00163EB5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AD1D09" w:rsidRPr="00163EB5" w:rsidRDefault="00AD1D09" w:rsidP="00163E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3EB5">
        <w:rPr>
          <w:rFonts w:ascii="Times New Roman" w:hAnsi="Times New Roman"/>
          <w:b/>
          <w:sz w:val="24"/>
          <w:szCs w:val="24"/>
        </w:rPr>
        <w:t>Mitochondrial Preparation and Complex Analyses</w:t>
      </w:r>
      <w:r w:rsidRPr="00163EB5">
        <w:rPr>
          <w:rFonts w:ascii="Times New Roman" w:hAnsi="Times New Roman"/>
          <w:sz w:val="24"/>
          <w:szCs w:val="24"/>
        </w:rPr>
        <w:t xml:space="preserve"> </w:t>
      </w:r>
    </w:p>
    <w:p w:rsidR="00AD1D09" w:rsidRPr="00163EB5" w:rsidRDefault="00AD1D09" w:rsidP="00163EB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3EB5">
        <w:rPr>
          <w:rFonts w:ascii="Times New Roman" w:hAnsi="Times New Roman"/>
          <w:sz w:val="24"/>
          <w:szCs w:val="24"/>
        </w:rPr>
        <w:t xml:space="preserve">Mitochondria from freshly prepared brain hemispheres were isolated as described previously </w:t>
      </w:r>
      <w:r w:rsidR="00457FF3">
        <w:rPr>
          <w:rFonts w:ascii="Times New Roman" w:hAnsi="Times New Roman"/>
          <w:sz w:val="24"/>
          <w:szCs w:val="24"/>
        </w:rPr>
        <w:fldChar w:fldCharType="begin"/>
      </w:r>
      <w:r w:rsidR="00457FF3">
        <w:rPr>
          <w:rFonts w:ascii="Times New Roman" w:hAnsi="Times New Roman"/>
          <w:sz w:val="24"/>
          <w:szCs w:val="24"/>
        </w:rPr>
        <w:instrText xml:space="preserve"> ADDIN REFMGR.CITE &lt;Refman&gt;&lt;Cite&gt;&lt;Author&gt;Halsne&lt;/Author&gt;&lt;Year&gt;2012&lt;/Year&gt;&lt;RecNum&gt;1&lt;/RecNum&gt;&lt;IDText&gt;Lack of the DNA glycosylases MYH and OGG1 in the cancer prone double mutant mouse does not increase mitochondrial DNA mutagenesis&lt;/IDText&gt;&lt;MDL Ref_Type="Journal"&gt;&lt;Ref_Type&gt;Journal&lt;/Ref_Type&gt;&lt;Ref_ID&gt;1&lt;/Ref_ID&gt;&lt;Title_Primary&gt;Lack of the DNA glycosylases MYH and OGG1 in the cancer prone double mutant mouse does not increase mitochondrial DNA mutagenesis&lt;/Title_Primary&gt;&lt;Authors_Primary&gt;Halsne,R.&lt;/Authors_Primary&gt;&lt;Authors_Primary&gt;Esbensen,Y.&lt;/Authors_Primary&gt;&lt;Authors_Primary&gt;Wang,W.&lt;/Authors_Primary&gt;&lt;Authors_Primary&gt;Scheffler,K.&lt;/Authors_Primary&gt;&lt;Authors_Primary&gt;Suganthan,R.&lt;/Authors_Primary&gt;&lt;Authors_Primary&gt;Bjoras,M.&lt;/Authors_Primary&gt;&lt;Authors_Primary&gt;Eide,L.&lt;/Authors_Primary&gt;&lt;Date_Primary&gt;2012/3/1&lt;/Date_Primary&gt;&lt;Keywords&gt;Animals&lt;/Keywords&gt;&lt;Keywords&gt;Cell Respiration&lt;/Keywords&gt;&lt;Keywords&gt;deficiency&lt;/Keywords&gt;&lt;Keywords&gt;DNA Damage&lt;/Keywords&gt;&lt;Keywords&gt;DNA Glycosylases&lt;/Keywords&gt;&lt;Keywords&gt;DNA,Mitochondrial&lt;/Keywords&gt;&lt;Keywords&gt;enzymology&lt;/Keywords&gt;&lt;Keywords&gt;genetics&lt;/Keywords&gt;&lt;Keywords&gt;metabolism&lt;/Keywords&gt;&lt;Keywords&gt;Mice&lt;/Keywords&gt;&lt;Keywords&gt;Mice,Inbred C57BL&lt;/Keywords&gt;&lt;Keywords&gt;Mice,Mutant Strains&lt;/Keywords&gt;&lt;Keywords&gt;Mitochondria&lt;/Keywords&gt;&lt;Keywords&gt;Mutagenesis&lt;/Keywords&gt;&lt;Keywords&gt;Mutation&lt;/Keywords&gt;&lt;Keywords&gt;Mutation Rate&lt;/Keywords&gt;&lt;Keywords&gt;Neoplasms&lt;/Keywords&gt;&lt;Keywords&gt;Organ Specificity&lt;/Keywords&gt;&lt;Reprint&gt;Not in File&lt;/Reprint&gt;&lt;Start_Page&gt;278&lt;/Start_Page&gt;&lt;End_Page&gt;285&lt;/End_Page&gt;&lt;Periodical&gt;DNA Repair (Amst)&lt;/Periodical&gt;&lt;Volume&gt;11&lt;/Volume&gt;&lt;Issue&gt;3&lt;/Issue&gt;&lt;Misc_3&gt;S1568-7864(11)00347-8 [pii];10.1016/j.dnarep.2011.12.001 [doi]&lt;/Misc_3&gt;&lt;Address&gt;Department of Medical Biochemistry, University of Oslo and Oslo University Hospital, Norway&lt;/Address&gt;&lt;Web_URL&gt;PM:22209780&lt;/Web_URL&gt;&lt;ZZ_JournalStdAbbrev&gt;&lt;f name="System"&gt;DNA Repair (Amst)&lt;/f&gt;&lt;/ZZ_JournalStdAbbrev&gt;&lt;ZZ_WorkformID&gt;1&lt;/ZZ_WorkformID&gt;&lt;/MDL&gt;&lt;/Cite&gt;&lt;/Refman&gt;</w:instrText>
      </w:r>
      <w:r w:rsidR="00457FF3">
        <w:rPr>
          <w:rFonts w:ascii="Times New Roman" w:hAnsi="Times New Roman"/>
          <w:sz w:val="24"/>
          <w:szCs w:val="24"/>
        </w:rPr>
        <w:fldChar w:fldCharType="separate"/>
      </w:r>
      <w:r w:rsidR="00457FF3">
        <w:rPr>
          <w:rFonts w:ascii="Times New Roman" w:hAnsi="Times New Roman"/>
          <w:noProof/>
          <w:sz w:val="24"/>
          <w:szCs w:val="24"/>
        </w:rPr>
        <w:t>[1]</w:t>
      </w:r>
      <w:r w:rsidR="00457FF3">
        <w:rPr>
          <w:rFonts w:ascii="Times New Roman" w:hAnsi="Times New Roman"/>
          <w:sz w:val="24"/>
          <w:szCs w:val="24"/>
        </w:rPr>
        <w:fldChar w:fldCharType="end"/>
      </w:r>
      <w:r w:rsidRPr="00163EB5">
        <w:rPr>
          <w:rFonts w:ascii="Times New Roman" w:hAnsi="Times New Roman"/>
          <w:sz w:val="24"/>
          <w:szCs w:val="24"/>
        </w:rPr>
        <w:t>. Mitochondrial proteins were adjusted to 40 µg and enzymatic activities were measured in duplicates using a 96 well plate reader (</w:t>
      </w:r>
      <w:proofErr w:type="spellStart"/>
      <w:r w:rsidRPr="00163EB5">
        <w:rPr>
          <w:rFonts w:ascii="Times New Roman" w:hAnsi="Times New Roman"/>
          <w:sz w:val="24"/>
          <w:szCs w:val="24"/>
        </w:rPr>
        <w:t>Wallac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1420 </w:t>
      </w:r>
      <w:proofErr w:type="spellStart"/>
      <w:r w:rsidRPr="00163EB5">
        <w:rPr>
          <w:rFonts w:ascii="Times New Roman" w:hAnsi="Times New Roman"/>
          <w:sz w:val="24"/>
          <w:szCs w:val="24"/>
        </w:rPr>
        <w:t>Multilabel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Counter). Complex I</w:t>
      </w:r>
      <w:r w:rsidR="00A96C8B">
        <w:rPr>
          <w:rFonts w:ascii="Times New Roman" w:hAnsi="Times New Roman"/>
          <w:sz w:val="24"/>
          <w:szCs w:val="24"/>
        </w:rPr>
        <w:t>,</w:t>
      </w:r>
      <w:r w:rsidRPr="00163EB5">
        <w:rPr>
          <w:rFonts w:ascii="Times New Roman" w:hAnsi="Times New Roman"/>
          <w:sz w:val="24"/>
          <w:szCs w:val="24"/>
        </w:rPr>
        <w:t xml:space="preserve"> ATPase activity, representing complex V </w:t>
      </w:r>
      <w:r w:rsidR="00A96C8B">
        <w:rPr>
          <w:rFonts w:ascii="Times New Roman" w:hAnsi="Times New Roman"/>
          <w:sz w:val="24"/>
          <w:szCs w:val="24"/>
        </w:rPr>
        <w:t xml:space="preserve">and citrate synthase activity </w:t>
      </w:r>
      <w:r w:rsidRPr="00163EB5">
        <w:rPr>
          <w:rFonts w:ascii="Times New Roman" w:hAnsi="Times New Roman"/>
          <w:sz w:val="24"/>
          <w:szCs w:val="24"/>
        </w:rPr>
        <w:t>were assessed as described</w:t>
      </w:r>
      <w:r w:rsidR="00457FF3">
        <w:rPr>
          <w:rFonts w:ascii="Times New Roman" w:hAnsi="Times New Roman"/>
          <w:sz w:val="24"/>
          <w:szCs w:val="24"/>
        </w:rPr>
        <w:t xml:space="preserve"> </w:t>
      </w:r>
      <w:r w:rsidR="00457FF3">
        <w:rPr>
          <w:rFonts w:ascii="Times New Roman" w:hAnsi="Times New Roman"/>
          <w:sz w:val="24"/>
          <w:szCs w:val="24"/>
        </w:rPr>
        <w:fldChar w:fldCharType="begin"/>
      </w:r>
      <w:r w:rsidR="00457FF3">
        <w:rPr>
          <w:rFonts w:ascii="Times New Roman" w:hAnsi="Times New Roman"/>
          <w:sz w:val="24"/>
          <w:szCs w:val="24"/>
        </w:rPr>
        <w:instrText xml:space="preserve"> ADDIN REFMGR.CITE &lt;Refman&gt;&lt;Cite&gt;&lt;Author&gt;Barrientos&lt;/Author&gt;&lt;Year&gt;2009&lt;/Year&gt;&lt;RecNum&gt;8&lt;/RecNum&gt;&lt;IDText&gt;Evaluation of the mitochondrial respiratory chain and oxidative phosphorylation system using polarography and spectrophotometric enzyme assays&lt;/IDText&gt;&lt;MDL Ref_Type="Journal"&gt;&lt;Ref_Type&gt;Journal&lt;/Ref_Type&gt;&lt;Ref_ID&gt;8&lt;/Ref_ID&gt;&lt;Title_Primary&gt;Evaluation of the mitochondrial respiratory chain and oxidative phosphorylation system using polarography and spectrophotometric enzyme assays&lt;/Title_Primary&gt;&lt;Authors_Primary&gt;Barrientos,A.&lt;/Authors_Primary&gt;&lt;Authors_Primary&gt;Fontanesi,F.&lt;/Authors_Primary&gt;&lt;Authors_Primary&gt;Diaz,F.&lt;/Authors_Primary&gt;&lt;Date_Primary&gt;2009/10&lt;/Date_Primary&gt;&lt;Keywords&gt;Aging&lt;/Keywords&gt;&lt;Keywords&gt;Cell Respiration&lt;/Keywords&gt;&lt;Keywords&gt;Cells,Cultured&lt;/Keywords&gt;&lt;Keywords&gt;chemistry&lt;/Keywords&gt;&lt;Keywords&gt;Humans&lt;/Keywords&gt;&lt;Keywords&gt;metabolism&lt;/Keywords&gt;&lt;Keywords&gt;methods&lt;/Keywords&gt;&lt;Keywords&gt;Mitochondria&lt;/Keywords&gt;&lt;Keywords&gt;Mitochondrial Diseases&lt;/Keywords&gt;&lt;Keywords&gt;Mutation&lt;/Keywords&gt;&lt;Keywords&gt;Oxidative Phosphorylation&lt;/Keywords&gt;&lt;Keywords&gt;Polarography&lt;/Keywords&gt;&lt;Keywords&gt;Spectrophotometry&lt;/Keywords&gt;&lt;Reprint&gt;Not in File&lt;/Reprint&gt;&lt;Start_Page&gt;Unit19&lt;/Start_Page&gt;&lt;Periodical&gt;Curr.Protoc.Hum.Genet.&lt;/Periodical&gt;&lt;Volume&gt;Chapter 19&lt;/Volume&gt;&lt;User_Def_5&gt;PMC2771113&lt;/User_Def_5&gt;&lt;Misc_3&gt;10.1002/0471142905.hg1903s63 [doi]&lt;/Misc_3&gt;&lt;Address&gt;University of Miami Miller School of Medicine, Miami, Florida, USA&lt;/Address&gt;&lt;Web_URL&gt;PM:19806590&lt;/Web_URL&gt;&lt;ZZ_JournalStdAbbrev&gt;&lt;f name="System"&gt;Curr.Protoc.Hum.Genet.&lt;/f&gt;&lt;/ZZ_JournalStdAbbrev&gt;&lt;ZZ_WorkformID&gt;1&lt;/ZZ_WorkformID&gt;&lt;/MDL&gt;&lt;/Cite&gt;&lt;/Refman&gt;</w:instrText>
      </w:r>
      <w:r w:rsidR="00457FF3">
        <w:rPr>
          <w:rFonts w:ascii="Times New Roman" w:hAnsi="Times New Roman"/>
          <w:sz w:val="24"/>
          <w:szCs w:val="24"/>
        </w:rPr>
        <w:fldChar w:fldCharType="separate"/>
      </w:r>
      <w:r w:rsidR="00457FF3">
        <w:rPr>
          <w:rFonts w:ascii="Times New Roman" w:hAnsi="Times New Roman"/>
          <w:noProof/>
          <w:sz w:val="24"/>
          <w:szCs w:val="24"/>
        </w:rPr>
        <w:t>[2]</w:t>
      </w:r>
      <w:r w:rsidR="00457FF3">
        <w:rPr>
          <w:rFonts w:ascii="Times New Roman" w:hAnsi="Times New Roman"/>
          <w:sz w:val="24"/>
          <w:szCs w:val="24"/>
        </w:rPr>
        <w:fldChar w:fldCharType="end"/>
      </w:r>
      <w:r w:rsidRPr="00163EB5">
        <w:rPr>
          <w:rFonts w:ascii="Times New Roman" w:hAnsi="Times New Roman"/>
          <w:sz w:val="24"/>
          <w:szCs w:val="24"/>
        </w:rPr>
        <w:t xml:space="preserve">. For complex II activity, isolated mitochondria were incubated in a reaction mixture containing 10 </w:t>
      </w:r>
      <w:proofErr w:type="spellStart"/>
      <w:r w:rsidRPr="00163EB5">
        <w:rPr>
          <w:rFonts w:ascii="Times New Roman" w:hAnsi="Times New Roman"/>
          <w:sz w:val="24"/>
          <w:szCs w:val="24"/>
        </w:rPr>
        <w:t>mM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potassium phosphate buffer (pH 7.4), 2 </w:t>
      </w:r>
      <w:proofErr w:type="spellStart"/>
      <w:r w:rsidRPr="00163EB5">
        <w:rPr>
          <w:rFonts w:ascii="Times New Roman" w:hAnsi="Times New Roman"/>
          <w:sz w:val="24"/>
          <w:szCs w:val="24"/>
        </w:rPr>
        <w:t>mM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EDTA, 1 mg/ml BSA, 0.2 </w:t>
      </w:r>
      <w:proofErr w:type="spellStart"/>
      <w:r w:rsidRPr="00163EB5">
        <w:rPr>
          <w:rFonts w:ascii="Times New Roman" w:hAnsi="Times New Roman"/>
          <w:sz w:val="24"/>
          <w:szCs w:val="24"/>
        </w:rPr>
        <w:t>mM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ATP, 4 µM rotenone, 80 µM </w:t>
      </w:r>
      <w:proofErr w:type="spellStart"/>
      <w:r w:rsidRPr="00163EB5">
        <w:rPr>
          <w:rFonts w:ascii="Times New Roman" w:hAnsi="Times New Roman"/>
          <w:sz w:val="24"/>
          <w:szCs w:val="24"/>
        </w:rPr>
        <w:t>dichlorophenolindophenol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and 10 </w:t>
      </w:r>
      <w:proofErr w:type="spellStart"/>
      <w:r w:rsidRPr="00163EB5">
        <w:rPr>
          <w:rFonts w:ascii="Times New Roman" w:hAnsi="Times New Roman"/>
          <w:sz w:val="24"/>
          <w:szCs w:val="24"/>
        </w:rPr>
        <w:t>mM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succinate for 10 min at 30°C. The reaction was started by adding 0.135 </w:t>
      </w:r>
      <w:proofErr w:type="spellStart"/>
      <w:r w:rsidRPr="00163EB5">
        <w:rPr>
          <w:rFonts w:ascii="Times New Roman" w:hAnsi="Times New Roman"/>
          <w:sz w:val="24"/>
          <w:szCs w:val="24"/>
        </w:rPr>
        <w:t>mM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B5">
        <w:rPr>
          <w:rFonts w:ascii="Times New Roman" w:hAnsi="Times New Roman"/>
          <w:sz w:val="24"/>
          <w:szCs w:val="24"/>
        </w:rPr>
        <w:t>decylubiquinone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and enzymatic activity was determined by following absorbance at 600 nm every 30 sec for 5 min. </w:t>
      </w:r>
      <w:r w:rsidR="001947D2">
        <w:rPr>
          <w:rFonts w:ascii="Times New Roman" w:hAnsi="Times New Roman"/>
          <w:sz w:val="24"/>
          <w:szCs w:val="24"/>
        </w:rPr>
        <w:t>The complex activities were presented relative to citrate synthase activity.</w:t>
      </w:r>
    </w:p>
    <w:p w:rsidR="00AD1D09" w:rsidRDefault="00AD1D09" w:rsidP="00163EB5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EB0BC6" w:rsidRDefault="00EB0BC6" w:rsidP="00EB0BC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52A1E" w:rsidRDefault="00652A1E" w:rsidP="00F06C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57FF3">
        <w:rPr>
          <w:rFonts w:ascii="Times New Roman" w:hAnsi="Times New Roman"/>
          <w:b/>
          <w:sz w:val="24"/>
          <w:szCs w:val="24"/>
        </w:rPr>
        <w:lastRenderedPageBreak/>
        <w:t xml:space="preserve">Supporting </w:t>
      </w:r>
      <w:r w:rsidR="00155B1B">
        <w:rPr>
          <w:rFonts w:ascii="Times New Roman" w:hAnsi="Times New Roman"/>
          <w:b/>
          <w:sz w:val="24"/>
          <w:szCs w:val="24"/>
        </w:rPr>
        <w:t>T</w:t>
      </w:r>
      <w:r w:rsidRPr="00F06C1E">
        <w:rPr>
          <w:rFonts w:ascii="Times New Roman" w:hAnsi="Times New Roman"/>
          <w:b/>
          <w:sz w:val="24"/>
          <w:szCs w:val="24"/>
        </w:rPr>
        <w:t xml:space="preserve">able </w:t>
      </w:r>
      <w:r w:rsidR="00155B1B">
        <w:rPr>
          <w:rFonts w:ascii="Times New Roman" w:hAnsi="Times New Roman"/>
          <w:b/>
          <w:sz w:val="24"/>
          <w:szCs w:val="24"/>
        </w:rPr>
        <w:t>S</w:t>
      </w:r>
      <w:r w:rsidRPr="00F06C1E">
        <w:rPr>
          <w:rFonts w:ascii="Times New Roman" w:hAnsi="Times New Roman"/>
          <w:b/>
          <w:sz w:val="24"/>
          <w:szCs w:val="24"/>
        </w:rPr>
        <w:t>1</w:t>
      </w:r>
      <w:r w:rsidR="000F4587">
        <w:rPr>
          <w:rFonts w:ascii="Times New Roman" w:hAnsi="Times New Roman"/>
          <w:b/>
          <w:sz w:val="24"/>
          <w:szCs w:val="24"/>
        </w:rPr>
        <w:t xml:space="preserve"> </w:t>
      </w:r>
      <w:r w:rsidR="000F4587" w:rsidRPr="000F4587">
        <w:rPr>
          <w:rFonts w:ascii="Times New Roman" w:hAnsi="Times New Roman"/>
          <w:sz w:val="24"/>
          <w:szCs w:val="24"/>
        </w:rPr>
        <w:t>Oligonucleotides used in the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2955"/>
        <w:gridCol w:w="5182"/>
      </w:tblGrid>
      <w:tr w:rsidR="00DC23DA" w:rsidRPr="00C11C95" w:rsidTr="00C11C95">
        <w:trPr>
          <w:trHeight w:val="510"/>
        </w:trPr>
        <w:tc>
          <w:tcPr>
            <w:tcW w:w="1485" w:type="dxa"/>
            <w:shd w:val="clear" w:color="auto" w:fill="auto"/>
          </w:tcPr>
          <w:p w:rsidR="00DC23DA" w:rsidRPr="00C11C95" w:rsidRDefault="00DC23DA" w:rsidP="00C11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Loci</w:t>
            </w:r>
          </w:p>
        </w:tc>
        <w:tc>
          <w:tcPr>
            <w:tcW w:w="2955" w:type="dxa"/>
            <w:shd w:val="clear" w:color="auto" w:fill="auto"/>
          </w:tcPr>
          <w:p w:rsidR="00DC23DA" w:rsidRPr="00C11C95" w:rsidRDefault="00DC23DA" w:rsidP="00C11C95">
            <w:pPr>
              <w:spacing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C95">
              <w:rPr>
                <w:rFonts w:ascii="Times New Roman" w:hAnsi="Times New Roman"/>
                <w:sz w:val="24"/>
                <w:szCs w:val="24"/>
              </w:rPr>
              <w:t>Amplicon</w:t>
            </w:r>
            <w:proofErr w:type="spellEnd"/>
            <w:r w:rsidRPr="00C11C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11C95"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  <w:r w:rsidRPr="00C11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82" w:type="dxa"/>
            <w:shd w:val="clear" w:color="auto" w:fill="auto"/>
          </w:tcPr>
          <w:p w:rsidR="00DC23DA" w:rsidRPr="00C11C95" w:rsidRDefault="00DC23DA" w:rsidP="00C11C95">
            <w:pPr>
              <w:spacing w:line="240" w:lineRule="auto"/>
              <w:ind w:left="1422"/>
              <w:rPr>
                <w:rFonts w:ascii="Times New Roman" w:hAnsi="Times New Roman"/>
                <w:sz w:val="24"/>
                <w:szCs w:val="24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Sequence (5’-3’)</w:t>
            </w:r>
            <w:r w:rsidRPr="00C11C95">
              <w:rPr>
                <w:rFonts w:ascii="Times New Roman" w:hAnsi="Times New Roman"/>
                <w:sz w:val="24"/>
                <w:szCs w:val="24"/>
              </w:rPr>
              <w:tab/>
            </w:r>
            <w:r w:rsidRPr="00C11C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03ABD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12S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672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B03ABD" w:rsidRPr="00C11C95" w:rsidRDefault="00DC23DA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a</w:t>
            </w:r>
            <w:r w:rsidR="00B03ABD" w:rsidRPr="00C11C95">
              <w:rPr>
                <w:sz w:val="28"/>
                <w:szCs w:val="28"/>
              </w:rPr>
              <w:t>ctcaaaggacttggcggta</w:t>
            </w:r>
            <w:proofErr w:type="spellEnd"/>
          </w:p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  <w:r w:rsidRPr="00C11C95">
              <w:rPr>
                <w:sz w:val="28"/>
                <w:szCs w:val="28"/>
              </w:rPr>
              <w:t xml:space="preserve">         </w:t>
            </w:r>
            <w:proofErr w:type="spellStart"/>
            <w:r w:rsidRPr="00C11C95">
              <w:rPr>
                <w:sz w:val="28"/>
                <w:szCs w:val="28"/>
              </w:rPr>
              <w:t>agcccatttcttcccatttc</w:t>
            </w:r>
            <w:proofErr w:type="spellEnd"/>
          </w:p>
        </w:tc>
      </w:tr>
      <w:tr w:rsidR="00B03ABD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12S-F4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672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cacgacagctaagacccaaa</w:t>
            </w:r>
            <w:proofErr w:type="spellEnd"/>
          </w:p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cggtgtgtgcgtacttcatt</w:t>
            </w:r>
            <w:proofErr w:type="spellEnd"/>
          </w:p>
        </w:tc>
      </w:tr>
      <w:tr w:rsidR="00B03ABD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12S-F6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672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cacgggactcagcagtgata</w:t>
            </w:r>
            <w:proofErr w:type="spellEnd"/>
          </w:p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cggtgtgtgcgtacttcatt</w:t>
            </w:r>
            <w:proofErr w:type="spellEnd"/>
          </w:p>
        </w:tc>
      </w:tr>
      <w:tr w:rsidR="00B03ABD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Nd1</w:t>
            </w:r>
          </w:p>
          <w:p w:rsidR="00DC23DA" w:rsidRPr="00C11C95" w:rsidRDefault="00DC23DA" w:rsidP="00C11C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672"/>
              <w:rPr>
                <w:rFonts w:ascii="Times New Roman" w:hAnsi="Times New Roman"/>
                <w:sz w:val="24"/>
                <w:szCs w:val="24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DC23DA" w:rsidRPr="00C11C95" w:rsidRDefault="00DC23DA" w:rsidP="00C11C95">
            <w:pPr>
              <w:spacing w:after="0" w:line="240" w:lineRule="auto"/>
              <w:ind w:left="672"/>
              <w:rPr>
                <w:sz w:val="28"/>
                <w:szCs w:val="28"/>
              </w:rPr>
            </w:pP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ttacttctgccagcctgacc</w:t>
            </w:r>
            <w:proofErr w:type="spellEnd"/>
            <w:r w:rsidRPr="00C11C95">
              <w:rPr>
                <w:sz w:val="28"/>
                <w:szCs w:val="28"/>
              </w:rPr>
              <w:tab/>
            </w:r>
            <w:r w:rsidRPr="00C11C95">
              <w:rPr>
                <w:sz w:val="28"/>
                <w:szCs w:val="28"/>
              </w:rPr>
              <w:tab/>
            </w:r>
          </w:p>
          <w:p w:rsidR="00DC23DA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cggctgcgtattctacgtta</w:t>
            </w:r>
            <w:proofErr w:type="spellEnd"/>
          </w:p>
        </w:tc>
      </w:tr>
      <w:tr w:rsidR="00DC23DA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DC23DA" w:rsidRPr="00C11C95" w:rsidRDefault="00DC23DA" w:rsidP="00C1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Nd3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DC23DA" w:rsidRPr="00C11C95" w:rsidRDefault="00DC23DA" w:rsidP="00C11C95">
            <w:pPr>
              <w:spacing w:after="0" w:line="240" w:lineRule="auto"/>
              <w:ind w:left="672"/>
              <w:rPr>
                <w:rFonts w:ascii="Times New Roman" w:hAnsi="Times New Roman"/>
                <w:sz w:val="24"/>
                <w:szCs w:val="24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DC23DA" w:rsidRPr="00C11C95" w:rsidRDefault="00DC23DA" w:rsidP="00C11C95">
            <w:pPr>
              <w:spacing w:after="0" w:line="240" w:lineRule="auto"/>
              <w:ind w:left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DC23DA" w:rsidRPr="00C11C95" w:rsidRDefault="00DC23DA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  <w:lang w:val="en-GB"/>
              </w:rPr>
              <w:t>gcattctgactcccccaaat</w:t>
            </w:r>
            <w:proofErr w:type="spellEnd"/>
          </w:p>
          <w:p w:rsidR="00DC23DA" w:rsidRPr="00C11C95" w:rsidRDefault="00DC23DA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gacgtgcagagcttgtaggg</w:t>
            </w:r>
            <w:proofErr w:type="spellEnd"/>
          </w:p>
        </w:tc>
      </w:tr>
      <w:tr w:rsidR="00B03ABD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Nd5</w:t>
            </w:r>
          </w:p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672"/>
              <w:rPr>
                <w:rFonts w:ascii="Times New Roman" w:hAnsi="Times New Roman"/>
                <w:sz w:val="24"/>
                <w:szCs w:val="24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B03ABD" w:rsidRPr="00C11C95" w:rsidRDefault="00DC23DA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tcagacccaaacatcaatcg</w:t>
            </w:r>
            <w:proofErr w:type="spellEnd"/>
            <w:r w:rsidRPr="00C11C95">
              <w:rPr>
                <w:sz w:val="28"/>
                <w:szCs w:val="28"/>
              </w:rPr>
              <w:tab/>
            </w:r>
            <w:r w:rsidRPr="00C11C95">
              <w:rPr>
                <w:sz w:val="28"/>
                <w:szCs w:val="28"/>
              </w:rPr>
              <w:tab/>
            </w:r>
          </w:p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cccttctcagccaatgaaaa</w:t>
            </w:r>
            <w:proofErr w:type="spellEnd"/>
          </w:p>
        </w:tc>
      </w:tr>
      <w:tr w:rsidR="00B03ABD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Nd6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672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aacaaccaaccaaaaaggctta</w:t>
            </w:r>
            <w:proofErr w:type="spellEnd"/>
            <w:r w:rsidRPr="00C11C95">
              <w:rPr>
                <w:sz w:val="28"/>
                <w:szCs w:val="28"/>
              </w:rPr>
              <w:tab/>
            </w:r>
            <w:r w:rsidRPr="00C11C95">
              <w:rPr>
                <w:sz w:val="28"/>
                <w:szCs w:val="28"/>
              </w:rPr>
              <w:tab/>
            </w:r>
          </w:p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gctgggtgatctttgtttgc</w:t>
            </w:r>
            <w:proofErr w:type="spellEnd"/>
          </w:p>
        </w:tc>
      </w:tr>
      <w:tr w:rsidR="00B03ABD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11C95">
              <w:rPr>
                <w:rFonts w:ascii="Times New Roman" w:hAnsi="Times New Roman"/>
                <w:sz w:val="24"/>
                <w:szCs w:val="24"/>
              </w:rPr>
              <w:t>CoxI</w:t>
            </w:r>
            <w:proofErr w:type="spellEnd"/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672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ctgagcgggaatagtgggta</w:t>
            </w:r>
            <w:proofErr w:type="spellEnd"/>
          </w:p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color w:val="000000"/>
                <w:sz w:val="28"/>
                <w:szCs w:val="28"/>
              </w:rPr>
              <w:t>aaagcatgggcagttacgat</w:t>
            </w:r>
            <w:proofErr w:type="spellEnd"/>
          </w:p>
        </w:tc>
      </w:tr>
      <w:tr w:rsidR="00B03ABD" w:rsidRPr="00C11C95" w:rsidTr="00C11C95">
        <w:tblPrEx>
          <w:tblBorders>
            <w:bottom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11C95">
              <w:rPr>
                <w:rFonts w:ascii="Times New Roman" w:hAnsi="Times New Roman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672"/>
              <w:rPr>
                <w:sz w:val="28"/>
                <w:szCs w:val="28"/>
              </w:rPr>
            </w:pPr>
            <w:r w:rsidRPr="00C11C9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cagccttttcatcagtaacaca</w:t>
            </w:r>
            <w:proofErr w:type="spellEnd"/>
          </w:p>
          <w:p w:rsidR="00B03ABD" w:rsidRPr="00C11C95" w:rsidRDefault="00B03ABD" w:rsidP="00C11C95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proofErr w:type="spellStart"/>
            <w:r w:rsidRPr="00C11C95">
              <w:rPr>
                <w:sz w:val="28"/>
                <w:szCs w:val="28"/>
              </w:rPr>
              <w:t>ctcgtccgacatgaaggaat</w:t>
            </w:r>
            <w:proofErr w:type="spellEnd"/>
          </w:p>
        </w:tc>
      </w:tr>
    </w:tbl>
    <w:p w:rsidR="00652A1E" w:rsidRPr="00F06C1E" w:rsidRDefault="00652A1E" w:rsidP="00F82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A1E" w:rsidRDefault="00652A1E" w:rsidP="00F82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D09" w:rsidRPr="00163EB5" w:rsidRDefault="00995550" w:rsidP="00163EB5">
      <w:pPr>
        <w:spacing w:line="480" w:lineRule="auto"/>
        <w:rPr>
          <w:rFonts w:ascii="Times New Roman" w:hAnsi="Times New Roman"/>
          <w:sz w:val="24"/>
          <w:szCs w:val="24"/>
        </w:rPr>
      </w:pPr>
      <w:r w:rsidRPr="00163EB5">
        <w:rPr>
          <w:rFonts w:ascii="Times New Roman" w:hAnsi="Times New Roman"/>
          <w:sz w:val="24"/>
          <w:szCs w:val="24"/>
        </w:rPr>
        <w:t>The primers were designed with Primer 3 (</w:t>
      </w:r>
      <w:hyperlink r:id="rId5" w:history="1">
        <w:r w:rsidRPr="00163EB5">
          <w:rPr>
            <w:rStyle w:val="Hyperlink"/>
            <w:rFonts w:ascii="Times New Roman" w:hAnsi="Times New Roman"/>
            <w:sz w:val="24"/>
            <w:szCs w:val="24"/>
          </w:rPr>
          <w:t>http://frodo.wi.mit.edu/</w:t>
        </w:r>
      </w:hyperlink>
      <w:r w:rsidRPr="00163EB5">
        <w:rPr>
          <w:rFonts w:ascii="Times New Roman" w:hAnsi="Times New Roman"/>
          <w:sz w:val="24"/>
          <w:szCs w:val="24"/>
        </w:rPr>
        <w:t xml:space="preserve">) except for </w:t>
      </w:r>
      <w:r w:rsidRPr="00163EB5">
        <w:rPr>
          <w:rFonts w:ascii="Times New Roman" w:hAnsi="Times New Roman"/>
          <w:i/>
          <w:sz w:val="24"/>
          <w:szCs w:val="24"/>
        </w:rPr>
        <w:t>12S</w:t>
      </w:r>
      <w:r w:rsidR="00A4414B" w:rsidRPr="00163EB5">
        <w:rPr>
          <w:rFonts w:ascii="Times New Roman" w:hAnsi="Times New Roman"/>
          <w:sz w:val="24"/>
          <w:szCs w:val="24"/>
        </w:rPr>
        <w:t xml:space="preserve"> ribosomal RNA</w:t>
      </w:r>
      <w:r w:rsidRPr="00163EB5">
        <w:rPr>
          <w:rFonts w:ascii="Times New Roman" w:hAnsi="Times New Roman"/>
          <w:sz w:val="24"/>
          <w:szCs w:val="24"/>
        </w:rPr>
        <w:t xml:space="preserve"> gene which was adapted from previous </w:t>
      </w:r>
      <w:r w:rsidR="00457FF3">
        <w:rPr>
          <w:rFonts w:ascii="Times New Roman" w:hAnsi="Times New Roman"/>
          <w:sz w:val="24"/>
          <w:szCs w:val="24"/>
        </w:rPr>
        <w:t xml:space="preserve">report </w:t>
      </w:r>
      <w:r w:rsidR="00457FF3">
        <w:rPr>
          <w:rFonts w:ascii="Times New Roman" w:hAnsi="Times New Roman"/>
          <w:sz w:val="24"/>
          <w:szCs w:val="24"/>
        </w:rPr>
        <w:fldChar w:fldCharType="begin"/>
      </w:r>
      <w:r w:rsidR="00457FF3">
        <w:rPr>
          <w:rFonts w:ascii="Times New Roman" w:hAnsi="Times New Roman"/>
          <w:sz w:val="24"/>
          <w:szCs w:val="24"/>
        </w:rPr>
        <w:instrText xml:space="preserve"> ADDIN REFMGR.CITE &lt;Refman&gt;&lt;Cite&gt;&lt;Author&gt;Vermulst&lt;/Author&gt;&lt;Year&gt;2007&lt;/Year&gt;&lt;RecNum&gt;5&lt;/RecNum&gt;&lt;IDText&gt;Mitochondrial point mutations do not limit the natural lifespan of mice&lt;/IDText&gt;&lt;MDL Ref_Type="Journal"&gt;&lt;Ref_Type&gt;Journal&lt;/Ref_Type&gt;&lt;Ref_ID&gt;5&lt;/Ref_ID&gt;&lt;Title_Primary&gt;Mitochondrial point mutations do not limit the natural lifespan of mice&lt;/Title_Primary&gt;&lt;Authors_Primary&gt;Vermulst,M.&lt;/Authors_Primary&gt;&lt;Authors_Primary&gt;Bielas,J.H.&lt;/Authors_Primary&gt;&lt;Authors_Primary&gt;Kujoth,G.C.&lt;/Authors_Primary&gt;&lt;Authors_Primary&gt;Ladiges,W.C.&lt;/Authors_Primary&gt;&lt;Authors_Primary&gt;Rabinovitch,P.S.&lt;/Authors_Primary&gt;&lt;Authors_Primary&gt;Prolla,T.A.&lt;/Authors_Primary&gt;&lt;Authors_Primary&gt;Loeb,L.A.&lt;/Authors_Primary&gt;&lt;Date_Primary&gt;2007/4&lt;/Date_Primary&gt;&lt;Keywords&gt;Aging&lt;/Keywords&gt;&lt;Keywords&gt;Animals&lt;/Keywords&gt;&lt;Keywords&gt;Cells,Cultured&lt;/Keywords&gt;&lt;Keywords&gt;DNA-Directed DNA Polymerase&lt;/Keywords&gt;&lt;Keywords&gt;enzymology&lt;/Keywords&gt;&lt;Keywords&gt;genetics&lt;/Keywords&gt;&lt;Keywords&gt;Longevity&lt;/Keywords&gt;&lt;Keywords&gt;metabolism&lt;/Keywords&gt;&lt;Keywords&gt;Mice&lt;/Keywords&gt;&lt;Keywords&gt;Mice,Transgenic&lt;/Keywords&gt;&lt;Keywords&gt;Mitochondria&lt;/Keywords&gt;&lt;Keywords&gt;physiology&lt;/Keywords&gt;&lt;Keywords&gt;Point Mutation&lt;/Keywords&gt;&lt;Reprint&gt;Not in File&lt;/Reprint&gt;&lt;Start_Page&gt;540&lt;/Start_Page&gt;&lt;End_Page&gt;543&lt;/End_Page&gt;&lt;Periodical&gt;Nat.Genet.&lt;/Periodical&gt;&lt;Volume&gt;39&lt;/Volume&gt;&lt;Issue&gt;4&lt;/Issue&gt;&lt;Misc_3&gt;ng1988 [pii];10.1038/ng1988 [doi]&lt;/Misc_3&gt;&lt;Address&gt;Department of Pathology, University of Washington, Seattle, Washington 91895, USA&lt;/Address&gt;&lt;Web_URL&gt;PM:17334366&lt;/Web_URL&gt;&lt;ZZ_JournalStdAbbrev&gt;&lt;f name="System"&gt;Nat.Genet.&lt;/f&gt;&lt;/ZZ_JournalStdAbbrev&gt;&lt;ZZ_WorkformID&gt;1&lt;/ZZ_WorkformID&gt;&lt;/MDL&gt;&lt;/Cite&gt;&lt;/Refman&gt;</w:instrText>
      </w:r>
      <w:r w:rsidR="00457FF3">
        <w:rPr>
          <w:rFonts w:ascii="Times New Roman" w:hAnsi="Times New Roman"/>
          <w:sz w:val="24"/>
          <w:szCs w:val="24"/>
        </w:rPr>
        <w:fldChar w:fldCharType="separate"/>
      </w:r>
      <w:r w:rsidR="00457FF3">
        <w:rPr>
          <w:rFonts w:ascii="Times New Roman" w:hAnsi="Times New Roman"/>
          <w:noProof/>
          <w:sz w:val="24"/>
          <w:szCs w:val="24"/>
        </w:rPr>
        <w:t>[3]</w:t>
      </w:r>
      <w:r w:rsidR="00457FF3">
        <w:rPr>
          <w:rFonts w:ascii="Times New Roman" w:hAnsi="Times New Roman"/>
          <w:sz w:val="24"/>
          <w:szCs w:val="24"/>
        </w:rPr>
        <w:fldChar w:fldCharType="end"/>
      </w:r>
      <w:r w:rsidR="0016598E" w:rsidRPr="00163EB5">
        <w:rPr>
          <w:rFonts w:ascii="Times New Roman" w:hAnsi="Times New Roman"/>
          <w:sz w:val="24"/>
          <w:szCs w:val="24"/>
        </w:rPr>
        <w:t xml:space="preserve">. </w:t>
      </w:r>
      <w:r w:rsidRPr="00163EB5">
        <w:rPr>
          <w:rFonts w:ascii="Times New Roman" w:hAnsi="Times New Roman"/>
          <w:sz w:val="24"/>
          <w:szCs w:val="24"/>
        </w:rPr>
        <w:t xml:space="preserve">Based on </w:t>
      </w:r>
      <w:proofErr w:type="spellStart"/>
      <w:r w:rsidRPr="00163EB5">
        <w:rPr>
          <w:rFonts w:ascii="Times New Roman" w:hAnsi="Times New Roman"/>
          <w:sz w:val="24"/>
          <w:szCs w:val="24"/>
        </w:rPr>
        <w:t>TaqI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restriction sites in mtDNA genome, seven pairs of primers were chosen to screen different genes. All primer sets were optimized with </w:t>
      </w:r>
      <w:proofErr w:type="spellStart"/>
      <w:r w:rsidRPr="00163EB5">
        <w:rPr>
          <w:rFonts w:ascii="Times New Roman" w:hAnsi="Times New Roman"/>
          <w:sz w:val="24"/>
          <w:szCs w:val="24"/>
        </w:rPr>
        <w:t>mtDNA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63EB5">
        <w:rPr>
          <w:rFonts w:ascii="Times New Roman" w:hAnsi="Times New Roman"/>
          <w:sz w:val="24"/>
          <w:szCs w:val="24"/>
        </w:rPr>
        <w:t>mtRNA</w:t>
      </w:r>
      <w:proofErr w:type="spellEnd"/>
      <w:r w:rsidRPr="00163EB5">
        <w:rPr>
          <w:rFonts w:ascii="Times New Roman" w:hAnsi="Times New Roman"/>
          <w:sz w:val="24"/>
          <w:szCs w:val="24"/>
        </w:rPr>
        <w:t xml:space="preserve"> to give CT v</w:t>
      </w:r>
      <w:r w:rsidR="00163EB5" w:rsidRPr="00163EB5">
        <w:rPr>
          <w:rFonts w:ascii="Times New Roman" w:hAnsi="Times New Roman"/>
          <w:sz w:val="24"/>
          <w:szCs w:val="24"/>
        </w:rPr>
        <w:t xml:space="preserve">alues within a reliable range. </w:t>
      </w:r>
    </w:p>
    <w:p w:rsidR="00163EB5" w:rsidRPr="00163EB5" w:rsidRDefault="00163EB5" w:rsidP="00163EB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63EB5" w:rsidRDefault="00163EB5" w:rsidP="00163EB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63EB5" w:rsidRDefault="00163EB5" w:rsidP="00163EB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63EB5" w:rsidRDefault="00163EB5" w:rsidP="00163EB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57FF3" w:rsidRDefault="00457FF3" w:rsidP="00163EB5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457FF3" w:rsidRPr="00457FF3" w:rsidRDefault="00457FF3" w:rsidP="00457FF3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REFMGR.REFLIST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57FF3">
        <w:rPr>
          <w:rFonts w:ascii="Times New Roman" w:hAnsi="Times New Roman"/>
          <w:b/>
          <w:noProof/>
          <w:sz w:val="28"/>
          <w:szCs w:val="28"/>
        </w:rPr>
        <w:t xml:space="preserve">References </w:t>
      </w:r>
    </w:p>
    <w:p w:rsidR="00457FF3" w:rsidRPr="00457FF3" w:rsidRDefault="00457FF3" w:rsidP="00457FF3">
      <w:pPr>
        <w:pStyle w:val="NoSpacing"/>
        <w:jc w:val="center"/>
        <w:rPr>
          <w:noProof/>
          <w:szCs w:val="24"/>
        </w:rPr>
      </w:pPr>
    </w:p>
    <w:p w:rsidR="00457FF3" w:rsidRDefault="00457FF3" w:rsidP="00457FF3">
      <w:pPr>
        <w:pStyle w:val="NoSpacing"/>
        <w:tabs>
          <w:tab w:val="right" w:pos="360"/>
          <w:tab w:val="left" w:pos="540"/>
        </w:tabs>
        <w:spacing w:after="240"/>
        <w:ind w:left="540" w:hanging="540"/>
        <w:rPr>
          <w:noProof/>
          <w:szCs w:val="24"/>
        </w:rPr>
      </w:pPr>
      <w:r>
        <w:rPr>
          <w:noProof/>
          <w:szCs w:val="24"/>
        </w:rPr>
        <w:tab/>
        <w:t xml:space="preserve">[1] </w:t>
      </w:r>
      <w:r>
        <w:rPr>
          <w:noProof/>
          <w:szCs w:val="24"/>
        </w:rPr>
        <w:tab/>
        <w:t>R.Halsne, Y.Esbensen, W.Wang, K.Scheffler, R.Suganthan, M.Bjoras, L.Eide. Lack of the DNA glycosylases MYH and OGG1 in the cancer prone double mutant mouse does not increase mitochondrial DNA mutagenesis, DNA Repair (Amst) 11 (2012) 278-285.</w:t>
      </w:r>
    </w:p>
    <w:p w:rsidR="00457FF3" w:rsidRDefault="00457FF3" w:rsidP="00457FF3">
      <w:pPr>
        <w:pStyle w:val="NoSpacing"/>
        <w:tabs>
          <w:tab w:val="right" w:pos="360"/>
          <w:tab w:val="left" w:pos="540"/>
        </w:tabs>
        <w:spacing w:after="240"/>
        <w:ind w:left="540" w:hanging="540"/>
        <w:rPr>
          <w:noProof/>
          <w:szCs w:val="24"/>
        </w:rPr>
      </w:pPr>
      <w:r>
        <w:rPr>
          <w:noProof/>
          <w:szCs w:val="24"/>
        </w:rPr>
        <w:tab/>
        <w:t xml:space="preserve">[2] </w:t>
      </w:r>
      <w:r>
        <w:rPr>
          <w:noProof/>
          <w:szCs w:val="24"/>
        </w:rPr>
        <w:tab/>
        <w:t>A.Barrientos, F.Fontanesi, F.Diaz. Evaluation of the mitochondrial respiratory chain and oxidative phosphorylation system using polarography and spectrophotometric enzyme assays, Curr. Protoc. Hum. Genet. Chapter 19 (2009) Unit19.</w:t>
      </w:r>
    </w:p>
    <w:p w:rsidR="00457FF3" w:rsidRDefault="00457FF3" w:rsidP="00457FF3">
      <w:pPr>
        <w:pStyle w:val="NoSpacing"/>
        <w:tabs>
          <w:tab w:val="right" w:pos="360"/>
          <w:tab w:val="left" w:pos="540"/>
        </w:tabs>
        <w:ind w:left="540" w:hanging="540"/>
        <w:rPr>
          <w:noProof/>
          <w:szCs w:val="24"/>
        </w:rPr>
      </w:pPr>
      <w:r>
        <w:rPr>
          <w:noProof/>
          <w:szCs w:val="24"/>
        </w:rPr>
        <w:tab/>
        <w:t xml:space="preserve">[3] </w:t>
      </w:r>
      <w:r>
        <w:rPr>
          <w:noProof/>
          <w:szCs w:val="24"/>
        </w:rPr>
        <w:tab/>
        <w:t>M.Vermulst, J.H.Bielas, G.C.Kujoth, W.C.Ladiges, P.S.Rabinovitch, T.A.Prolla, L.A.Loeb. Mitochondrial point mutations do not limit the natural lifespan of mice, Nat. Genet. 39 (2007) 540-543.</w:t>
      </w:r>
    </w:p>
    <w:p w:rsidR="00457FF3" w:rsidRDefault="00457FF3" w:rsidP="00457FF3">
      <w:pPr>
        <w:pStyle w:val="NoSpacing"/>
        <w:tabs>
          <w:tab w:val="right" w:pos="360"/>
          <w:tab w:val="left" w:pos="540"/>
        </w:tabs>
        <w:ind w:left="540" w:hanging="540"/>
        <w:rPr>
          <w:noProof/>
          <w:szCs w:val="24"/>
        </w:rPr>
      </w:pPr>
    </w:p>
    <w:p w:rsidR="009B446D" w:rsidRPr="00163EB5" w:rsidRDefault="00457FF3" w:rsidP="00163EB5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9B446D" w:rsidRPr="00163EB5" w:rsidSect="00386A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65BB2"/>
    <w:multiLevelType w:val="hybridMultilevel"/>
    <w:tmpl w:val="6136A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12F6"/>
    <w:multiLevelType w:val="hybridMultilevel"/>
    <w:tmpl w:val="C2302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59D9"/>
    <w:multiLevelType w:val="multilevel"/>
    <w:tmpl w:val="652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A4240"/>
    <w:multiLevelType w:val="multilevel"/>
    <w:tmpl w:val="A6C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F1FCF"/>
    <w:multiLevelType w:val="hybridMultilevel"/>
    <w:tmpl w:val="99C25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03617"/>
    <w:multiLevelType w:val="hybridMultilevel"/>
    <w:tmpl w:val="4C4A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rna fidelity&lt;/item&gt;&lt;/Libraries&gt;&lt;/ENLibraries&gt;"/>
  </w:docVars>
  <w:rsids>
    <w:rsidRoot w:val="006223B8"/>
    <w:rsid w:val="0002065C"/>
    <w:rsid w:val="000566F0"/>
    <w:rsid w:val="000772EE"/>
    <w:rsid w:val="0008404C"/>
    <w:rsid w:val="00084A84"/>
    <w:rsid w:val="000973B6"/>
    <w:rsid w:val="000A2605"/>
    <w:rsid w:val="000B2599"/>
    <w:rsid w:val="000B685D"/>
    <w:rsid w:val="000C00C0"/>
    <w:rsid w:val="000C55AB"/>
    <w:rsid w:val="000D5000"/>
    <w:rsid w:val="000E4492"/>
    <w:rsid w:val="000E52B9"/>
    <w:rsid w:val="000F4587"/>
    <w:rsid w:val="001023C1"/>
    <w:rsid w:val="00124886"/>
    <w:rsid w:val="00136CDE"/>
    <w:rsid w:val="00137F02"/>
    <w:rsid w:val="00141FF1"/>
    <w:rsid w:val="00147342"/>
    <w:rsid w:val="00155B1B"/>
    <w:rsid w:val="00163EB5"/>
    <w:rsid w:val="0016598E"/>
    <w:rsid w:val="00166073"/>
    <w:rsid w:val="001750AB"/>
    <w:rsid w:val="0019436E"/>
    <w:rsid w:val="001947D2"/>
    <w:rsid w:val="001A1E1F"/>
    <w:rsid w:val="001B6592"/>
    <w:rsid w:val="001C4F56"/>
    <w:rsid w:val="001C6D35"/>
    <w:rsid w:val="001E4422"/>
    <w:rsid w:val="001F005F"/>
    <w:rsid w:val="00202788"/>
    <w:rsid w:val="002114A6"/>
    <w:rsid w:val="00222897"/>
    <w:rsid w:val="002263BB"/>
    <w:rsid w:val="00237276"/>
    <w:rsid w:val="00237898"/>
    <w:rsid w:val="00245DB4"/>
    <w:rsid w:val="0026519E"/>
    <w:rsid w:val="0029653D"/>
    <w:rsid w:val="002A418B"/>
    <w:rsid w:val="002B0DC2"/>
    <w:rsid w:val="002B1076"/>
    <w:rsid w:val="002B55A4"/>
    <w:rsid w:val="002B7F72"/>
    <w:rsid w:val="002C154D"/>
    <w:rsid w:val="002C1913"/>
    <w:rsid w:val="002C544F"/>
    <w:rsid w:val="002D384C"/>
    <w:rsid w:val="002E091F"/>
    <w:rsid w:val="00311453"/>
    <w:rsid w:val="003126E0"/>
    <w:rsid w:val="003314D7"/>
    <w:rsid w:val="003420E4"/>
    <w:rsid w:val="00345005"/>
    <w:rsid w:val="0036471C"/>
    <w:rsid w:val="003701AA"/>
    <w:rsid w:val="00370BE7"/>
    <w:rsid w:val="003772E9"/>
    <w:rsid w:val="00386A31"/>
    <w:rsid w:val="0039537E"/>
    <w:rsid w:val="00395EEF"/>
    <w:rsid w:val="003B7D91"/>
    <w:rsid w:val="003C4A9E"/>
    <w:rsid w:val="003E2DF4"/>
    <w:rsid w:val="00417DB4"/>
    <w:rsid w:val="004336F9"/>
    <w:rsid w:val="00434DEC"/>
    <w:rsid w:val="004446D2"/>
    <w:rsid w:val="00457FF3"/>
    <w:rsid w:val="0046583A"/>
    <w:rsid w:val="00474001"/>
    <w:rsid w:val="004851ED"/>
    <w:rsid w:val="00492AF6"/>
    <w:rsid w:val="004A09FC"/>
    <w:rsid w:val="004A2B4B"/>
    <w:rsid w:val="004B1673"/>
    <w:rsid w:val="004B5CE5"/>
    <w:rsid w:val="004C3C43"/>
    <w:rsid w:val="004C638D"/>
    <w:rsid w:val="004D34FE"/>
    <w:rsid w:val="004D42A8"/>
    <w:rsid w:val="004E56C9"/>
    <w:rsid w:val="004F6E7A"/>
    <w:rsid w:val="005023DA"/>
    <w:rsid w:val="0050285E"/>
    <w:rsid w:val="00504CDA"/>
    <w:rsid w:val="00515200"/>
    <w:rsid w:val="00515354"/>
    <w:rsid w:val="005379C3"/>
    <w:rsid w:val="00550CBC"/>
    <w:rsid w:val="005529F1"/>
    <w:rsid w:val="005722A6"/>
    <w:rsid w:val="00572361"/>
    <w:rsid w:val="0057426C"/>
    <w:rsid w:val="005A400C"/>
    <w:rsid w:val="005B4D18"/>
    <w:rsid w:val="005F0CA4"/>
    <w:rsid w:val="006063D7"/>
    <w:rsid w:val="006142DF"/>
    <w:rsid w:val="00617368"/>
    <w:rsid w:val="006223B8"/>
    <w:rsid w:val="00626005"/>
    <w:rsid w:val="00636EB5"/>
    <w:rsid w:val="00640B31"/>
    <w:rsid w:val="00644BA7"/>
    <w:rsid w:val="00651603"/>
    <w:rsid w:val="00652A1E"/>
    <w:rsid w:val="006608BC"/>
    <w:rsid w:val="00662E9E"/>
    <w:rsid w:val="00666EF6"/>
    <w:rsid w:val="0068300F"/>
    <w:rsid w:val="00683B15"/>
    <w:rsid w:val="00684060"/>
    <w:rsid w:val="00694106"/>
    <w:rsid w:val="00695EBE"/>
    <w:rsid w:val="006B31C3"/>
    <w:rsid w:val="006C1B87"/>
    <w:rsid w:val="006C5670"/>
    <w:rsid w:val="006E56F5"/>
    <w:rsid w:val="006F2371"/>
    <w:rsid w:val="006F25DC"/>
    <w:rsid w:val="006F3F5B"/>
    <w:rsid w:val="00701EEF"/>
    <w:rsid w:val="0071165C"/>
    <w:rsid w:val="0071472F"/>
    <w:rsid w:val="007235CE"/>
    <w:rsid w:val="007268B4"/>
    <w:rsid w:val="007458B4"/>
    <w:rsid w:val="00757969"/>
    <w:rsid w:val="0077257C"/>
    <w:rsid w:val="0078144D"/>
    <w:rsid w:val="00785919"/>
    <w:rsid w:val="00792AD9"/>
    <w:rsid w:val="007979FB"/>
    <w:rsid w:val="007B48F7"/>
    <w:rsid w:val="007B4C5D"/>
    <w:rsid w:val="007C76C0"/>
    <w:rsid w:val="007F2B0F"/>
    <w:rsid w:val="007F4820"/>
    <w:rsid w:val="007F5029"/>
    <w:rsid w:val="008030E0"/>
    <w:rsid w:val="00814113"/>
    <w:rsid w:val="008559F4"/>
    <w:rsid w:val="0085782E"/>
    <w:rsid w:val="00862785"/>
    <w:rsid w:val="00874303"/>
    <w:rsid w:val="00875CDC"/>
    <w:rsid w:val="008876AE"/>
    <w:rsid w:val="008B77F5"/>
    <w:rsid w:val="008B7A36"/>
    <w:rsid w:val="008C1382"/>
    <w:rsid w:val="008D6CE4"/>
    <w:rsid w:val="008F2570"/>
    <w:rsid w:val="00907B00"/>
    <w:rsid w:val="00910FE1"/>
    <w:rsid w:val="009140A3"/>
    <w:rsid w:val="009463D5"/>
    <w:rsid w:val="00950B1D"/>
    <w:rsid w:val="009565E1"/>
    <w:rsid w:val="00957379"/>
    <w:rsid w:val="0096464B"/>
    <w:rsid w:val="0097265A"/>
    <w:rsid w:val="00974E48"/>
    <w:rsid w:val="009774B2"/>
    <w:rsid w:val="009921D3"/>
    <w:rsid w:val="00995550"/>
    <w:rsid w:val="009A3217"/>
    <w:rsid w:val="009B0055"/>
    <w:rsid w:val="009B446D"/>
    <w:rsid w:val="009B6513"/>
    <w:rsid w:val="009C2B9E"/>
    <w:rsid w:val="009E42BF"/>
    <w:rsid w:val="009E674C"/>
    <w:rsid w:val="00A12FEB"/>
    <w:rsid w:val="00A23B46"/>
    <w:rsid w:val="00A24751"/>
    <w:rsid w:val="00A37D31"/>
    <w:rsid w:val="00A41333"/>
    <w:rsid w:val="00A4414B"/>
    <w:rsid w:val="00A508D9"/>
    <w:rsid w:val="00A5408B"/>
    <w:rsid w:val="00A5615C"/>
    <w:rsid w:val="00A568AB"/>
    <w:rsid w:val="00A7741D"/>
    <w:rsid w:val="00A92257"/>
    <w:rsid w:val="00A96C8B"/>
    <w:rsid w:val="00AC4F18"/>
    <w:rsid w:val="00AC7948"/>
    <w:rsid w:val="00AD1D09"/>
    <w:rsid w:val="00AD2E23"/>
    <w:rsid w:val="00AD2F2F"/>
    <w:rsid w:val="00AD4E1D"/>
    <w:rsid w:val="00AD6FE4"/>
    <w:rsid w:val="00AE64B0"/>
    <w:rsid w:val="00AF25B0"/>
    <w:rsid w:val="00AF3232"/>
    <w:rsid w:val="00B00F02"/>
    <w:rsid w:val="00B03ABD"/>
    <w:rsid w:val="00B03ED7"/>
    <w:rsid w:val="00B07D72"/>
    <w:rsid w:val="00B263FF"/>
    <w:rsid w:val="00B26672"/>
    <w:rsid w:val="00B319E9"/>
    <w:rsid w:val="00B37CF9"/>
    <w:rsid w:val="00B431DA"/>
    <w:rsid w:val="00B46342"/>
    <w:rsid w:val="00B7339C"/>
    <w:rsid w:val="00B91220"/>
    <w:rsid w:val="00B94F26"/>
    <w:rsid w:val="00B97760"/>
    <w:rsid w:val="00BA4DFC"/>
    <w:rsid w:val="00BB2822"/>
    <w:rsid w:val="00BB2DE1"/>
    <w:rsid w:val="00BC49A1"/>
    <w:rsid w:val="00BF4DDE"/>
    <w:rsid w:val="00BF7B3E"/>
    <w:rsid w:val="00C01248"/>
    <w:rsid w:val="00C03D77"/>
    <w:rsid w:val="00C06C2D"/>
    <w:rsid w:val="00C11C95"/>
    <w:rsid w:val="00C25C5C"/>
    <w:rsid w:val="00C33395"/>
    <w:rsid w:val="00C41BFA"/>
    <w:rsid w:val="00C56656"/>
    <w:rsid w:val="00C96B65"/>
    <w:rsid w:val="00C977FE"/>
    <w:rsid w:val="00CA3355"/>
    <w:rsid w:val="00CB4D82"/>
    <w:rsid w:val="00CB65A2"/>
    <w:rsid w:val="00CB797D"/>
    <w:rsid w:val="00CD1AE4"/>
    <w:rsid w:val="00CD3B99"/>
    <w:rsid w:val="00D114AD"/>
    <w:rsid w:val="00D209B5"/>
    <w:rsid w:val="00D45CEC"/>
    <w:rsid w:val="00D518FF"/>
    <w:rsid w:val="00D63920"/>
    <w:rsid w:val="00D81B0C"/>
    <w:rsid w:val="00DC23DA"/>
    <w:rsid w:val="00DD0AB6"/>
    <w:rsid w:val="00DD1ADF"/>
    <w:rsid w:val="00DD2E9C"/>
    <w:rsid w:val="00DF5D3B"/>
    <w:rsid w:val="00E03C44"/>
    <w:rsid w:val="00E228EC"/>
    <w:rsid w:val="00E26504"/>
    <w:rsid w:val="00E4420F"/>
    <w:rsid w:val="00E846F6"/>
    <w:rsid w:val="00E92CB8"/>
    <w:rsid w:val="00EB0BC6"/>
    <w:rsid w:val="00EC0AF4"/>
    <w:rsid w:val="00EC3850"/>
    <w:rsid w:val="00EC5134"/>
    <w:rsid w:val="00EE031B"/>
    <w:rsid w:val="00EE0404"/>
    <w:rsid w:val="00EE23E7"/>
    <w:rsid w:val="00EF39C2"/>
    <w:rsid w:val="00F06C1E"/>
    <w:rsid w:val="00F13122"/>
    <w:rsid w:val="00F170C9"/>
    <w:rsid w:val="00F24B98"/>
    <w:rsid w:val="00F36524"/>
    <w:rsid w:val="00F421CC"/>
    <w:rsid w:val="00F70D14"/>
    <w:rsid w:val="00F8087C"/>
    <w:rsid w:val="00F80B79"/>
    <w:rsid w:val="00F82319"/>
    <w:rsid w:val="00F873C7"/>
    <w:rsid w:val="00F87DA6"/>
    <w:rsid w:val="00F951B1"/>
    <w:rsid w:val="00FA37AE"/>
    <w:rsid w:val="00FC234D"/>
    <w:rsid w:val="00FC634A"/>
    <w:rsid w:val="00FE0A98"/>
    <w:rsid w:val="00FE1795"/>
    <w:rsid w:val="00FE6C98"/>
    <w:rsid w:val="00FF6B02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2FB84-5002-4204-A953-C7B57FF1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31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D6CE4"/>
    <w:pPr>
      <w:spacing w:after="300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3B8"/>
    <w:rPr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D6CE4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D6CE4"/>
    <w:rPr>
      <w:rFonts w:ascii="Times New Roman" w:eastAsia="Times New Roman" w:hAnsi="Times New Roman" w:cs="Times New Roman"/>
      <w:b/>
      <w:bCs/>
      <w:color w:val="444444"/>
      <w:kern w:val="36"/>
      <w:sz w:val="24"/>
      <w:szCs w:val="24"/>
    </w:rPr>
  </w:style>
  <w:style w:type="character" w:styleId="Hyperlink">
    <w:name w:val="Hyperlink"/>
    <w:uiPriority w:val="99"/>
    <w:semiHidden/>
    <w:unhideWhenUsed/>
    <w:rsid w:val="008D6CE4"/>
    <w:rPr>
      <w:b/>
      <w:bCs/>
      <w:strike w:val="0"/>
      <w:dstrike w:val="0"/>
      <w:color w:val="006699"/>
      <w:u w:val="none"/>
      <w:effect w:val="none"/>
    </w:rPr>
  </w:style>
  <w:style w:type="character" w:customStyle="1" w:styleId="mb">
    <w:name w:val="mb"/>
    <w:rsid w:val="008D6CE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uiPriority w:val="99"/>
    <w:semiHidden/>
    <w:unhideWhenUsed/>
    <w:rsid w:val="00B00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F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F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F02"/>
    <w:rPr>
      <w:rFonts w:ascii="Tahoma" w:hAnsi="Tahoma" w:cs="Tahoma"/>
      <w:sz w:val="16"/>
      <w:szCs w:val="16"/>
    </w:rPr>
  </w:style>
  <w:style w:type="character" w:styleId="HTMLTypewriter">
    <w:name w:val="HTML Typewriter"/>
    <w:rsid w:val="00995550"/>
    <w:rPr>
      <w:rFonts w:ascii="Courier New" w:eastAsia="SimSun" w:hAnsi="Courier New" w:cs="Courier New"/>
      <w:sz w:val="20"/>
      <w:szCs w:val="20"/>
    </w:rPr>
  </w:style>
  <w:style w:type="paragraph" w:customStyle="1" w:styleId="svarticlesection">
    <w:name w:val="svarticle section"/>
    <w:basedOn w:val="Normal"/>
    <w:uiPriority w:val="99"/>
    <w:rsid w:val="00995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03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0913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odo.wi.mi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7755</CharactersWithSpaces>
  <SharedDoc>false</SharedDoc>
  <HLinks>
    <vt:vector size="6" baseType="variant"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http://frodo.wi.mit.edu/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Eide</dc:creator>
  <cp:lastModifiedBy>Elisabeth Christmas</cp:lastModifiedBy>
  <cp:revision>3</cp:revision>
  <dcterms:created xsi:type="dcterms:W3CDTF">2014-04-22T08:56:00Z</dcterms:created>
  <dcterms:modified xsi:type="dcterms:W3CDTF">2014-04-23T20:29:00Z</dcterms:modified>
</cp:coreProperties>
</file>