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3" w:rsidRPr="00A7240F" w:rsidRDefault="004672E3" w:rsidP="004672E3">
      <w:pPr>
        <w:pStyle w:val="Beschriftung"/>
        <w:tabs>
          <w:tab w:val="clear" w:pos="567"/>
          <w:tab w:val="clear" w:pos="1134"/>
        </w:tabs>
        <w:ind w:left="851" w:hanging="851"/>
        <w:rPr>
          <w:sz w:val="20"/>
        </w:rPr>
      </w:pPr>
      <w:r w:rsidRPr="00D63104">
        <w:rPr>
          <w:sz w:val="20"/>
        </w:rPr>
        <w:t>Table S</w:t>
      </w:r>
      <w:r>
        <w:rPr>
          <w:sz w:val="20"/>
        </w:rPr>
        <w:t>8</w:t>
      </w:r>
      <w:r w:rsidRPr="00D63104">
        <w:rPr>
          <w:sz w:val="20"/>
        </w:rPr>
        <w:tab/>
        <w:t>D-loop variants (</w:t>
      </w:r>
      <w:r>
        <w:rPr>
          <w:sz w:val="20"/>
        </w:rPr>
        <w:t>complex nucleotide exchanges, insertion</w:t>
      </w:r>
      <w:r w:rsidR="00F66426">
        <w:rPr>
          <w:sz w:val="20"/>
        </w:rPr>
        <w:t>s</w:t>
      </w:r>
      <w:r>
        <w:rPr>
          <w:sz w:val="20"/>
        </w:rPr>
        <w:t xml:space="preserve"> and deletions</w:t>
      </w:r>
      <w:r w:rsidRPr="00D63104">
        <w:rPr>
          <w:sz w:val="20"/>
        </w:rPr>
        <w:t>) detected by re-sequencing (Sanger) of mtDNA and frequencies in cases and controls</w:t>
      </w:r>
    </w:p>
    <w:tbl>
      <w:tblPr>
        <w:tblW w:w="614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121"/>
        <w:gridCol w:w="1883"/>
        <w:gridCol w:w="2143"/>
      </w:tblGrid>
      <w:tr w:rsidR="004672E3" w:rsidRPr="00E04F97" w:rsidTr="003D76C6">
        <w:trPr>
          <w:trHeight w:val="263"/>
          <w:jc w:val="center"/>
        </w:trPr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proofErr w:type="spellStart"/>
            <w:r w:rsidRPr="00E04F97">
              <w:rPr>
                <w:rFonts w:eastAsia="Times New Roman" w:cs="Arial"/>
                <w:b/>
                <w:sz w:val="18"/>
                <w:szCs w:val="18"/>
                <w:lang w:eastAsia="de-DE"/>
              </w:rPr>
              <w:t>Detected</w:t>
            </w:r>
            <w:proofErr w:type="spellEnd"/>
            <w:r w:rsidRPr="00E04F97"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 </w:t>
            </w:r>
          </w:p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E04F97">
              <w:rPr>
                <w:rFonts w:eastAsia="Times New Roman" w:cs="Arial"/>
                <w:b/>
                <w:sz w:val="18"/>
                <w:szCs w:val="18"/>
                <w:lang w:eastAsia="de-DE"/>
              </w:rPr>
              <w:t>Variants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proofErr w:type="spellStart"/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Frequency</w:t>
            </w:r>
            <w:proofErr w:type="spellEnd"/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 xml:space="preserve"> </w:t>
            </w:r>
            <w:proofErr w:type="spellStart"/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cases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 xml:space="preserve"> </w:t>
            </w: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[%]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proofErr w:type="spellStart"/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Frequency</w:t>
            </w:r>
            <w:proofErr w:type="spellEnd"/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 xml:space="preserve"> </w:t>
            </w:r>
            <w:proofErr w:type="spellStart"/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controls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 xml:space="preserve"> </w:t>
            </w: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[%]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sz w:val="18"/>
                <w:szCs w:val="16"/>
                <w:lang w:eastAsia="de-DE"/>
              </w:rPr>
              <w:t>n=191</w:t>
            </w:r>
          </w:p>
        </w:tc>
        <w:tc>
          <w:tcPr>
            <w:tcW w:w="21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sz w:val="18"/>
                <w:szCs w:val="16"/>
                <w:lang w:eastAsia="de-DE"/>
              </w:rPr>
              <w:t>n=191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m.16183A/CC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2.62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1.05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 xml:space="preserve">m.16183A/CCC </w:t>
            </w:r>
            <w:r w:rsidRPr="00E04F97">
              <w:rPr>
                <w:rFonts w:eastAsia="Times New Roman" w:cs="Arial"/>
                <w:b/>
                <w:bCs/>
                <w:sz w:val="18"/>
                <w:szCs w:val="16"/>
                <w:vertAlign w:val="superscript"/>
                <w:lang w:eastAsia="de-DE"/>
              </w:rPr>
              <w:t>a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 xml:space="preserve">m.16189T/CC </w:t>
            </w:r>
            <w:r w:rsidRPr="00E04F97">
              <w:rPr>
                <w:rFonts w:eastAsia="Times New Roman" w:cs="Arial"/>
                <w:b/>
                <w:bCs/>
                <w:sz w:val="18"/>
                <w:szCs w:val="16"/>
                <w:vertAlign w:val="superscript"/>
                <w:lang w:eastAsia="de-DE"/>
              </w:rPr>
              <w:t>a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1.05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2.62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 xml:space="preserve">m.43_44insG </w:t>
            </w:r>
            <w:r w:rsidRPr="00E04F97">
              <w:rPr>
                <w:rFonts w:eastAsia="Times New Roman" w:cs="Arial"/>
                <w:b/>
                <w:bCs/>
                <w:sz w:val="18"/>
                <w:szCs w:val="16"/>
                <w:vertAlign w:val="superscript"/>
                <w:lang w:eastAsia="de-DE"/>
              </w:rPr>
              <w:t>a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1.05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 xml:space="preserve">m.297_298insC </w:t>
            </w:r>
            <w:r w:rsidRPr="00E04F97">
              <w:rPr>
                <w:rFonts w:eastAsia="Times New Roman" w:cs="Arial"/>
                <w:b/>
                <w:bCs/>
                <w:sz w:val="18"/>
                <w:szCs w:val="16"/>
                <w:vertAlign w:val="superscript"/>
                <w:lang w:eastAsia="de-DE"/>
              </w:rPr>
              <w:t>a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m.309_310insC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34.03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39.79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m.309_310insCC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14.14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12.57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m.310_311insTC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1.57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m.315_316insC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95.29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97.91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m.315_316insCC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1.05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m.315_316insCCC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m.451_452insT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m.514_515insAC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5.24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8.38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m.514_515insACAC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3.14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1.05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m.514_515insACACAC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m.567_568insC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1.05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m.567_568insCCC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1.05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m.567_568insCCCC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m.567_568insCCCCC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3.14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 xml:space="preserve">m.576_577insCA </w:t>
            </w:r>
            <w:r w:rsidRPr="00E04F97">
              <w:rPr>
                <w:rFonts w:eastAsia="Times New Roman" w:cs="Arial"/>
                <w:b/>
                <w:bCs/>
                <w:sz w:val="18"/>
                <w:szCs w:val="16"/>
                <w:vertAlign w:val="superscript"/>
                <w:lang w:eastAsia="de-DE"/>
              </w:rPr>
              <w:t>a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de-DE"/>
              </w:rPr>
              <w:t>m.16193_16194insC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m.310delT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1.05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m.311_313delCCC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m.498delC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2.62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1.05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 xml:space="preserve">m.513_514delGC </w:t>
            </w:r>
            <w:r w:rsidRPr="00E04F97">
              <w:rPr>
                <w:rFonts w:eastAsia="Times New Roman" w:cs="Arial"/>
                <w:b/>
                <w:bCs/>
                <w:sz w:val="18"/>
                <w:szCs w:val="16"/>
                <w:vertAlign w:val="superscript"/>
                <w:lang w:eastAsia="de-DE"/>
              </w:rPr>
              <w:t>a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m.515_516delAC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10.99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10.99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 xml:space="preserve">m.568delC </w:t>
            </w:r>
            <w:r w:rsidRPr="00E04F97">
              <w:rPr>
                <w:rFonts w:eastAsia="Times New Roman" w:cs="Arial"/>
                <w:b/>
                <w:bCs/>
                <w:sz w:val="18"/>
                <w:szCs w:val="16"/>
                <w:vertAlign w:val="superscript"/>
                <w:lang w:eastAsia="de-DE"/>
              </w:rPr>
              <w:t>a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m.16189delT</w:t>
            </w: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  <w:tr w:rsidR="004672E3" w:rsidRPr="00E04F97" w:rsidTr="003D76C6">
        <w:trPr>
          <w:trHeight w:val="263"/>
          <w:jc w:val="center"/>
        </w:trPr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b/>
                <w:bCs/>
                <w:sz w:val="18"/>
                <w:szCs w:val="16"/>
                <w:lang w:eastAsia="de-DE"/>
              </w:rPr>
              <w:t>m.16257delC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0.52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2E3" w:rsidRPr="00E04F97" w:rsidRDefault="004672E3" w:rsidP="003D76C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E04F97">
              <w:rPr>
                <w:rFonts w:eastAsia="Times New Roman" w:cs="Arial"/>
                <w:sz w:val="18"/>
                <w:szCs w:val="16"/>
                <w:lang w:eastAsia="de-DE"/>
              </w:rPr>
              <w:t>0.00</w:t>
            </w:r>
          </w:p>
        </w:tc>
      </w:tr>
    </w:tbl>
    <w:p w:rsidR="004672E3" w:rsidRPr="00E54F9A" w:rsidRDefault="004672E3" w:rsidP="004672E3">
      <w:pPr>
        <w:spacing w:line="240" w:lineRule="auto"/>
        <w:ind w:left="1701" w:hanging="141"/>
        <w:contextualSpacing/>
        <w:rPr>
          <w:i/>
          <w:iCs/>
          <w:sz w:val="20"/>
          <w:szCs w:val="20"/>
          <w:lang w:val="en-US"/>
        </w:rPr>
      </w:pPr>
      <w:proofErr w:type="gramStart"/>
      <w:r w:rsidRPr="00D63104">
        <w:rPr>
          <w:sz w:val="20"/>
          <w:szCs w:val="20"/>
          <w:vertAlign w:val="superscript"/>
          <w:lang w:val="en-US"/>
        </w:rPr>
        <w:t>a</w:t>
      </w:r>
      <w:proofErr w:type="gramEnd"/>
      <w:r w:rsidRPr="00D63104">
        <w:rPr>
          <w:sz w:val="20"/>
          <w:szCs w:val="20"/>
          <w:lang w:val="en-US"/>
        </w:rPr>
        <w:t xml:space="preserve"> variant has not been described previously based on </w:t>
      </w:r>
      <w:hyperlink r:id="rId4" w:history="1">
        <w:r w:rsidRPr="00D63104">
          <w:rPr>
            <w:rStyle w:val="Hyperlink"/>
            <w:sz w:val="20"/>
            <w:szCs w:val="20"/>
            <w:lang w:val="en-US"/>
          </w:rPr>
          <w:t>www.mitomap.org</w:t>
        </w:r>
      </w:hyperlink>
      <w:r w:rsidRPr="00D63104">
        <w:rPr>
          <w:sz w:val="20"/>
          <w:szCs w:val="20"/>
          <w:lang w:val="en-US"/>
        </w:rPr>
        <w:t xml:space="preserve">, </w:t>
      </w:r>
      <w:r w:rsidRPr="00D63104">
        <w:rPr>
          <w:rStyle w:val="Hervorhebung"/>
          <w:sz w:val="20"/>
          <w:szCs w:val="20"/>
          <w:lang w:val="en-US"/>
        </w:rPr>
        <w:t xml:space="preserve">last edited on Apr 23, 2013 </w:t>
      </w:r>
      <w:r w:rsidRPr="00D63104">
        <w:rPr>
          <w:sz w:val="20"/>
          <w:szCs w:val="20"/>
          <w:lang w:val="en-US"/>
        </w:rPr>
        <w:t>(Ruiz-</w:t>
      </w:r>
      <w:proofErr w:type="spellStart"/>
      <w:r w:rsidRPr="00D63104">
        <w:rPr>
          <w:sz w:val="20"/>
          <w:szCs w:val="20"/>
          <w:lang w:val="en-US"/>
        </w:rPr>
        <w:t>Pesini</w:t>
      </w:r>
      <w:proofErr w:type="spellEnd"/>
      <w:r w:rsidRPr="00D63104">
        <w:rPr>
          <w:sz w:val="20"/>
          <w:szCs w:val="20"/>
          <w:lang w:val="en-US"/>
        </w:rPr>
        <w:t xml:space="preserve"> et al. 2007)</w:t>
      </w:r>
    </w:p>
    <w:p w:rsidR="00D765B0" w:rsidRDefault="00D765B0">
      <w:pPr>
        <w:rPr>
          <w:lang w:val="en-US"/>
        </w:rPr>
      </w:pPr>
    </w:p>
    <w:p w:rsidR="00714691" w:rsidRPr="00714691" w:rsidRDefault="00714691" w:rsidP="00714691">
      <w:pPr>
        <w:spacing w:line="240" w:lineRule="auto"/>
        <w:ind w:left="284" w:hanging="284"/>
        <w:rPr>
          <w:rFonts w:asciiTheme="minorHAnsi" w:eastAsia="Times New Roman" w:hAnsiTheme="minorHAnsi" w:cs="Arial"/>
          <w:bCs/>
          <w:sz w:val="20"/>
          <w:szCs w:val="20"/>
          <w:lang w:val="en-US" w:eastAsia="de-DE"/>
        </w:rPr>
      </w:pPr>
      <w:r w:rsidRPr="00714691">
        <w:rPr>
          <w:rFonts w:asciiTheme="minorHAnsi" w:eastAsia="Times New Roman" w:hAnsiTheme="minorHAnsi" w:cs="Arial"/>
          <w:bCs/>
          <w:sz w:val="20"/>
          <w:szCs w:val="20"/>
          <w:lang w:val="en-US" w:eastAsia="de-DE"/>
        </w:rPr>
        <w:t>Reference:</w:t>
      </w:r>
    </w:p>
    <w:p w:rsidR="00714691" w:rsidRPr="00714691" w:rsidRDefault="00714691" w:rsidP="00714691">
      <w:pPr>
        <w:spacing w:line="240" w:lineRule="auto"/>
        <w:ind w:left="284" w:hanging="284"/>
        <w:contextualSpacing/>
        <w:rPr>
          <w:sz w:val="20"/>
          <w:szCs w:val="20"/>
          <w:lang w:val="en-US"/>
        </w:rPr>
      </w:pPr>
      <w:r w:rsidRPr="00714691">
        <w:rPr>
          <w:rFonts w:cs="Calibri"/>
          <w:sz w:val="20"/>
          <w:szCs w:val="20"/>
          <w:lang w:val="en-US"/>
        </w:rPr>
        <w:t>Ruiz-</w:t>
      </w:r>
      <w:proofErr w:type="spellStart"/>
      <w:r w:rsidRPr="00714691">
        <w:rPr>
          <w:rFonts w:cs="Calibri"/>
          <w:sz w:val="20"/>
          <w:szCs w:val="20"/>
          <w:lang w:val="en-US"/>
        </w:rPr>
        <w:t>Pesini</w:t>
      </w:r>
      <w:proofErr w:type="spellEnd"/>
      <w:r w:rsidRPr="00714691">
        <w:rPr>
          <w:rFonts w:cs="Calibri"/>
          <w:sz w:val="20"/>
          <w:szCs w:val="20"/>
          <w:lang w:val="en-US"/>
        </w:rPr>
        <w:t xml:space="preserve"> E, Lott MT, </w:t>
      </w:r>
      <w:proofErr w:type="spellStart"/>
      <w:r w:rsidRPr="00714691">
        <w:rPr>
          <w:rFonts w:cs="Calibri"/>
          <w:sz w:val="20"/>
          <w:szCs w:val="20"/>
          <w:lang w:val="en-US"/>
        </w:rPr>
        <w:t>Procaccio</w:t>
      </w:r>
      <w:proofErr w:type="spellEnd"/>
      <w:r w:rsidRPr="00714691">
        <w:rPr>
          <w:rFonts w:cs="Calibri"/>
          <w:sz w:val="20"/>
          <w:szCs w:val="20"/>
          <w:lang w:val="en-US"/>
        </w:rPr>
        <w:t xml:space="preserve"> V, Poole JC, Brandon MC, et al. (2007) An enhanced MITOMAP with a global mtDNA mutational phylogeny. Nucleic Acids Res 35 (Database issue):D823-D828.</w:t>
      </w:r>
    </w:p>
    <w:p w:rsidR="00714691" w:rsidRPr="00714691" w:rsidRDefault="00714691">
      <w:pPr>
        <w:rPr>
          <w:sz w:val="20"/>
          <w:szCs w:val="20"/>
          <w:lang w:val="en-US"/>
        </w:rPr>
      </w:pPr>
    </w:p>
    <w:sectPr w:rsidR="00714691" w:rsidRPr="00714691" w:rsidSect="00D76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2E3"/>
    <w:rsid w:val="00023E01"/>
    <w:rsid w:val="001373F3"/>
    <w:rsid w:val="00342D1D"/>
    <w:rsid w:val="0043495F"/>
    <w:rsid w:val="00440534"/>
    <w:rsid w:val="004672E3"/>
    <w:rsid w:val="005A2379"/>
    <w:rsid w:val="00714691"/>
    <w:rsid w:val="00714C0E"/>
    <w:rsid w:val="007B6E2E"/>
    <w:rsid w:val="0085041F"/>
    <w:rsid w:val="009653CF"/>
    <w:rsid w:val="00C726EB"/>
    <w:rsid w:val="00D765B0"/>
    <w:rsid w:val="00ED1ACD"/>
    <w:rsid w:val="00F6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2E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72E3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4672E3"/>
    <w:pPr>
      <w:tabs>
        <w:tab w:val="left" w:pos="567"/>
        <w:tab w:val="left" w:pos="1134"/>
      </w:tabs>
      <w:spacing w:after="0" w:line="360" w:lineRule="auto"/>
      <w:contextualSpacing/>
      <w:jc w:val="both"/>
    </w:pPr>
    <w:rPr>
      <w:rFonts w:cs="Calibri"/>
      <w:b/>
      <w:bCs/>
      <w:sz w:val="24"/>
      <w:szCs w:val="18"/>
      <w:lang w:val="en-US"/>
    </w:rPr>
  </w:style>
  <w:style w:type="character" w:styleId="Hervorhebung">
    <w:name w:val="Emphasis"/>
    <w:basedOn w:val="Absatz-Standardschriftart"/>
    <w:uiPriority w:val="20"/>
    <w:qFormat/>
    <w:rsid w:val="004672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adja\Diss\www.mitomap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Knoll</dc:creator>
  <cp:lastModifiedBy>Knoll</cp:lastModifiedBy>
  <cp:revision>3</cp:revision>
  <dcterms:created xsi:type="dcterms:W3CDTF">2014-03-25T09:21:00Z</dcterms:created>
  <dcterms:modified xsi:type="dcterms:W3CDTF">2014-04-01T07:50:00Z</dcterms:modified>
</cp:coreProperties>
</file>