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6CC24" w14:textId="25C3FCB2" w:rsidR="00BA1D98" w:rsidRPr="0002182C" w:rsidRDefault="007C4192">
      <w:pPr>
        <w:rPr>
          <w:rFonts w:ascii="Times" w:hAnsi="Times"/>
          <w:b/>
          <w:lang w:val="en-GB"/>
        </w:rPr>
      </w:pPr>
      <w:r>
        <w:rPr>
          <w:rFonts w:ascii="Times" w:hAnsi="Times"/>
          <w:b/>
          <w:lang w:val="en-GB"/>
        </w:rPr>
        <w:t>Materials and Methods S1</w:t>
      </w:r>
    </w:p>
    <w:p w14:paraId="45233262" w14:textId="77777777" w:rsidR="00BA1D98" w:rsidRPr="006D62E4" w:rsidRDefault="00BA1D98" w:rsidP="00BA1D98">
      <w:pPr>
        <w:spacing w:line="480" w:lineRule="auto"/>
        <w:jc w:val="both"/>
        <w:rPr>
          <w:rFonts w:ascii="Times" w:hAnsi="Times" w:cs="Times"/>
        </w:rPr>
      </w:pPr>
    </w:p>
    <w:p w14:paraId="7250B3AA" w14:textId="77777777" w:rsidR="00BA1D98" w:rsidRPr="006D62E4" w:rsidRDefault="00BA1D98" w:rsidP="00BA1D98">
      <w:pPr>
        <w:widowControl w:val="0"/>
        <w:autoSpaceDE w:val="0"/>
        <w:autoSpaceDN w:val="0"/>
        <w:adjustRightInd w:val="0"/>
        <w:spacing w:line="480" w:lineRule="auto"/>
        <w:jc w:val="both"/>
        <w:rPr>
          <w:rFonts w:ascii="Times" w:hAnsi="Times"/>
          <w:b/>
        </w:rPr>
      </w:pPr>
      <w:r w:rsidRPr="006D62E4">
        <w:rPr>
          <w:rFonts w:ascii="Times" w:hAnsi="Times"/>
          <w:b/>
        </w:rPr>
        <w:t>FACS analysis of cell suspensions from ears</w:t>
      </w:r>
    </w:p>
    <w:p w14:paraId="1D096756" w14:textId="06B870CA" w:rsidR="00BA1D98" w:rsidRPr="006D62E4" w:rsidRDefault="00BA1D98" w:rsidP="00BA1D98">
      <w:pPr>
        <w:widowControl w:val="0"/>
        <w:autoSpaceDE w:val="0"/>
        <w:autoSpaceDN w:val="0"/>
        <w:adjustRightInd w:val="0"/>
        <w:spacing w:line="480" w:lineRule="auto"/>
        <w:jc w:val="both"/>
        <w:rPr>
          <w:rFonts w:ascii="Times" w:hAnsi="Times"/>
        </w:rPr>
      </w:pPr>
      <w:r w:rsidRPr="006D62E4">
        <w:rPr>
          <w:rFonts w:ascii="Times" w:hAnsi="Times"/>
        </w:rPr>
        <w:t>Ears were split into dorsal and ventral halves using forceps and the ear halves were transferred, dermal side down, into a plate containing RPMI-1640 media (Invitrogen) supplemented with 10% FBS and antibiotics at 37°C.  The leukocyte populations were allowed to migrate over 12 hours from the ear halves into the media and were stained for FACS analysis using the same antibodies as described in the previous section for FACS analysis of LNs. Additionally, PerCP-labeled anti-mouse CD45 (BD Biosciences), FITC-labeled anti-mouse CD11b (Biolegend) and APC-labeled anti-mouse F4/80 (eBioscience) were used. The events were divided into CXCR4</w:t>
      </w:r>
      <w:r w:rsidRPr="006D62E4">
        <w:rPr>
          <w:rFonts w:ascii="Times" w:hAnsi="Times"/>
          <w:vertAlign w:val="superscript"/>
        </w:rPr>
        <w:t xml:space="preserve">+ </w:t>
      </w:r>
      <w:r w:rsidRPr="006D62E4">
        <w:rPr>
          <w:rFonts w:ascii="Times" w:hAnsi="Times"/>
        </w:rPr>
        <w:t>and CXCR4</w:t>
      </w:r>
      <w:r w:rsidRPr="006D62E4">
        <w:rPr>
          <w:rFonts w:ascii="Times" w:hAnsi="Times"/>
          <w:vertAlign w:val="superscript"/>
        </w:rPr>
        <w:t>-</w:t>
      </w:r>
      <w:r w:rsidRPr="006D62E4">
        <w:rPr>
          <w:rFonts w:ascii="Times" w:hAnsi="Times"/>
        </w:rPr>
        <w:t xml:space="preserve"> populations based upon a fluorescence minus one (FMO) control</w:t>
      </w:r>
      <w:r w:rsidRPr="006D62E4">
        <w:rPr>
          <w:rFonts w:ascii="Times" w:hAnsi="Times"/>
        </w:rPr>
        <w:fldChar w:fldCharType="begin"/>
      </w:r>
      <w:r w:rsidR="006D62E4" w:rsidRPr="006D62E4">
        <w:rPr>
          <w:rFonts w:ascii="Times" w:hAnsi="Times"/>
        </w:rPr>
        <w:instrText xml:space="preserve"> ADDIN EN.CITE &lt;EndNote&gt;&lt;Cite&gt;&lt;Author&gt;Roederer&lt;/Author&gt;&lt;Year&gt;2001&lt;/Year&gt;&lt;RecNum&gt;93&lt;/RecNum&gt;&lt;DisplayText&gt;(1)&lt;/DisplayText&gt;&lt;record&gt;&lt;rec-number&gt;93&lt;/rec-number&gt;&lt;foreign-keys&gt;&lt;key app="EN" db-id="psx0td9d4t0ar6evv90xfr0itdwr2xtep9x9"&gt;93&lt;/key&gt;&lt;/foreign-keys&gt;&lt;ref-type name="Journal Article"&gt;17&lt;/ref-type&gt;&lt;contributors&gt;&lt;authors&gt;&lt;author&gt;Roederer, M.&lt;/author&gt;&lt;/authors&gt;&lt;/contributors&gt;&lt;auth-address&gt;Vaccine Research Center, NIH, Bethesda, Maryland 20892-3015, USA. Roederer@drmr.com&lt;/auth-address&gt;&lt;titles&gt;&lt;title&gt;Spectral compensation for flow cytometry: visualization artifacts, limitations, and caveats&lt;/title&gt;&lt;secondary-title&gt;Cytometry&lt;/secondary-title&gt;&lt;alt-title&gt;Cytometry&lt;/alt-title&gt;&lt;/titles&gt;&lt;periodical&gt;&lt;full-title&gt;Cytometry&lt;/full-title&gt;&lt;abbr-1&gt;Cytometry&lt;/abbr-1&gt;&lt;/periodical&gt;&lt;alt-periodical&gt;&lt;full-title&gt;Cytometry&lt;/full-title&gt;&lt;abbr-1&gt;Cytometry&lt;/abbr-1&gt;&lt;/alt-periodical&gt;&lt;pages&gt;194-205&lt;/pages&gt;&lt;volume&gt;45&lt;/volume&gt;&lt;number&gt;3&lt;/number&gt;&lt;edition&gt;2001/12/18&lt;/edition&gt;&lt;keywords&gt;&lt;keyword&gt;*Artifacts&lt;/keyword&gt;&lt;keyword&gt;Calibration&lt;/keyword&gt;&lt;keyword&gt;Flow Cytometry/*methods&lt;/keyword&gt;&lt;keyword&gt;Fluorescent Antibody Technique/methods&lt;/keyword&gt;&lt;keyword&gt;Humans&lt;/keyword&gt;&lt;keyword&gt;Immunophenotyping/methods&lt;/keyword&gt;&lt;keyword&gt;Leukocytes, Mononuclear/immunology&lt;/keyword&gt;&lt;keyword&gt;Models, Biological&lt;/keyword&gt;&lt;keyword&gt;Spectrum Analysis&lt;/keyword&gt;&lt;keyword&gt;Statistics as Topic&lt;/keyword&gt;&lt;/keywords&gt;&lt;dates&gt;&lt;year&gt;2001&lt;/year&gt;&lt;pub-dates&gt;&lt;date&gt;Nov 1&lt;/date&gt;&lt;/pub-dates&gt;&lt;/dates&gt;&lt;isbn&gt;0196-4763 (Print)&amp;#xD;0196-4763 (Linking)&lt;/isbn&gt;&lt;accession-num&gt;11746088&lt;/accession-num&gt;&lt;urls&gt;&lt;related-urls&gt;&lt;url&gt;http://www.ncbi.nlm.nih.gov/pubmed/11746088&lt;/url&gt;&lt;/related-urls&gt;&lt;/urls&gt;&lt;language&gt;eng&lt;/language&gt;&lt;/record&gt;&lt;/Cite&gt;&lt;/EndNote&gt;</w:instrText>
      </w:r>
      <w:r w:rsidRPr="006D62E4">
        <w:rPr>
          <w:rFonts w:ascii="Times" w:hAnsi="Times"/>
        </w:rPr>
        <w:fldChar w:fldCharType="separate"/>
      </w:r>
      <w:r w:rsidR="006D62E4" w:rsidRPr="006D62E4">
        <w:rPr>
          <w:rFonts w:ascii="Times" w:hAnsi="Times"/>
          <w:noProof/>
        </w:rPr>
        <w:t>(</w:t>
      </w:r>
      <w:hyperlink w:anchor="_ENREF_1" w:tooltip="Roederer, 2001 #93" w:history="1">
        <w:r w:rsidR="006D62E4" w:rsidRPr="006D62E4">
          <w:rPr>
            <w:rFonts w:ascii="Times" w:hAnsi="Times"/>
            <w:noProof/>
          </w:rPr>
          <w:t>1</w:t>
        </w:r>
      </w:hyperlink>
      <w:r w:rsidR="006D62E4" w:rsidRPr="006D62E4">
        <w:rPr>
          <w:rFonts w:ascii="Times" w:hAnsi="Times"/>
          <w:noProof/>
        </w:rPr>
        <w:t>)</w:t>
      </w:r>
      <w:r w:rsidRPr="006D62E4">
        <w:rPr>
          <w:rFonts w:ascii="Times" w:hAnsi="Times"/>
        </w:rPr>
        <w:fldChar w:fldCharType="end"/>
      </w:r>
      <w:r w:rsidR="007838BF">
        <w:rPr>
          <w:rFonts w:ascii="Times" w:hAnsi="Times"/>
        </w:rPr>
        <w:t>.</w:t>
      </w:r>
      <w:bookmarkStart w:id="0" w:name="_GoBack"/>
      <w:bookmarkEnd w:id="0"/>
      <w:r w:rsidRPr="006D62E4">
        <w:rPr>
          <w:rFonts w:ascii="Times" w:hAnsi="Times"/>
        </w:rPr>
        <w:t xml:space="preserve"> To quantify total CD4, CD8, dendritic cell, CXCR4+ dendritic cell, macrophage and CXCR4+ macrophage numbers in ear samples, all migrated cells were analyzed. </w:t>
      </w:r>
    </w:p>
    <w:p w14:paraId="0F80AB22" w14:textId="77777777" w:rsidR="006D62E4" w:rsidRPr="006D62E4" w:rsidRDefault="006D62E4">
      <w:pPr>
        <w:rPr>
          <w:rFonts w:ascii="Times" w:hAnsi="Times"/>
        </w:rPr>
      </w:pPr>
    </w:p>
    <w:p w14:paraId="0BFB2908" w14:textId="77777777" w:rsidR="006D62E4" w:rsidRPr="006D62E4" w:rsidRDefault="006D62E4" w:rsidP="006D62E4">
      <w:pPr>
        <w:ind w:left="720" w:hanging="720"/>
        <w:rPr>
          <w:rFonts w:ascii="Times" w:hAnsi="Times" w:cs="Times New Roman"/>
          <w:noProof/>
        </w:rPr>
      </w:pPr>
      <w:r w:rsidRPr="006D62E4">
        <w:rPr>
          <w:rFonts w:ascii="Times" w:hAnsi="Times"/>
        </w:rPr>
        <w:fldChar w:fldCharType="begin"/>
      </w:r>
      <w:r w:rsidRPr="006D62E4">
        <w:rPr>
          <w:rFonts w:ascii="Times" w:hAnsi="Times"/>
        </w:rPr>
        <w:instrText xml:space="preserve"> ADDIN EN.REFLIST </w:instrText>
      </w:r>
      <w:r w:rsidRPr="006D62E4">
        <w:rPr>
          <w:rFonts w:ascii="Times" w:hAnsi="Times"/>
        </w:rPr>
        <w:fldChar w:fldCharType="separate"/>
      </w:r>
      <w:bookmarkStart w:id="1" w:name="_ENREF_1"/>
      <w:r w:rsidRPr="006D62E4">
        <w:rPr>
          <w:rFonts w:ascii="Times" w:hAnsi="Times" w:cs="Times New Roman"/>
          <w:noProof/>
        </w:rPr>
        <w:t>1.</w:t>
      </w:r>
      <w:r w:rsidRPr="006D62E4">
        <w:rPr>
          <w:rFonts w:ascii="Times" w:hAnsi="Times" w:cs="Times New Roman"/>
          <w:noProof/>
        </w:rPr>
        <w:tab/>
        <w:t xml:space="preserve">Roederer, M. (2001) Spectral compensation for flow cytometry: visualization artifacts, limitations, and caveats. </w:t>
      </w:r>
      <w:r w:rsidRPr="006D62E4">
        <w:rPr>
          <w:rFonts w:ascii="Times" w:hAnsi="Times" w:cs="Times New Roman"/>
          <w:i/>
          <w:noProof/>
        </w:rPr>
        <w:t>Cytometry</w:t>
      </w:r>
      <w:r w:rsidRPr="006D62E4">
        <w:rPr>
          <w:rFonts w:ascii="Times" w:hAnsi="Times" w:cs="Times New Roman"/>
          <w:noProof/>
        </w:rPr>
        <w:t xml:space="preserve"> </w:t>
      </w:r>
      <w:r w:rsidRPr="006D62E4">
        <w:rPr>
          <w:rFonts w:ascii="Times" w:hAnsi="Times" w:cs="Times New Roman"/>
          <w:b/>
          <w:noProof/>
        </w:rPr>
        <w:t>45</w:t>
      </w:r>
      <w:r w:rsidRPr="006D62E4">
        <w:rPr>
          <w:rFonts w:ascii="Times" w:hAnsi="Times" w:cs="Times New Roman"/>
          <w:noProof/>
        </w:rPr>
        <w:t>, 194-205</w:t>
      </w:r>
      <w:bookmarkEnd w:id="1"/>
    </w:p>
    <w:p w14:paraId="29A880CD" w14:textId="406208DF" w:rsidR="006D62E4" w:rsidRPr="006D62E4" w:rsidRDefault="006D62E4" w:rsidP="006D62E4">
      <w:pPr>
        <w:rPr>
          <w:rFonts w:ascii="Times" w:hAnsi="Times"/>
          <w:noProof/>
        </w:rPr>
      </w:pPr>
    </w:p>
    <w:p w14:paraId="1D040E6E" w14:textId="04862790" w:rsidR="00BA1D98" w:rsidRDefault="006D62E4">
      <w:pPr>
        <w:rPr>
          <w:rFonts w:ascii="Times" w:hAnsi="Times"/>
        </w:rPr>
      </w:pPr>
      <w:r w:rsidRPr="006D62E4">
        <w:rPr>
          <w:rFonts w:ascii="Times" w:hAnsi="Times"/>
        </w:rPr>
        <w:fldChar w:fldCharType="end"/>
      </w:r>
    </w:p>
    <w:p w14:paraId="73B5F3F7" w14:textId="74F8C513" w:rsidR="00CC3808" w:rsidRDefault="00CC3808">
      <w:pPr>
        <w:rPr>
          <w:rFonts w:ascii="Times" w:hAnsi="Times"/>
        </w:rPr>
      </w:pPr>
      <w:r>
        <w:rPr>
          <w:rFonts w:ascii="Times" w:hAnsi="Times"/>
          <w:noProof/>
          <w:lang w:val="en-US" w:eastAsia="en-US"/>
        </w:rPr>
        <w:lastRenderedPageBreak/>
        <w:drawing>
          <wp:inline distT="0" distB="0" distL="0" distR="0" wp14:anchorId="06AD4E63" wp14:editId="41A4CF68">
            <wp:extent cx="3750310" cy="5301615"/>
            <wp:effectExtent l="0" t="0" r="8890" b="6985"/>
            <wp:docPr id="2" name="Picture 2" descr="Macintosh HD:Users:silvanazgraggen:PhD:Papers:SDF-1:PLOS One:resubmission:proofing:Fig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anazgraggen:PhD:Papers:SDF-1:PLOS One:resubmission:proofing:FigS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0310" cy="5301615"/>
                    </a:xfrm>
                    <a:prstGeom prst="rect">
                      <a:avLst/>
                    </a:prstGeom>
                    <a:noFill/>
                    <a:ln>
                      <a:noFill/>
                    </a:ln>
                  </pic:spPr>
                </pic:pic>
              </a:graphicData>
            </a:graphic>
          </wp:inline>
        </w:drawing>
      </w:r>
    </w:p>
    <w:p w14:paraId="265D47A3" w14:textId="29182F97" w:rsidR="00CC3808" w:rsidRPr="006D62E4" w:rsidRDefault="00CC3808">
      <w:pPr>
        <w:rPr>
          <w:rFonts w:ascii="Times" w:hAnsi="Times"/>
        </w:rPr>
      </w:pPr>
    </w:p>
    <w:sectPr w:rsidR="00CC3808" w:rsidRPr="006D62E4" w:rsidSect="004837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x0td9d4t0ar6evv90xfr0itdwr2xtep9x9&quot;&gt;SZ new EndNote Library&lt;record-ids&gt;&lt;item&gt;93&lt;/item&gt;&lt;/record-ids&gt;&lt;/item&gt;&lt;/Libraries&gt;"/>
  </w:docVars>
  <w:rsids>
    <w:rsidRoot w:val="00BA1D98"/>
    <w:rsid w:val="0002182C"/>
    <w:rsid w:val="00180B0A"/>
    <w:rsid w:val="002C6B50"/>
    <w:rsid w:val="002F77AF"/>
    <w:rsid w:val="004837B4"/>
    <w:rsid w:val="004C09CB"/>
    <w:rsid w:val="006D62E4"/>
    <w:rsid w:val="00750CDD"/>
    <w:rsid w:val="007838BF"/>
    <w:rsid w:val="007C4192"/>
    <w:rsid w:val="00BA1D98"/>
    <w:rsid w:val="00CC3808"/>
    <w:rsid w:val="00CC3D27"/>
    <w:rsid w:val="00F91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58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0CDD"/>
    <w:pPr>
      <w:keepNext/>
      <w:outlineLvl w:val="0"/>
    </w:pPr>
    <w:rPr>
      <w:rFonts w:ascii="Times" w:eastAsia="Times" w:hAnsi="Times" w:cs="Times New Roman"/>
      <w:b/>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A1D98"/>
  </w:style>
  <w:style w:type="character" w:customStyle="1" w:styleId="Heading1Char">
    <w:name w:val="Heading 1 Char"/>
    <w:basedOn w:val="DefaultParagraphFont"/>
    <w:link w:val="Heading1"/>
    <w:rsid w:val="00750CDD"/>
    <w:rPr>
      <w:rFonts w:ascii="Times" w:eastAsia="Times" w:hAnsi="Times" w:cs="Times New Roman"/>
      <w:b/>
      <w:szCs w:val="20"/>
      <w:lang w:val="en-US" w:eastAsia="ko-KR"/>
    </w:rPr>
  </w:style>
  <w:style w:type="character" w:styleId="Strong">
    <w:name w:val="Strong"/>
    <w:basedOn w:val="DefaultParagraphFont"/>
    <w:uiPriority w:val="22"/>
    <w:qFormat/>
    <w:rsid w:val="00750CDD"/>
    <w:rPr>
      <w:b/>
      <w:bCs/>
    </w:rPr>
  </w:style>
  <w:style w:type="character" w:styleId="Hyperlink">
    <w:name w:val="Hyperlink"/>
    <w:basedOn w:val="DefaultParagraphFont"/>
    <w:uiPriority w:val="99"/>
    <w:unhideWhenUsed/>
    <w:rsid w:val="006D62E4"/>
    <w:rPr>
      <w:color w:val="0000FF" w:themeColor="hyperlink"/>
      <w:u w:val="single"/>
    </w:rPr>
  </w:style>
  <w:style w:type="paragraph" w:styleId="BalloonText">
    <w:name w:val="Balloon Text"/>
    <w:basedOn w:val="Normal"/>
    <w:link w:val="BalloonTextChar"/>
    <w:uiPriority w:val="99"/>
    <w:semiHidden/>
    <w:unhideWhenUsed/>
    <w:rsid w:val="00CC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0CDD"/>
    <w:pPr>
      <w:keepNext/>
      <w:outlineLvl w:val="0"/>
    </w:pPr>
    <w:rPr>
      <w:rFonts w:ascii="Times" w:eastAsia="Times" w:hAnsi="Times" w:cs="Times New Roman"/>
      <w:b/>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A1D98"/>
  </w:style>
  <w:style w:type="character" w:customStyle="1" w:styleId="Heading1Char">
    <w:name w:val="Heading 1 Char"/>
    <w:basedOn w:val="DefaultParagraphFont"/>
    <w:link w:val="Heading1"/>
    <w:rsid w:val="00750CDD"/>
    <w:rPr>
      <w:rFonts w:ascii="Times" w:eastAsia="Times" w:hAnsi="Times" w:cs="Times New Roman"/>
      <w:b/>
      <w:szCs w:val="20"/>
      <w:lang w:val="en-US" w:eastAsia="ko-KR"/>
    </w:rPr>
  </w:style>
  <w:style w:type="character" w:styleId="Strong">
    <w:name w:val="Strong"/>
    <w:basedOn w:val="DefaultParagraphFont"/>
    <w:uiPriority w:val="22"/>
    <w:qFormat/>
    <w:rsid w:val="00750CDD"/>
    <w:rPr>
      <w:b/>
      <w:bCs/>
    </w:rPr>
  </w:style>
  <w:style w:type="character" w:styleId="Hyperlink">
    <w:name w:val="Hyperlink"/>
    <w:basedOn w:val="DefaultParagraphFont"/>
    <w:uiPriority w:val="99"/>
    <w:unhideWhenUsed/>
    <w:rsid w:val="006D62E4"/>
    <w:rPr>
      <w:color w:val="0000FF" w:themeColor="hyperlink"/>
      <w:u w:val="single"/>
    </w:rPr>
  </w:style>
  <w:style w:type="paragraph" w:styleId="BalloonText">
    <w:name w:val="Balloon Text"/>
    <w:basedOn w:val="Normal"/>
    <w:link w:val="BalloonTextChar"/>
    <w:uiPriority w:val="99"/>
    <w:semiHidden/>
    <w:unhideWhenUsed/>
    <w:rsid w:val="00CC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Macintosh Word</Application>
  <DocSecurity>0</DocSecurity>
  <Lines>20</Lines>
  <Paragraphs>5</Paragraphs>
  <ScaleCrop>false</ScaleCrop>
  <Company>ETH Zürich</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Zgraggen</dc:creator>
  <cp:keywords/>
  <dc:description/>
  <cp:lastModifiedBy>silvana -</cp:lastModifiedBy>
  <cp:revision>4</cp:revision>
  <dcterms:created xsi:type="dcterms:W3CDTF">2014-03-11T18:23:00Z</dcterms:created>
  <dcterms:modified xsi:type="dcterms:W3CDTF">2014-03-11T18:28:00Z</dcterms:modified>
</cp:coreProperties>
</file>