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74A7">
      <w:pPr>
        <w:rPr>
          <w:rFonts w:hint="eastAsia"/>
        </w:rPr>
      </w:pPr>
      <w:r>
        <w:rPr>
          <w:rFonts w:ascii="Times New Roman" w:hAnsi="Times New Roman" w:hint="eastAsia"/>
          <w:noProof/>
          <w:sz w:val="24"/>
          <w:szCs w:val="24"/>
        </w:rPr>
        <w:drawing>
          <wp:inline distT="0" distB="0" distL="0" distR="0">
            <wp:extent cx="5274310" cy="3570156"/>
            <wp:effectExtent l="19050" t="0" r="2540" b="0"/>
            <wp:docPr id="1" name="图片 1" descr="H3 acetyl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3 acetylat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7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4A7" w:rsidRPr="00E874A7" w:rsidRDefault="00E874A7" w:rsidP="00E874A7">
      <w:pPr>
        <w:spacing w:line="48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E874A7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Fig. S6. The effect of THAP11 on H3 acetylation during PMA-indced megakaryocytic differentiation of K562 cells.</w:t>
      </w:r>
      <w:r w:rsidRPr="00E874A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  <w:r w:rsidRPr="00E874A7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K562 cells infected with THAP11-lentiviruses (THAP11-LV) and control cells were treated with 10 nM PMA for </w:t>
      </w:r>
      <w:r w:rsidRPr="00E874A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the indicated </w:t>
      </w:r>
      <w:r w:rsidRPr="00E874A7">
        <w:rPr>
          <w:rFonts w:ascii="Times New Roman" w:eastAsia="宋体" w:hAnsi="Times New Roman" w:cs="Times New Roman"/>
          <w:color w:val="000000"/>
          <w:sz w:val="24"/>
          <w:szCs w:val="24"/>
        </w:rPr>
        <w:t>length</w:t>
      </w:r>
      <w:r w:rsidRPr="00E874A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of </w:t>
      </w:r>
      <w:r w:rsidRPr="00E874A7">
        <w:rPr>
          <w:rFonts w:eastAsia="宋体" w:cs="Times New Roman"/>
        </w:rPr>
        <w:t>time</w:t>
      </w:r>
      <w:r w:rsidRPr="00E874A7">
        <w:rPr>
          <w:rFonts w:ascii="Times New Roman" w:eastAsia="宋体" w:hAnsi="Times New Roman" w:cs="Times New Roman"/>
          <w:color w:val="000000"/>
          <w:sz w:val="24"/>
          <w:szCs w:val="24"/>
        </w:rPr>
        <w:t>. Then total</w:t>
      </w:r>
      <w:r w:rsidRPr="00E874A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cell lysates were prepared for analyzing the acetylation level of histone H3 using specific antibodies against acetylated-H3K9 and </w:t>
      </w:r>
      <w:r w:rsidRPr="00E874A7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Pr="00E874A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acetylated-H3K18. </w:t>
      </w:r>
      <w:r w:rsidRPr="00E874A7">
        <w:rPr>
          <w:rFonts w:ascii="Times New Roman" w:eastAsia="宋体" w:hAnsi="Times New Roman" w:cs="Times New Roman"/>
          <w:color w:val="000000"/>
          <w:sz w:val="24"/>
          <w:szCs w:val="24"/>
        </w:rPr>
        <w:t>GAPDH was used as an internal control.</w:t>
      </w:r>
    </w:p>
    <w:sectPr w:rsidR="00E874A7" w:rsidRPr="00E87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F51" w:rsidRDefault="00396F51" w:rsidP="00E874A7">
      <w:r>
        <w:separator/>
      </w:r>
    </w:p>
  </w:endnote>
  <w:endnote w:type="continuationSeparator" w:id="1">
    <w:p w:rsidR="00396F51" w:rsidRDefault="00396F51" w:rsidP="00E87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F51" w:rsidRDefault="00396F51" w:rsidP="00E874A7">
      <w:r>
        <w:separator/>
      </w:r>
    </w:p>
  </w:footnote>
  <w:footnote w:type="continuationSeparator" w:id="1">
    <w:p w:rsidR="00396F51" w:rsidRDefault="00396F51" w:rsidP="00E874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4A7"/>
    <w:rsid w:val="00396F51"/>
    <w:rsid w:val="00E8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7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74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7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74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74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74A7"/>
    <w:rPr>
      <w:sz w:val="18"/>
      <w:szCs w:val="18"/>
    </w:rPr>
  </w:style>
  <w:style w:type="character" w:customStyle="1" w:styleId="st1">
    <w:name w:val="st1"/>
    <w:basedOn w:val="a0"/>
    <w:rsid w:val="00E87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2014-02-19T14:11:00Z</dcterms:created>
  <dcterms:modified xsi:type="dcterms:W3CDTF">2014-02-19T14:13:00Z</dcterms:modified>
</cp:coreProperties>
</file>