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5A5B0A" w:rsidTr="00FB647F">
        <w:trPr>
          <w:cantSplit/>
        </w:trPr>
        <w:tc>
          <w:tcPr>
            <w:tcW w:w="2024" w:type="dxa"/>
            <w:vMerge w:val="restart"/>
            <w:tcBorders>
              <w:top w:val="single" w:sz="4" w:space="0" w:color="auto"/>
            </w:tcBorders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Characteristic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bottom w:val="nil"/>
            </w:tcBorders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2004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bottom w:val="nil"/>
            </w:tcBorders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2006</w:t>
            </w:r>
          </w:p>
        </w:tc>
      </w:tr>
      <w:tr w:rsidR="005A5B0A" w:rsidTr="00FB647F">
        <w:trPr>
          <w:cantSplit/>
        </w:trPr>
        <w:tc>
          <w:tcPr>
            <w:tcW w:w="2024" w:type="dxa"/>
            <w:vMerge/>
            <w:tcBorders>
              <w:bottom w:val="single" w:sz="4" w:space="0" w:color="auto"/>
            </w:tcBorders>
          </w:tcPr>
          <w:p w:rsidR="005A5B0A" w:rsidRDefault="005A5B0A" w:rsidP="00FB647F">
            <w:pPr>
              <w:pStyle w:val="KeinLeerraum1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5" w:type="dxa"/>
            <w:tcBorders>
              <w:top w:val="nil"/>
              <w:bottom w:val="single" w:sz="4" w:space="0" w:color="auto"/>
            </w:tcBorders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Men</w:t>
            </w:r>
          </w:p>
        </w:tc>
        <w:tc>
          <w:tcPr>
            <w:tcW w:w="2025" w:type="dxa"/>
            <w:tcBorders>
              <w:top w:val="nil"/>
              <w:bottom w:val="single" w:sz="4" w:space="0" w:color="auto"/>
            </w:tcBorders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Women</w:t>
            </w:r>
          </w:p>
        </w:tc>
        <w:tc>
          <w:tcPr>
            <w:tcW w:w="2025" w:type="dxa"/>
            <w:tcBorders>
              <w:top w:val="nil"/>
              <w:bottom w:val="single" w:sz="4" w:space="0" w:color="auto"/>
            </w:tcBorders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P-value</w:t>
            </w:r>
          </w:p>
        </w:tc>
        <w:tc>
          <w:tcPr>
            <w:tcW w:w="2025" w:type="dxa"/>
            <w:tcBorders>
              <w:top w:val="nil"/>
              <w:bottom w:val="single" w:sz="4" w:space="0" w:color="auto"/>
            </w:tcBorders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Men</w:t>
            </w:r>
          </w:p>
        </w:tc>
        <w:tc>
          <w:tcPr>
            <w:tcW w:w="2025" w:type="dxa"/>
            <w:tcBorders>
              <w:top w:val="nil"/>
              <w:bottom w:val="single" w:sz="4" w:space="0" w:color="auto"/>
            </w:tcBorders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Women</w:t>
            </w:r>
          </w:p>
        </w:tc>
        <w:tc>
          <w:tcPr>
            <w:tcW w:w="2025" w:type="dxa"/>
            <w:tcBorders>
              <w:top w:val="nil"/>
              <w:bottom w:val="single" w:sz="4" w:space="0" w:color="auto"/>
            </w:tcBorders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P-value</w:t>
            </w:r>
          </w:p>
        </w:tc>
      </w:tr>
      <w:tr w:rsidR="005A5B0A" w:rsidTr="00FB647F">
        <w:tc>
          <w:tcPr>
            <w:tcW w:w="2024" w:type="dxa"/>
            <w:tcBorders>
              <w:top w:val="single" w:sz="4" w:space="0" w:color="auto"/>
            </w:tcBorders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highlight w:val="cyan"/>
              </w:rPr>
            </w:pPr>
          </w:p>
        </w:tc>
      </w:tr>
      <w:tr w:rsidR="005A5B0A" w:rsidTr="00FB647F">
        <w:tc>
          <w:tcPr>
            <w:tcW w:w="2024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Age (years)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53.0 (9.5)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53.5</w:t>
            </w: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hAnsi="Times New Roman"/>
                <w:lang w:eastAsia="en-GB"/>
              </w:rPr>
              <w:t>9.8)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color w:val="000000"/>
                <w:highlight w:val="cyan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0.27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55.0 (9.5)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55.5</w:t>
            </w: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hAnsi="Times New Roman"/>
                <w:lang w:eastAsia="en-GB"/>
              </w:rPr>
              <w:t>9.8)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A5B0A" w:rsidTr="00FB647F">
        <w:tc>
          <w:tcPr>
            <w:tcW w:w="2024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Height (cm)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174.0 (6.8)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162.1</w:t>
            </w: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hAnsi="Times New Roman"/>
                <w:lang w:eastAsia="en-GB"/>
              </w:rPr>
              <w:t>5.8)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color w:val="000000"/>
                <w:highlight w:val="cyan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&lt;0.001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174.0 (6.8)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162.1</w:t>
            </w: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hAnsi="Times New Roman"/>
                <w:lang w:eastAsia="en-GB"/>
              </w:rPr>
              <w:t>5.8)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A5B0A" w:rsidTr="00FB647F">
        <w:tc>
          <w:tcPr>
            <w:tcW w:w="2024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Weight (kg)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86.9 (13.1)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72.3</w:t>
            </w: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hAnsi="Times New Roman"/>
                <w:lang w:eastAsia="en-GB"/>
              </w:rPr>
              <w:t>13.1)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&lt;0.001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88.0 (13.4)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73.1</w:t>
            </w: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hAnsi="Times New Roman"/>
                <w:lang w:eastAsia="en-GB"/>
              </w:rPr>
              <w:t>13.1)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&lt;0.001</w:t>
            </w:r>
          </w:p>
        </w:tc>
      </w:tr>
      <w:tr w:rsidR="005A5B0A" w:rsidTr="00FB647F">
        <w:tc>
          <w:tcPr>
            <w:tcW w:w="2024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BMI (kg/m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28.7 (3.9)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27.5</w:t>
            </w: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hAnsi="Times New Roman"/>
                <w:lang w:eastAsia="en-GB"/>
              </w:rPr>
              <w:t>4.9)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&lt;0.001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29.1 (4.0)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27.8</w:t>
            </w: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hAnsi="Times New Roman"/>
                <w:lang w:eastAsia="en-GB"/>
              </w:rPr>
              <w:t>4.8)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&lt;0.001</w:t>
            </w:r>
          </w:p>
        </w:tc>
      </w:tr>
      <w:tr w:rsidR="005A5B0A" w:rsidTr="00FB647F">
        <w:tc>
          <w:tcPr>
            <w:tcW w:w="2024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Waist (cm)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97.6 (9.9)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87.2</w:t>
            </w: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hAnsi="Times New Roman"/>
                <w:lang w:eastAsia="en-GB"/>
              </w:rPr>
              <w:t>12.3)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&lt;0.001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98.4 (10.1)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88.2</w:t>
            </w: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hAnsi="Times New Roman"/>
                <w:lang w:eastAsia="en-GB"/>
              </w:rPr>
              <w:t>12.2)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&lt;0.001</w:t>
            </w:r>
          </w:p>
        </w:tc>
      </w:tr>
      <w:tr w:rsidR="005A5B0A" w:rsidTr="00FB647F">
        <w:tc>
          <w:tcPr>
            <w:tcW w:w="2024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HDL-C (mmol/L)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1.51 (0.36)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1.79</w:t>
            </w:r>
            <w:r>
              <w:rPr>
                <w:rFonts w:ascii="Times New Roman" w:eastAsia="Times New Roman" w:hAnsi="Times New Roman"/>
                <w:lang w:eastAsia="en-GB"/>
              </w:rPr>
              <w:t xml:space="preserve"> (</w:t>
            </w:r>
            <w:r>
              <w:rPr>
                <w:rFonts w:ascii="Times New Roman" w:hAnsi="Times New Roman"/>
                <w:lang w:eastAsia="en-GB"/>
              </w:rPr>
              <w:t>0.39)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&lt;0.001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1.37 (0.32)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1.64</w:t>
            </w: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hAnsi="Times New Roman"/>
                <w:lang w:eastAsia="en-GB"/>
              </w:rPr>
              <w:t>0.37)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&lt;0.001</w:t>
            </w:r>
          </w:p>
        </w:tc>
      </w:tr>
      <w:tr w:rsidR="005A5B0A" w:rsidTr="00FB647F">
        <w:tc>
          <w:tcPr>
            <w:tcW w:w="2024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TG (mmol/L)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1.64 (</w:t>
            </w:r>
            <w:r>
              <w:rPr>
                <w:rFonts w:ascii="Times New Roman" w:hAnsi="Times New Roman"/>
              </w:rPr>
              <w:t>0.78)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1.37 </w:t>
            </w:r>
            <w:r>
              <w:rPr>
                <w:rFonts w:ascii="Times New Roman" w:eastAsia="Times New Roman" w:hAnsi="Times New Roman"/>
                <w:lang w:eastAsia="en-GB"/>
              </w:rPr>
              <w:t>(</w:t>
            </w:r>
            <w:r>
              <w:rPr>
                <w:rFonts w:ascii="Times New Roman" w:hAnsi="Times New Roman"/>
                <w:lang w:eastAsia="en-GB"/>
              </w:rPr>
              <w:t>0.63)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&lt;0.001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1.71 (</w:t>
            </w:r>
            <w:r>
              <w:rPr>
                <w:rFonts w:ascii="Times New Roman" w:hAnsi="Times New Roman"/>
              </w:rPr>
              <w:t>0.74)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1.41</w:t>
            </w: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hAnsi="Times New Roman"/>
                <w:lang w:eastAsia="en-GB"/>
              </w:rPr>
              <w:t>0.58)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&lt;0.001</w:t>
            </w:r>
          </w:p>
        </w:tc>
      </w:tr>
      <w:tr w:rsidR="005A5B0A" w:rsidTr="00FB647F">
        <w:tc>
          <w:tcPr>
            <w:tcW w:w="2024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TC (mmol/L)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5.73 (1.14)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5.88</w:t>
            </w:r>
            <w:r>
              <w:rPr>
                <w:rFonts w:ascii="Times New Roman" w:eastAsia="Times New Roman" w:hAnsi="Times New Roman"/>
                <w:lang w:eastAsia="en-GB"/>
              </w:rPr>
              <w:t xml:space="preserve"> (</w:t>
            </w:r>
            <w:r>
              <w:rPr>
                <w:rFonts w:ascii="Times New Roman" w:hAnsi="Times New Roman"/>
                <w:lang w:eastAsia="en-GB"/>
              </w:rPr>
              <w:t>1.16)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0.005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5.56 (1.12)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5.74</w:t>
            </w: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hAnsi="Times New Roman"/>
                <w:lang w:eastAsia="en-GB"/>
              </w:rPr>
              <w:t>1.13)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&lt;0.001</w:t>
            </w:r>
          </w:p>
        </w:tc>
      </w:tr>
      <w:tr w:rsidR="005A5B0A" w:rsidTr="00FB647F">
        <w:tc>
          <w:tcPr>
            <w:tcW w:w="2024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LDL-C (mmol/L)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3.38 (0.97)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3.40 </w:t>
            </w:r>
            <w:r>
              <w:rPr>
                <w:rFonts w:ascii="Times New Roman" w:eastAsia="Times New Roman" w:hAnsi="Times New Roman"/>
                <w:lang w:eastAsia="en-GB"/>
              </w:rPr>
              <w:t>(0.99)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0.71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3.34 (0.97)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3.40</w:t>
            </w:r>
            <w:r>
              <w:rPr>
                <w:rFonts w:ascii="Times New Roman" w:eastAsia="Times New Roman" w:hAnsi="Times New Roman"/>
                <w:lang w:eastAsia="en-GB"/>
              </w:rPr>
              <w:t xml:space="preserve"> (1.0)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0.22</w:t>
            </w:r>
          </w:p>
        </w:tc>
      </w:tr>
      <w:tr w:rsidR="005A5B0A" w:rsidTr="00FB647F">
        <w:tc>
          <w:tcPr>
            <w:tcW w:w="2024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Smokers (%)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160 (22.5)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 (17.8)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0.02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(21.1)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 (14.8)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&lt;0.001</w:t>
            </w:r>
          </w:p>
        </w:tc>
      </w:tr>
      <w:tr w:rsidR="005A5B0A" w:rsidTr="00FB647F">
        <w:tc>
          <w:tcPr>
            <w:tcW w:w="2024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Treatment (%)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 (29.5)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 (26.8)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0.21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 (41.6)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 (36.3)</w:t>
            </w:r>
          </w:p>
        </w:tc>
        <w:tc>
          <w:tcPr>
            <w:tcW w:w="2025" w:type="dxa"/>
            <w:vAlign w:val="center"/>
          </w:tcPr>
          <w:p w:rsidR="005A5B0A" w:rsidRDefault="005A5B0A" w:rsidP="00FB647F">
            <w:pPr>
              <w:pStyle w:val="KeinLeerraum1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0.03</w:t>
            </w:r>
          </w:p>
        </w:tc>
      </w:tr>
    </w:tbl>
    <w:p w:rsidR="0045375F" w:rsidRDefault="0045375F">
      <w:bookmarkStart w:id="0" w:name="_GoBack"/>
      <w:bookmarkEnd w:id="0"/>
    </w:p>
    <w:sectPr w:rsidR="0045375F" w:rsidSect="005A5B0A">
      <w:pgSz w:w="16840" w:h="11900" w:orient="landscape"/>
      <w:pgMar w:top="1417" w:right="1134" w:bottom="1417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0A"/>
    <w:rsid w:val="0045375F"/>
    <w:rsid w:val="0057720A"/>
    <w:rsid w:val="005A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2D0E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B0A"/>
    <w:pPr>
      <w:spacing w:line="480" w:lineRule="auto"/>
      <w:jc w:val="center"/>
    </w:pPr>
    <w:rPr>
      <w:rFonts w:ascii="Calibri" w:eastAsia="Calibri" w:hAnsi="Calibri" w:cs="Times New Roman"/>
      <w:noProof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qFormat/>
    <w:rsid w:val="005A5B0A"/>
    <w:pPr>
      <w:jc w:val="center"/>
    </w:pPr>
    <w:rPr>
      <w:rFonts w:ascii="Calibri" w:eastAsia="Calibri" w:hAnsi="Calibri" w:cs="Times New Roman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B0A"/>
    <w:pPr>
      <w:spacing w:line="480" w:lineRule="auto"/>
      <w:jc w:val="center"/>
    </w:pPr>
    <w:rPr>
      <w:rFonts w:ascii="Calibri" w:eastAsia="Calibri" w:hAnsi="Calibri" w:cs="Times New Roman"/>
      <w:noProof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qFormat/>
    <w:rsid w:val="005A5B0A"/>
    <w:pPr>
      <w:jc w:val="center"/>
    </w:pPr>
    <w:rPr>
      <w:rFonts w:ascii="Calibri" w:eastAsia="Calibri" w:hAnsi="Calibri" w:cs="Times New Roman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Kaess</dc:creator>
  <cp:keywords/>
  <dc:description/>
  <cp:lastModifiedBy>Bernhard Kaess</cp:lastModifiedBy>
  <cp:revision>1</cp:revision>
  <dcterms:created xsi:type="dcterms:W3CDTF">2013-12-22T13:59:00Z</dcterms:created>
  <dcterms:modified xsi:type="dcterms:W3CDTF">2013-12-22T14:00:00Z</dcterms:modified>
</cp:coreProperties>
</file>