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C22" w:rsidRDefault="00864C22" w:rsidP="00864C22">
      <w:pPr>
        <w:autoSpaceDE w:val="0"/>
        <w:autoSpaceDN w:val="0"/>
        <w:adjustRightInd w:val="0"/>
        <w:rPr>
          <w:bCs/>
          <w:color w:val="000000"/>
          <w:sz w:val="28"/>
          <w:szCs w:val="28"/>
        </w:rPr>
      </w:pPr>
      <w:r w:rsidRPr="00645FE2">
        <w:rPr>
          <w:b/>
          <w:bCs/>
          <w:color w:val="000000"/>
          <w:sz w:val="28"/>
          <w:szCs w:val="28"/>
        </w:rPr>
        <w:t>Table S 1:</w:t>
      </w:r>
      <w:r>
        <w:rPr>
          <w:bCs/>
          <w:color w:val="000000"/>
          <w:sz w:val="28"/>
          <w:szCs w:val="28"/>
        </w:rPr>
        <w:t xml:space="preserve"> Effects of connexin expression on cell viability</w:t>
      </w:r>
    </w:p>
    <w:tbl>
      <w:tblPr>
        <w:tblpPr w:leftFromText="180" w:rightFromText="180" w:vertAnchor="text" w:horzAnchor="margin" w:tblpXSpec="center" w:tblpY="322"/>
        <w:tblW w:w="80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785"/>
        <w:gridCol w:w="1573"/>
        <w:gridCol w:w="1539"/>
        <w:gridCol w:w="1569"/>
        <w:gridCol w:w="1540"/>
      </w:tblGrid>
      <w:tr w:rsidR="00864C22" w:rsidTr="00277F60">
        <w:trPr>
          <w:trHeight w:val="558"/>
        </w:trPr>
        <w:tc>
          <w:tcPr>
            <w:tcW w:w="1785" w:type="dxa"/>
            <w:tcBorders>
              <w:top w:val="single" w:sz="6" w:space="0" w:color="auto"/>
              <w:left w:val="single" w:sz="6" w:space="0" w:color="auto"/>
              <w:bottom w:val="single" w:sz="6" w:space="0" w:color="auto"/>
              <w:right w:val="single" w:sz="6" w:space="0" w:color="auto"/>
            </w:tcBorders>
            <w:vAlign w:val="center"/>
            <w:hideMark/>
          </w:tcPr>
          <w:p w:rsidR="00864C22" w:rsidRDefault="00864C22" w:rsidP="00277F60">
            <w:pPr>
              <w:ind w:left="-90" w:right="-48"/>
              <w:jc w:val="center"/>
            </w:pPr>
            <w:r>
              <w:rPr>
                <w:b/>
                <w:bCs/>
              </w:rPr>
              <w:t>HeLa Cell Type</w:t>
            </w:r>
          </w:p>
        </w:tc>
        <w:tc>
          <w:tcPr>
            <w:tcW w:w="1573" w:type="dxa"/>
            <w:tcBorders>
              <w:top w:val="single" w:sz="6" w:space="0" w:color="auto"/>
              <w:left w:val="single" w:sz="6" w:space="0" w:color="auto"/>
              <w:bottom w:val="single" w:sz="6" w:space="0" w:color="auto"/>
              <w:right w:val="single" w:sz="6" w:space="0" w:color="auto"/>
            </w:tcBorders>
            <w:vAlign w:val="center"/>
            <w:hideMark/>
          </w:tcPr>
          <w:p w:rsidR="00864C22" w:rsidRDefault="00864C22" w:rsidP="00277F60">
            <w:pPr>
              <w:jc w:val="center"/>
            </w:pPr>
            <w:r>
              <w:rPr>
                <w:b/>
                <w:bCs/>
              </w:rPr>
              <w:t>% Detached Cells</w:t>
            </w:r>
          </w:p>
        </w:tc>
        <w:tc>
          <w:tcPr>
            <w:tcW w:w="1539" w:type="dxa"/>
            <w:tcBorders>
              <w:top w:val="single" w:sz="6" w:space="0" w:color="auto"/>
              <w:left w:val="single" w:sz="6" w:space="0" w:color="auto"/>
              <w:bottom w:val="single" w:sz="6" w:space="0" w:color="auto"/>
              <w:right w:val="single" w:sz="6" w:space="0" w:color="auto"/>
            </w:tcBorders>
            <w:vAlign w:val="center"/>
            <w:hideMark/>
          </w:tcPr>
          <w:p w:rsidR="00864C22" w:rsidRDefault="00864C22" w:rsidP="00277F60">
            <w:pPr>
              <w:ind w:left="-118" w:right="-89"/>
              <w:jc w:val="center"/>
              <w:rPr>
                <w:b/>
                <w:bCs/>
              </w:rPr>
            </w:pPr>
            <w:r>
              <w:rPr>
                <w:b/>
                <w:bCs/>
              </w:rPr>
              <w:t>% TUNEL Stained Cells</w:t>
            </w:r>
          </w:p>
        </w:tc>
        <w:tc>
          <w:tcPr>
            <w:tcW w:w="1569" w:type="dxa"/>
            <w:tcBorders>
              <w:top w:val="single" w:sz="6" w:space="0" w:color="auto"/>
              <w:left w:val="single" w:sz="6" w:space="0" w:color="auto"/>
              <w:bottom w:val="single" w:sz="6" w:space="0" w:color="auto"/>
              <w:right w:val="single" w:sz="6" w:space="0" w:color="auto"/>
            </w:tcBorders>
            <w:vAlign w:val="center"/>
            <w:hideMark/>
          </w:tcPr>
          <w:p w:rsidR="00864C22" w:rsidRDefault="00864C22" w:rsidP="00277F60">
            <w:pPr>
              <w:ind w:left="-127" w:right="-140"/>
              <w:jc w:val="center"/>
              <w:rPr>
                <w:b/>
                <w:bCs/>
              </w:rPr>
            </w:pPr>
            <w:proofErr w:type="spellStart"/>
            <w:r>
              <w:rPr>
                <w:b/>
                <w:bCs/>
              </w:rPr>
              <w:t>Annexin</w:t>
            </w:r>
            <w:proofErr w:type="spellEnd"/>
            <w:r>
              <w:rPr>
                <w:b/>
                <w:bCs/>
              </w:rPr>
              <w:t>-V Positive Cells</w:t>
            </w:r>
          </w:p>
        </w:tc>
        <w:tc>
          <w:tcPr>
            <w:tcW w:w="1540" w:type="dxa"/>
            <w:tcBorders>
              <w:top w:val="single" w:sz="6" w:space="0" w:color="auto"/>
              <w:left w:val="single" w:sz="6" w:space="0" w:color="auto"/>
              <w:bottom w:val="single" w:sz="6" w:space="0" w:color="auto"/>
              <w:right w:val="single" w:sz="6" w:space="0" w:color="auto"/>
            </w:tcBorders>
            <w:vAlign w:val="center"/>
            <w:hideMark/>
          </w:tcPr>
          <w:p w:rsidR="00864C22" w:rsidRDefault="00864C22" w:rsidP="00277F60">
            <w:pPr>
              <w:ind w:left="-76" w:right="-130"/>
              <w:jc w:val="center"/>
              <w:rPr>
                <w:b/>
                <w:bCs/>
              </w:rPr>
            </w:pPr>
            <w:r>
              <w:rPr>
                <w:b/>
                <w:bCs/>
              </w:rPr>
              <w:t>% Hoechst Stained Cells</w:t>
            </w:r>
          </w:p>
        </w:tc>
      </w:tr>
      <w:tr w:rsidR="00864C22" w:rsidTr="00277F60">
        <w:trPr>
          <w:trHeight w:val="558"/>
        </w:trPr>
        <w:tc>
          <w:tcPr>
            <w:tcW w:w="1785" w:type="dxa"/>
            <w:tcBorders>
              <w:top w:val="single" w:sz="6" w:space="0" w:color="auto"/>
              <w:left w:val="single" w:sz="4" w:space="0" w:color="auto"/>
              <w:bottom w:val="single" w:sz="6" w:space="0" w:color="auto"/>
              <w:right w:val="nil"/>
            </w:tcBorders>
            <w:vAlign w:val="center"/>
            <w:hideMark/>
          </w:tcPr>
          <w:p w:rsidR="00864C22" w:rsidRDefault="00864C22" w:rsidP="00277F60">
            <w:pPr>
              <w:jc w:val="center"/>
              <w:rPr>
                <w:b/>
              </w:rPr>
            </w:pPr>
            <w:r>
              <w:rPr>
                <w:b/>
                <w:bCs/>
              </w:rPr>
              <w:t>Parental</w:t>
            </w:r>
          </w:p>
        </w:tc>
        <w:tc>
          <w:tcPr>
            <w:tcW w:w="1573" w:type="dxa"/>
            <w:tcBorders>
              <w:top w:val="single" w:sz="6" w:space="0" w:color="auto"/>
              <w:left w:val="nil"/>
              <w:bottom w:val="single" w:sz="2" w:space="0" w:color="auto"/>
              <w:right w:val="nil"/>
            </w:tcBorders>
            <w:vAlign w:val="center"/>
            <w:hideMark/>
          </w:tcPr>
          <w:p w:rsidR="00864C22" w:rsidRDefault="00864C22" w:rsidP="00277F60">
            <w:pPr>
              <w:jc w:val="center"/>
            </w:pPr>
            <w:r>
              <w:rPr>
                <w:bCs/>
              </w:rPr>
              <w:t>1±0.2</w:t>
            </w:r>
          </w:p>
        </w:tc>
        <w:tc>
          <w:tcPr>
            <w:tcW w:w="1539" w:type="dxa"/>
            <w:tcBorders>
              <w:top w:val="single" w:sz="6" w:space="0" w:color="auto"/>
              <w:left w:val="nil"/>
              <w:bottom w:val="single" w:sz="2" w:space="0" w:color="auto"/>
              <w:right w:val="nil"/>
            </w:tcBorders>
            <w:vAlign w:val="center"/>
            <w:hideMark/>
          </w:tcPr>
          <w:p w:rsidR="00864C22" w:rsidRDefault="00864C22" w:rsidP="00277F60">
            <w:pPr>
              <w:jc w:val="center"/>
              <w:rPr>
                <w:bCs/>
              </w:rPr>
            </w:pPr>
            <w:r>
              <w:rPr>
                <w:bCs/>
              </w:rPr>
              <w:t>13.83</w:t>
            </w:r>
          </w:p>
        </w:tc>
        <w:tc>
          <w:tcPr>
            <w:tcW w:w="1569" w:type="dxa"/>
            <w:tcBorders>
              <w:top w:val="single" w:sz="6" w:space="0" w:color="auto"/>
              <w:left w:val="nil"/>
              <w:bottom w:val="single" w:sz="2" w:space="0" w:color="auto"/>
              <w:right w:val="nil"/>
            </w:tcBorders>
            <w:vAlign w:val="center"/>
            <w:hideMark/>
          </w:tcPr>
          <w:p w:rsidR="00864C22" w:rsidRDefault="00864C22" w:rsidP="00277F60">
            <w:pPr>
              <w:jc w:val="center"/>
              <w:rPr>
                <w:bCs/>
              </w:rPr>
            </w:pPr>
            <w:r>
              <w:rPr>
                <w:bCs/>
              </w:rPr>
              <w:t>14±1</w:t>
            </w:r>
          </w:p>
        </w:tc>
        <w:tc>
          <w:tcPr>
            <w:tcW w:w="1540" w:type="dxa"/>
            <w:tcBorders>
              <w:top w:val="single" w:sz="6" w:space="0" w:color="auto"/>
              <w:left w:val="nil"/>
              <w:bottom w:val="single" w:sz="2" w:space="0" w:color="auto"/>
              <w:right w:val="single" w:sz="4" w:space="0" w:color="auto"/>
            </w:tcBorders>
            <w:vAlign w:val="center"/>
            <w:hideMark/>
          </w:tcPr>
          <w:p w:rsidR="00864C22" w:rsidRDefault="00864C22" w:rsidP="00277F60">
            <w:pPr>
              <w:jc w:val="center"/>
              <w:rPr>
                <w:bCs/>
              </w:rPr>
            </w:pPr>
            <w:r>
              <w:rPr>
                <w:bCs/>
              </w:rPr>
              <w:t>9±1</w:t>
            </w:r>
          </w:p>
        </w:tc>
      </w:tr>
      <w:tr w:rsidR="00864C22" w:rsidTr="00277F60">
        <w:trPr>
          <w:trHeight w:val="558"/>
        </w:trPr>
        <w:tc>
          <w:tcPr>
            <w:tcW w:w="1785" w:type="dxa"/>
            <w:tcBorders>
              <w:top w:val="single" w:sz="6" w:space="0" w:color="auto"/>
              <w:left w:val="single" w:sz="4" w:space="0" w:color="auto"/>
              <w:bottom w:val="single" w:sz="6" w:space="0" w:color="auto"/>
              <w:right w:val="nil"/>
            </w:tcBorders>
            <w:vAlign w:val="center"/>
            <w:hideMark/>
          </w:tcPr>
          <w:p w:rsidR="00864C22" w:rsidRDefault="00864C22" w:rsidP="00277F60">
            <w:pPr>
              <w:jc w:val="center"/>
              <w:rPr>
                <w:b/>
              </w:rPr>
            </w:pPr>
            <w:r>
              <w:rPr>
                <w:b/>
                <w:bCs/>
              </w:rPr>
              <w:t>Cx43</w:t>
            </w:r>
          </w:p>
        </w:tc>
        <w:tc>
          <w:tcPr>
            <w:tcW w:w="1573" w:type="dxa"/>
            <w:tcBorders>
              <w:top w:val="single" w:sz="2" w:space="0" w:color="auto"/>
              <w:left w:val="nil"/>
              <w:bottom w:val="single" w:sz="2" w:space="0" w:color="auto"/>
              <w:right w:val="nil"/>
            </w:tcBorders>
            <w:vAlign w:val="center"/>
            <w:hideMark/>
          </w:tcPr>
          <w:p w:rsidR="00864C22" w:rsidRDefault="00864C22" w:rsidP="00277F60">
            <w:pPr>
              <w:jc w:val="center"/>
            </w:pPr>
            <w:r>
              <w:rPr>
                <w:bCs/>
              </w:rPr>
              <w:t>1±0.1</w:t>
            </w:r>
          </w:p>
        </w:tc>
        <w:tc>
          <w:tcPr>
            <w:tcW w:w="1539" w:type="dxa"/>
            <w:tcBorders>
              <w:top w:val="single" w:sz="2" w:space="0" w:color="auto"/>
              <w:left w:val="nil"/>
              <w:bottom w:val="single" w:sz="2" w:space="0" w:color="auto"/>
              <w:right w:val="nil"/>
            </w:tcBorders>
            <w:vAlign w:val="center"/>
            <w:hideMark/>
          </w:tcPr>
          <w:p w:rsidR="00864C22" w:rsidRDefault="00864C22" w:rsidP="00277F60">
            <w:pPr>
              <w:jc w:val="center"/>
            </w:pPr>
            <w:r>
              <w:t>12.83</w:t>
            </w:r>
          </w:p>
        </w:tc>
        <w:tc>
          <w:tcPr>
            <w:tcW w:w="1569" w:type="dxa"/>
            <w:tcBorders>
              <w:top w:val="single" w:sz="2" w:space="0" w:color="auto"/>
              <w:left w:val="nil"/>
              <w:bottom w:val="single" w:sz="2" w:space="0" w:color="auto"/>
              <w:right w:val="nil"/>
            </w:tcBorders>
            <w:vAlign w:val="center"/>
            <w:hideMark/>
          </w:tcPr>
          <w:p w:rsidR="00864C22" w:rsidRDefault="00864C22" w:rsidP="00277F60">
            <w:pPr>
              <w:jc w:val="center"/>
              <w:rPr>
                <w:bCs/>
              </w:rPr>
            </w:pPr>
            <w:r>
              <w:rPr>
                <w:bCs/>
              </w:rPr>
              <w:t>19±1</w:t>
            </w:r>
          </w:p>
        </w:tc>
        <w:tc>
          <w:tcPr>
            <w:tcW w:w="1540" w:type="dxa"/>
            <w:tcBorders>
              <w:top w:val="single" w:sz="2" w:space="0" w:color="auto"/>
              <w:left w:val="nil"/>
              <w:bottom w:val="single" w:sz="2" w:space="0" w:color="auto"/>
              <w:right w:val="single" w:sz="4" w:space="0" w:color="auto"/>
            </w:tcBorders>
            <w:vAlign w:val="center"/>
            <w:hideMark/>
          </w:tcPr>
          <w:p w:rsidR="00864C22" w:rsidRDefault="00864C22" w:rsidP="00277F60">
            <w:pPr>
              <w:jc w:val="center"/>
            </w:pPr>
            <w:r>
              <w:t>9</w:t>
            </w:r>
          </w:p>
        </w:tc>
      </w:tr>
      <w:tr w:rsidR="00864C22" w:rsidTr="00277F60">
        <w:trPr>
          <w:trHeight w:val="558"/>
        </w:trPr>
        <w:tc>
          <w:tcPr>
            <w:tcW w:w="1785" w:type="dxa"/>
            <w:tcBorders>
              <w:top w:val="single" w:sz="6" w:space="0" w:color="auto"/>
              <w:left w:val="single" w:sz="4" w:space="0" w:color="auto"/>
              <w:bottom w:val="single" w:sz="6" w:space="0" w:color="auto"/>
              <w:right w:val="nil"/>
            </w:tcBorders>
            <w:vAlign w:val="center"/>
            <w:hideMark/>
          </w:tcPr>
          <w:p w:rsidR="00864C22" w:rsidRDefault="00864C22" w:rsidP="00277F60">
            <w:pPr>
              <w:jc w:val="center"/>
              <w:rPr>
                <w:b/>
              </w:rPr>
            </w:pPr>
            <w:r>
              <w:rPr>
                <w:b/>
                <w:bCs/>
              </w:rPr>
              <w:t>Cx32</w:t>
            </w:r>
          </w:p>
        </w:tc>
        <w:tc>
          <w:tcPr>
            <w:tcW w:w="1573" w:type="dxa"/>
            <w:tcBorders>
              <w:top w:val="single" w:sz="2" w:space="0" w:color="auto"/>
              <w:left w:val="nil"/>
              <w:bottom w:val="single" w:sz="2" w:space="0" w:color="auto"/>
              <w:right w:val="nil"/>
            </w:tcBorders>
            <w:vAlign w:val="center"/>
            <w:hideMark/>
          </w:tcPr>
          <w:p w:rsidR="00864C22" w:rsidRDefault="00864C22" w:rsidP="00277F60">
            <w:pPr>
              <w:jc w:val="center"/>
            </w:pPr>
            <w:r>
              <w:rPr>
                <w:bCs/>
              </w:rPr>
              <w:t>2±0.3</w:t>
            </w:r>
          </w:p>
        </w:tc>
        <w:tc>
          <w:tcPr>
            <w:tcW w:w="1539" w:type="dxa"/>
            <w:tcBorders>
              <w:top w:val="single" w:sz="2" w:space="0" w:color="auto"/>
              <w:left w:val="nil"/>
              <w:bottom w:val="single" w:sz="2" w:space="0" w:color="auto"/>
              <w:right w:val="nil"/>
            </w:tcBorders>
            <w:vAlign w:val="center"/>
            <w:hideMark/>
          </w:tcPr>
          <w:p w:rsidR="00864C22" w:rsidRDefault="00864C22" w:rsidP="00277F60">
            <w:pPr>
              <w:jc w:val="center"/>
            </w:pPr>
            <w:r>
              <w:t>11.75</w:t>
            </w:r>
          </w:p>
        </w:tc>
        <w:tc>
          <w:tcPr>
            <w:tcW w:w="1569" w:type="dxa"/>
            <w:tcBorders>
              <w:top w:val="single" w:sz="2" w:space="0" w:color="auto"/>
              <w:left w:val="nil"/>
              <w:bottom w:val="single" w:sz="2" w:space="0" w:color="auto"/>
              <w:right w:val="nil"/>
            </w:tcBorders>
            <w:vAlign w:val="center"/>
            <w:hideMark/>
          </w:tcPr>
          <w:p w:rsidR="00864C22" w:rsidRDefault="00864C22" w:rsidP="00277F60">
            <w:pPr>
              <w:jc w:val="center"/>
              <w:rPr>
                <w:bCs/>
              </w:rPr>
            </w:pPr>
            <w:r>
              <w:rPr>
                <w:bCs/>
              </w:rPr>
              <w:t>16±1</w:t>
            </w:r>
          </w:p>
        </w:tc>
        <w:tc>
          <w:tcPr>
            <w:tcW w:w="1540" w:type="dxa"/>
            <w:tcBorders>
              <w:top w:val="single" w:sz="2" w:space="0" w:color="auto"/>
              <w:left w:val="nil"/>
              <w:bottom w:val="single" w:sz="2" w:space="0" w:color="auto"/>
              <w:right w:val="single" w:sz="4" w:space="0" w:color="auto"/>
            </w:tcBorders>
            <w:vAlign w:val="center"/>
            <w:hideMark/>
          </w:tcPr>
          <w:p w:rsidR="00864C22" w:rsidRDefault="00864C22" w:rsidP="00277F60">
            <w:pPr>
              <w:jc w:val="center"/>
            </w:pPr>
            <w:r>
              <w:t>8±1</w:t>
            </w:r>
          </w:p>
        </w:tc>
      </w:tr>
      <w:tr w:rsidR="00864C22" w:rsidTr="00277F60">
        <w:trPr>
          <w:trHeight w:val="558"/>
        </w:trPr>
        <w:tc>
          <w:tcPr>
            <w:tcW w:w="1785" w:type="dxa"/>
            <w:tcBorders>
              <w:top w:val="single" w:sz="6" w:space="0" w:color="auto"/>
              <w:left w:val="single" w:sz="4" w:space="0" w:color="auto"/>
              <w:bottom w:val="single" w:sz="6" w:space="0" w:color="auto"/>
              <w:right w:val="nil"/>
            </w:tcBorders>
            <w:vAlign w:val="center"/>
            <w:hideMark/>
          </w:tcPr>
          <w:p w:rsidR="00864C22" w:rsidRDefault="00864C22" w:rsidP="00277F60">
            <w:pPr>
              <w:jc w:val="center"/>
              <w:rPr>
                <w:b/>
              </w:rPr>
            </w:pPr>
            <w:r>
              <w:rPr>
                <w:b/>
                <w:bCs/>
              </w:rPr>
              <w:t>Cx26</w:t>
            </w:r>
          </w:p>
        </w:tc>
        <w:tc>
          <w:tcPr>
            <w:tcW w:w="1573" w:type="dxa"/>
            <w:tcBorders>
              <w:top w:val="single" w:sz="2" w:space="0" w:color="auto"/>
              <w:left w:val="nil"/>
              <w:bottom w:val="single" w:sz="2" w:space="0" w:color="auto"/>
              <w:right w:val="nil"/>
            </w:tcBorders>
            <w:vAlign w:val="center"/>
            <w:hideMark/>
          </w:tcPr>
          <w:p w:rsidR="00864C22" w:rsidRDefault="00864C22" w:rsidP="00277F60">
            <w:pPr>
              <w:jc w:val="center"/>
            </w:pPr>
            <w:r>
              <w:rPr>
                <w:bCs/>
              </w:rPr>
              <w:t>3±0.4</w:t>
            </w:r>
            <w:r>
              <w:rPr>
                <w:bCs/>
                <w:vertAlign w:val="superscript"/>
              </w:rPr>
              <w:t>a</w:t>
            </w:r>
          </w:p>
        </w:tc>
        <w:tc>
          <w:tcPr>
            <w:tcW w:w="1539" w:type="dxa"/>
            <w:tcBorders>
              <w:top w:val="single" w:sz="2" w:space="0" w:color="auto"/>
              <w:left w:val="nil"/>
              <w:bottom w:val="single" w:sz="2" w:space="0" w:color="auto"/>
              <w:right w:val="nil"/>
            </w:tcBorders>
            <w:vAlign w:val="center"/>
            <w:hideMark/>
          </w:tcPr>
          <w:p w:rsidR="00864C22" w:rsidRDefault="00864C22" w:rsidP="00277F60">
            <w:pPr>
              <w:jc w:val="center"/>
              <w:rPr>
                <w:bCs/>
              </w:rPr>
            </w:pPr>
            <w:r>
              <w:rPr>
                <w:bCs/>
              </w:rPr>
              <w:t>14.03</w:t>
            </w:r>
          </w:p>
        </w:tc>
        <w:tc>
          <w:tcPr>
            <w:tcW w:w="1569" w:type="dxa"/>
            <w:tcBorders>
              <w:top w:val="single" w:sz="2" w:space="0" w:color="auto"/>
              <w:left w:val="nil"/>
              <w:bottom w:val="single" w:sz="2" w:space="0" w:color="auto"/>
              <w:right w:val="nil"/>
            </w:tcBorders>
            <w:vAlign w:val="center"/>
            <w:hideMark/>
          </w:tcPr>
          <w:p w:rsidR="00864C22" w:rsidRDefault="00864C22" w:rsidP="00277F60">
            <w:pPr>
              <w:jc w:val="center"/>
              <w:rPr>
                <w:bCs/>
              </w:rPr>
            </w:pPr>
            <w:r>
              <w:rPr>
                <w:bCs/>
              </w:rPr>
              <w:t>24±1</w:t>
            </w:r>
            <w:r>
              <w:rPr>
                <w:bCs/>
                <w:vertAlign w:val="superscript"/>
              </w:rPr>
              <w:t xml:space="preserve"> a b</w:t>
            </w:r>
          </w:p>
        </w:tc>
        <w:tc>
          <w:tcPr>
            <w:tcW w:w="1540" w:type="dxa"/>
            <w:tcBorders>
              <w:top w:val="single" w:sz="2" w:space="0" w:color="auto"/>
              <w:left w:val="nil"/>
              <w:bottom w:val="single" w:sz="2" w:space="0" w:color="auto"/>
              <w:right w:val="single" w:sz="4" w:space="0" w:color="auto"/>
            </w:tcBorders>
            <w:vAlign w:val="center"/>
            <w:hideMark/>
          </w:tcPr>
          <w:p w:rsidR="00864C22" w:rsidRDefault="00864C22" w:rsidP="00277F60">
            <w:pPr>
              <w:jc w:val="center"/>
              <w:rPr>
                <w:bCs/>
              </w:rPr>
            </w:pPr>
            <w:r>
              <w:rPr>
                <w:bCs/>
              </w:rPr>
              <w:t>20±1</w:t>
            </w:r>
            <w:r>
              <w:rPr>
                <w:bCs/>
                <w:vertAlign w:val="superscript"/>
              </w:rPr>
              <w:t xml:space="preserve"> a b</w:t>
            </w:r>
          </w:p>
        </w:tc>
      </w:tr>
      <w:tr w:rsidR="00864C22" w:rsidTr="00277F60">
        <w:trPr>
          <w:trHeight w:val="558"/>
        </w:trPr>
        <w:tc>
          <w:tcPr>
            <w:tcW w:w="1785" w:type="dxa"/>
            <w:tcBorders>
              <w:top w:val="single" w:sz="6" w:space="0" w:color="auto"/>
              <w:left w:val="single" w:sz="4" w:space="0" w:color="auto"/>
              <w:bottom w:val="single" w:sz="6" w:space="0" w:color="auto"/>
              <w:right w:val="nil"/>
            </w:tcBorders>
            <w:vAlign w:val="center"/>
            <w:hideMark/>
          </w:tcPr>
          <w:p w:rsidR="00864C22" w:rsidRDefault="00864C22" w:rsidP="00277F60">
            <w:pPr>
              <w:jc w:val="center"/>
              <w:rPr>
                <w:b/>
              </w:rPr>
            </w:pPr>
            <w:r>
              <w:rPr>
                <w:b/>
                <w:bCs/>
              </w:rPr>
              <w:t>Cx26R75Y</w:t>
            </w:r>
          </w:p>
        </w:tc>
        <w:tc>
          <w:tcPr>
            <w:tcW w:w="1573" w:type="dxa"/>
            <w:tcBorders>
              <w:top w:val="single" w:sz="2" w:space="0" w:color="auto"/>
              <w:left w:val="nil"/>
              <w:bottom w:val="single" w:sz="2" w:space="0" w:color="auto"/>
              <w:right w:val="nil"/>
            </w:tcBorders>
            <w:vAlign w:val="center"/>
            <w:hideMark/>
          </w:tcPr>
          <w:p w:rsidR="00864C22" w:rsidRDefault="00864C22" w:rsidP="00277F60">
            <w:pPr>
              <w:jc w:val="center"/>
            </w:pPr>
            <w:r>
              <w:rPr>
                <w:bCs/>
              </w:rPr>
              <w:t>1±0.1</w:t>
            </w:r>
          </w:p>
        </w:tc>
        <w:tc>
          <w:tcPr>
            <w:tcW w:w="1539" w:type="dxa"/>
            <w:tcBorders>
              <w:top w:val="single" w:sz="2" w:space="0" w:color="auto"/>
              <w:left w:val="nil"/>
              <w:bottom w:val="single" w:sz="2" w:space="0" w:color="auto"/>
              <w:right w:val="nil"/>
            </w:tcBorders>
            <w:vAlign w:val="center"/>
            <w:hideMark/>
          </w:tcPr>
          <w:p w:rsidR="00864C22" w:rsidRDefault="00864C22" w:rsidP="00277F60">
            <w:pPr>
              <w:jc w:val="center"/>
              <w:rPr>
                <w:bCs/>
              </w:rPr>
            </w:pPr>
            <w:proofErr w:type="spellStart"/>
            <w:r>
              <w:rPr>
                <w:bCs/>
              </w:rPr>
              <w:t>n.d</w:t>
            </w:r>
            <w:proofErr w:type="spellEnd"/>
            <w:r>
              <w:rPr>
                <w:bCs/>
              </w:rPr>
              <w:t>.</w:t>
            </w:r>
          </w:p>
        </w:tc>
        <w:tc>
          <w:tcPr>
            <w:tcW w:w="1569" w:type="dxa"/>
            <w:tcBorders>
              <w:top w:val="single" w:sz="2" w:space="0" w:color="auto"/>
              <w:left w:val="nil"/>
              <w:bottom w:val="single" w:sz="2" w:space="0" w:color="auto"/>
              <w:right w:val="nil"/>
            </w:tcBorders>
            <w:vAlign w:val="center"/>
            <w:hideMark/>
          </w:tcPr>
          <w:p w:rsidR="00864C22" w:rsidRDefault="00864C22" w:rsidP="00277F60">
            <w:pPr>
              <w:jc w:val="center"/>
              <w:rPr>
                <w:bCs/>
              </w:rPr>
            </w:pPr>
            <w:r>
              <w:rPr>
                <w:bCs/>
              </w:rPr>
              <w:t>17±1</w:t>
            </w:r>
          </w:p>
        </w:tc>
        <w:tc>
          <w:tcPr>
            <w:tcW w:w="1540" w:type="dxa"/>
            <w:tcBorders>
              <w:top w:val="single" w:sz="2" w:space="0" w:color="auto"/>
              <w:left w:val="nil"/>
              <w:bottom w:val="single" w:sz="2" w:space="0" w:color="auto"/>
              <w:right w:val="single" w:sz="4" w:space="0" w:color="auto"/>
            </w:tcBorders>
            <w:vAlign w:val="center"/>
            <w:hideMark/>
          </w:tcPr>
          <w:p w:rsidR="00864C22" w:rsidRDefault="00864C22" w:rsidP="00277F60">
            <w:pPr>
              <w:jc w:val="center"/>
              <w:rPr>
                <w:bCs/>
              </w:rPr>
            </w:pPr>
            <w:r>
              <w:rPr>
                <w:bCs/>
              </w:rPr>
              <w:t>10</w:t>
            </w:r>
          </w:p>
        </w:tc>
      </w:tr>
      <w:tr w:rsidR="00864C22" w:rsidTr="00277F60">
        <w:trPr>
          <w:trHeight w:val="589"/>
        </w:trPr>
        <w:tc>
          <w:tcPr>
            <w:tcW w:w="1785" w:type="dxa"/>
            <w:tcBorders>
              <w:top w:val="single" w:sz="6" w:space="0" w:color="auto"/>
              <w:left w:val="single" w:sz="4" w:space="0" w:color="auto"/>
              <w:bottom w:val="single" w:sz="4" w:space="0" w:color="auto"/>
              <w:right w:val="nil"/>
            </w:tcBorders>
            <w:vAlign w:val="center"/>
            <w:hideMark/>
          </w:tcPr>
          <w:p w:rsidR="00864C22" w:rsidRDefault="00864C22" w:rsidP="00277F60">
            <w:pPr>
              <w:jc w:val="center"/>
              <w:rPr>
                <w:b/>
                <w:bCs/>
              </w:rPr>
            </w:pPr>
            <w:r>
              <w:rPr>
                <w:b/>
                <w:bCs/>
              </w:rPr>
              <w:t>Cx26T135A</w:t>
            </w:r>
          </w:p>
        </w:tc>
        <w:tc>
          <w:tcPr>
            <w:tcW w:w="1573" w:type="dxa"/>
            <w:tcBorders>
              <w:top w:val="single" w:sz="2" w:space="0" w:color="auto"/>
              <w:left w:val="nil"/>
              <w:bottom w:val="single" w:sz="4" w:space="0" w:color="auto"/>
              <w:right w:val="nil"/>
            </w:tcBorders>
            <w:vAlign w:val="center"/>
            <w:hideMark/>
          </w:tcPr>
          <w:p w:rsidR="00864C22" w:rsidRDefault="00864C22" w:rsidP="00277F60">
            <w:pPr>
              <w:jc w:val="center"/>
            </w:pPr>
            <w:r>
              <w:rPr>
                <w:bCs/>
              </w:rPr>
              <w:t>1±0.1</w:t>
            </w:r>
          </w:p>
        </w:tc>
        <w:tc>
          <w:tcPr>
            <w:tcW w:w="1539" w:type="dxa"/>
            <w:tcBorders>
              <w:top w:val="single" w:sz="2" w:space="0" w:color="auto"/>
              <w:left w:val="nil"/>
              <w:bottom w:val="single" w:sz="4" w:space="0" w:color="auto"/>
              <w:right w:val="nil"/>
            </w:tcBorders>
            <w:vAlign w:val="center"/>
            <w:hideMark/>
          </w:tcPr>
          <w:p w:rsidR="00864C22" w:rsidRDefault="00864C22" w:rsidP="00277F60">
            <w:pPr>
              <w:jc w:val="center"/>
              <w:rPr>
                <w:bCs/>
              </w:rPr>
            </w:pPr>
            <w:r>
              <w:rPr>
                <w:bCs/>
              </w:rPr>
              <w:t>3.14</w:t>
            </w:r>
          </w:p>
        </w:tc>
        <w:tc>
          <w:tcPr>
            <w:tcW w:w="1569" w:type="dxa"/>
            <w:tcBorders>
              <w:top w:val="single" w:sz="2" w:space="0" w:color="auto"/>
              <w:left w:val="nil"/>
              <w:bottom w:val="single" w:sz="4" w:space="0" w:color="auto"/>
              <w:right w:val="nil"/>
            </w:tcBorders>
            <w:vAlign w:val="center"/>
            <w:hideMark/>
          </w:tcPr>
          <w:p w:rsidR="00864C22" w:rsidRDefault="00864C22" w:rsidP="00277F60">
            <w:pPr>
              <w:jc w:val="center"/>
              <w:rPr>
                <w:bCs/>
              </w:rPr>
            </w:pPr>
            <w:r>
              <w:rPr>
                <w:bCs/>
              </w:rPr>
              <w:t>14±1</w:t>
            </w:r>
          </w:p>
        </w:tc>
        <w:tc>
          <w:tcPr>
            <w:tcW w:w="1540" w:type="dxa"/>
            <w:tcBorders>
              <w:top w:val="single" w:sz="2" w:space="0" w:color="auto"/>
              <w:left w:val="nil"/>
              <w:bottom w:val="single" w:sz="4" w:space="0" w:color="auto"/>
              <w:right w:val="single" w:sz="4" w:space="0" w:color="auto"/>
            </w:tcBorders>
            <w:vAlign w:val="center"/>
            <w:hideMark/>
          </w:tcPr>
          <w:p w:rsidR="00864C22" w:rsidRDefault="00864C22" w:rsidP="00277F60">
            <w:pPr>
              <w:jc w:val="center"/>
              <w:rPr>
                <w:bCs/>
              </w:rPr>
            </w:pPr>
            <w:r>
              <w:rPr>
                <w:bCs/>
              </w:rPr>
              <w:t>9±1</w:t>
            </w:r>
          </w:p>
        </w:tc>
      </w:tr>
    </w:tbl>
    <w:p w:rsidR="00864C22" w:rsidRDefault="00864C22" w:rsidP="00864C22">
      <w:pPr>
        <w:autoSpaceDE w:val="0"/>
        <w:autoSpaceDN w:val="0"/>
        <w:adjustRightInd w:val="0"/>
        <w:jc w:val="both"/>
        <w:rPr>
          <w:color w:val="000000"/>
        </w:rPr>
      </w:pPr>
    </w:p>
    <w:p w:rsidR="00864C22" w:rsidRDefault="00864C22" w:rsidP="00864C22">
      <w:pPr>
        <w:autoSpaceDE w:val="0"/>
        <w:autoSpaceDN w:val="0"/>
        <w:adjustRightInd w:val="0"/>
        <w:jc w:val="both"/>
        <w:rPr>
          <w:color w:val="000000"/>
        </w:rPr>
      </w:pPr>
    </w:p>
    <w:p w:rsidR="00F64189" w:rsidRDefault="00F64189" w:rsidP="00864C22">
      <w:pPr>
        <w:autoSpaceDE w:val="0"/>
        <w:autoSpaceDN w:val="0"/>
        <w:adjustRightInd w:val="0"/>
        <w:jc w:val="both"/>
        <w:rPr>
          <w:color w:val="000000"/>
          <w:vertAlign w:val="superscript"/>
        </w:rPr>
      </w:pPr>
    </w:p>
    <w:p w:rsidR="00F64189" w:rsidRDefault="00F64189" w:rsidP="00864C22">
      <w:pPr>
        <w:autoSpaceDE w:val="0"/>
        <w:autoSpaceDN w:val="0"/>
        <w:adjustRightInd w:val="0"/>
        <w:jc w:val="both"/>
        <w:rPr>
          <w:color w:val="000000"/>
          <w:vertAlign w:val="superscript"/>
        </w:rPr>
      </w:pPr>
    </w:p>
    <w:p w:rsidR="00F64189" w:rsidRDefault="00F64189" w:rsidP="00864C22">
      <w:pPr>
        <w:autoSpaceDE w:val="0"/>
        <w:autoSpaceDN w:val="0"/>
        <w:adjustRightInd w:val="0"/>
        <w:jc w:val="both"/>
        <w:rPr>
          <w:color w:val="000000"/>
          <w:vertAlign w:val="superscript"/>
        </w:rPr>
      </w:pPr>
    </w:p>
    <w:p w:rsidR="00F64189" w:rsidRDefault="00F64189" w:rsidP="00864C22">
      <w:pPr>
        <w:autoSpaceDE w:val="0"/>
        <w:autoSpaceDN w:val="0"/>
        <w:adjustRightInd w:val="0"/>
        <w:jc w:val="both"/>
        <w:rPr>
          <w:color w:val="000000"/>
          <w:vertAlign w:val="superscript"/>
        </w:rPr>
      </w:pPr>
    </w:p>
    <w:p w:rsidR="00F64189" w:rsidRDefault="00F64189" w:rsidP="00864C22">
      <w:pPr>
        <w:autoSpaceDE w:val="0"/>
        <w:autoSpaceDN w:val="0"/>
        <w:adjustRightInd w:val="0"/>
        <w:jc w:val="both"/>
        <w:rPr>
          <w:color w:val="000000"/>
          <w:vertAlign w:val="superscript"/>
        </w:rPr>
      </w:pPr>
    </w:p>
    <w:p w:rsidR="00F64189" w:rsidRDefault="00F64189" w:rsidP="00864C22">
      <w:pPr>
        <w:autoSpaceDE w:val="0"/>
        <w:autoSpaceDN w:val="0"/>
        <w:adjustRightInd w:val="0"/>
        <w:jc w:val="both"/>
        <w:rPr>
          <w:color w:val="000000"/>
          <w:vertAlign w:val="superscript"/>
        </w:rPr>
      </w:pPr>
    </w:p>
    <w:p w:rsidR="00F64189" w:rsidRDefault="00F64189" w:rsidP="00864C22">
      <w:pPr>
        <w:autoSpaceDE w:val="0"/>
        <w:autoSpaceDN w:val="0"/>
        <w:adjustRightInd w:val="0"/>
        <w:jc w:val="both"/>
        <w:rPr>
          <w:color w:val="000000"/>
          <w:vertAlign w:val="superscript"/>
        </w:rPr>
      </w:pPr>
    </w:p>
    <w:p w:rsidR="00F64189" w:rsidRDefault="00F64189" w:rsidP="00864C22">
      <w:pPr>
        <w:autoSpaceDE w:val="0"/>
        <w:autoSpaceDN w:val="0"/>
        <w:adjustRightInd w:val="0"/>
        <w:jc w:val="both"/>
        <w:rPr>
          <w:color w:val="000000"/>
          <w:vertAlign w:val="superscript"/>
        </w:rPr>
      </w:pPr>
    </w:p>
    <w:p w:rsidR="00F64189" w:rsidRDefault="00F64189" w:rsidP="00864C22">
      <w:pPr>
        <w:autoSpaceDE w:val="0"/>
        <w:autoSpaceDN w:val="0"/>
        <w:adjustRightInd w:val="0"/>
        <w:jc w:val="both"/>
        <w:rPr>
          <w:color w:val="000000"/>
          <w:vertAlign w:val="superscript"/>
        </w:rPr>
      </w:pPr>
    </w:p>
    <w:p w:rsidR="00F64189" w:rsidRDefault="00F64189" w:rsidP="00864C22">
      <w:pPr>
        <w:autoSpaceDE w:val="0"/>
        <w:autoSpaceDN w:val="0"/>
        <w:adjustRightInd w:val="0"/>
        <w:jc w:val="both"/>
        <w:rPr>
          <w:color w:val="000000"/>
          <w:vertAlign w:val="superscript"/>
        </w:rPr>
      </w:pPr>
    </w:p>
    <w:p w:rsidR="00F64189" w:rsidRDefault="00F64189" w:rsidP="00864C22">
      <w:pPr>
        <w:autoSpaceDE w:val="0"/>
        <w:autoSpaceDN w:val="0"/>
        <w:adjustRightInd w:val="0"/>
        <w:jc w:val="both"/>
        <w:rPr>
          <w:color w:val="000000"/>
          <w:vertAlign w:val="superscript"/>
        </w:rPr>
      </w:pPr>
    </w:p>
    <w:p w:rsidR="00F64189" w:rsidRDefault="00F64189" w:rsidP="00864C22">
      <w:pPr>
        <w:autoSpaceDE w:val="0"/>
        <w:autoSpaceDN w:val="0"/>
        <w:adjustRightInd w:val="0"/>
        <w:jc w:val="both"/>
        <w:rPr>
          <w:color w:val="000000"/>
          <w:vertAlign w:val="superscript"/>
        </w:rPr>
      </w:pPr>
    </w:p>
    <w:p w:rsidR="00F64189" w:rsidRDefault="00F64189" w:rsidP="00864C22">
      <w:pPr>
        <w:autoSpaceDE w:val="0"/>
        <w:autoSpaceDN w:val="0"/>
        <w:adjustRightInd w:val="0"/>
        <w:jc w:val="both"/>
        <w:rPr>
          <w:color w:val="000000"/>
          <w:vertAlign w:val="superscript"/>
        </w:rPr>
      </w:pPr>
    </w:p>
    <w:p w:rsidR="00F64189" w:rsidRDefault="00F64189" w:rsidP="00864C22">
      <w:pPr>
        <w:autoSpaceDE w:val="0"/>
        <w:autoSpaceDN w:val="0"/>
        <w:adjustRightInd w:val="0"/>
        <w:jc w:val="both"/>
        <w:rPr>
          <w:color w:val="000000"/>
          <w:vertAlign w:val="superscript"/>
        </w:rPr>
      </w:pPr>
    </w:p>
    <w:p w:rsidR="00864C22" w:rsidRDefault="00864C22" w:rsidP="00864C22">
      <w:pPr>
        <w:autoSpaceDE w:val="0"/>
        <w:autoSpaceDN w:val="0"/>
        <w:adjustRightInd w:val="0"/>
        <w:jc w:val="both"/>
        <w:rPr>
          <w:color w:val="000000"/>
        </w:rPr>
      </w:pPr>
      <w:proofErr w:type="gramStart"/>
      <w:r>
        <w:rPr>
          <w:color w:val="000000"/>
          <w:vertAlign w:val="superscript"/>
        </w:rPr>
        <w:t>a</w:t>
      </w:r>
      <w:proofErr w:type="gramEnd"/>
      <w:r>
        <w:rPr>
          <w:color w:val="000000"/>
        </w:rPr>
        <w:t xml:space="preserve"> indicates significance elevated at a p&lt;0.05 compared to all other cell types.</w:t>
      </w:r>
    </w:p>
    <w:p w:rsidR="00864C22" w:rsidRDefault="00864C22" w:rsidP="00864C22">
      <w:pPr>
        <w:autoSpaceDE w:val="0"/>
        <w:autoSpaceDN w:val="0"/>
        <w:adjustRightInd w:val="0"/>
        <w:jc w:val="both"/>
        <w:rPr>
          <w:color w:val="000000"/>
        </w:rPr>
      </w:pPr>
      <w:proofErr w:type="gramStart"/>
      <w:r>
        <w:rPr>
          <w:color w:val="000000"/>
          <w:vertAlign w:val="superscript"/>
        </w:rPr>
        <w:t>b</w:t>
      </w:r>
      <w:proofErr w:type="gramEnd"/>
      <w:r>
        <w:rPr>
          <w:color w:val="000000"/>
        </w:rPr>
        <w:t xml:space="preserve"> morphological staining revealed these cells to be non-apoptotic, as they did not show condensed or fragmented nuclei (as seen in Figure 3B). These cells were likely blocked in cytokinesis, and thus more “leaky” than other cells, and stained more effectively with Hoechst and </w:t>
      </w:r>
      <w:proofErr w:type="spellStart"/>
      <w:r>
        <w:rPr>
          <w:color w:val="000000"/>
        </w:rPr>
        <w:t>Annexin</w:t>
      </w:r>
      <w:proofErr w:type="spellEnd"/>
      <w:r>
        <w:rPr>
          <w:color w:val="000000"/>
        </w:rPr>
        <w:t xml:space="preserve"> V. They also likely contribute to the higher number of detached cells in HeLa26.</w:t>
      </w:r>
    </w:p>
    <w:p w:rsidR="00864C22" w:rsidRDefault="00864C22" w:rsidP="00864C22">
      <w:pPr>
        <w:autoSpaceDE w:val="0"/>
        <w:autoSpaceDN w:val="0"/>
        <w:adjustRightInd w:val="0"/>
        <w:jc w:val="both"/>
        <w:rPr>
          <w:color w:val="000000"/>
        </w:rPr>
      </w:pPr>
      <w:proofErr w:type="spellStart"/>
      <w:r>
        <w:rPr>
          <w:color w:val="000000"/>
        </w:rPr>
        <w:t>n.d</w:t>
      </w:r>
      <w:proofErr w:type="spellEnd"/>
      <w:r>
        <w:rPr>
          <w:color w:val="000000"/>
        </w:rPr>
        <w:t>.: not detectable</w:t>
      </w:r>
    </w:p>
    <w:p w:rsidR="00913E0A" w:rsidRDefault="00913E0A"/>
    <w:sectPr w:rsidR="00913E0A" w:rsidSect="00913E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4C22"/>
    <w:rsid w:val="00645FE2"/>
    <w:rsid w:val="00854173"/>
    <w:rsid w:val="00864C22"/>
    <w:rsid w:val="00913E0A"/>
    <w:rsid w:val="00F641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22"/>
    <w:pPr>
      <w:spacing w:after="0" w:line="240" w:lineRule="auto"/>
    </w:pPr>
    <w:rPr>
      <w:rFonts w:ascii="Times New Roman" w:eastAsia="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UTHSCSAadmin</dc:creator>
  <cp:keywords/>
  <dc:description/>
  <cp:lastModifiedBy>Nicholson</cp:lastModifiedBy>
  <cp:revision>3</cp:revision>
  <dcterms:created xsi:type="dcterms:W3CDTF">2013-10-29T15:51:00Z</dcterms:created>
  <dcterms:modified xsi:type="dcterms:W3CDTF">2013-11-10T05:41:00Z</dcterms:modified>
</cp:coreProperties>
</file>