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C" w:rsidRDefault="0036366C" w:rsidP="003636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S1: D50 AND CHANNEL TYPE CLASSIFICATION</w:t>
      </w:r>
    </w:p>
    <w:p w:rsidR="0036366C" w:rsidRDefault="0036366C" w:rsidP="0036366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6366C" w:rsidRPr="00A3657C" w:rsidRDefault="0036366C" w:rsidP="0036366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57C">
        <w:rPr>
          <w:rFonts w:ascii="Times New Roman" w:hAnsi="Times New Roman" w:cs="Times New Roman"/>
          <w:sz w:val="24"/>
          <w:szCs w:val="24"/>
        </w:rPr>
        <w:t xml:space="preserve">Owing to unique physiographic conditions among river basins, </w:t>
      </w: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7C">
        <w:rPr>
          <w:rFonts w:ascii="Times New Roman" w:hAnsi="Times New Roman" w:cs="Times New Roman"/>
          <w:sz w:val="24"/>
          <w:szCs w:val="24"/>
        </w:rPr>
        <w:t xml:space="preserve">suggested that local estimates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Pr="00A3657C">
        <w:rPr>
          <w:rFonts w:ascii="Times New Roman" w:hAnsi="Times New Roman" w:cs="Times New Roman"/>
          <w:sz w:val="24"/>
          <w:szCs w:val="24"/>
        </w:rPr>
        <w:t>be generated for bank-full depth (</w:t>
      </w:r>
      <w:r w:rsidRPr="00A3657C">
        <w:rPr>
          <w:rFonts w:ascii="Times New Roman" w:hAnsi="Times New Roman" w:cs="Times New Roman"/>
          <w:i/>
          <w:sz w:val="24"/>
          <w:szCs w:val="24"/>
        </w:rPr>
        <w:t>h</w:t>
      </w:r>
      <w:r w:rsidRPr="00A3657C">
        <w:rPr>
          <w:rFonts w:ascii="Times New Roman" w:hAnsi="Times New Roman" w:cs="Times New Roman"/>
          <w:sz w:val="24"/>
          <w:szCs w:val="24"/>
        </w:rPr>
        <w:t>; 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7C">
        <w:rPr>
          <w:rFonts w:ascii="Times New Roman" w:hAnsi="Times New Roman" w:cs="Times New Roman"/>
          <w:sz w:val="24"/>
          <w:szCs w:val="24"/>
        </w:rPr>
        <w:t>vs. drainage 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7C">
        <w:rPr>
          <w:rFonts w:ascii="Times New Roman" w:hAnsi="Times New Roman" w:cs="Times New Roman"/>
          <w:sz w:val="24"/>
          <w:szCs w:val="24"/>
        </w:rPr>
        <w:t>(</w:t>
      </w:r>
      <w:r w:rsidRPr="00A3657C">
        <w:rPr>
          <w:rFonts w:ascii="Times New Roman" w:hAnsi="Times New Roman" w:cs="Times New Roman"/>
          <w:i/>
          <w:sz w:val="24"/>
          <w:szCs w:val="24"/>
        </w:rPr>
        <w:t>A</w:t>
      </w:r>
      <w:r w:rsidRPr="00A3657C">
        <w:rPr>
          <w:rFonts w:ascii="Times New Roman" w:hAnsi="Times New Roman" w:cs="Times New Roman"/>
          <w:sz w:val="24"/>
          <w:szCs w:val="24"/>
        </w:rPr>
        <w:t>; m</w:t>
      </w:r>
      <w:r w:rsidRPr="00A36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57C">
        <w:rPr>
          <w:rFonts w:ascii="Times New Roman" w:hAnsi="Times New Roman" w:cs="Times New Roman"/>
          <w:sz w:val="24"/>
          <w:szCs w:val="24"/>
        </w:rPr>
        <w:t>) relationship and channel-type classification.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7C">
        <w:rPr>
          <w:rFonts w:ascii="Times New Roman" w:hAnsi="Times New Roman" w:cs="Times New Roman"/>
          <w:sz w:val="24"/>
          <w:szCs w:val="24"/>
        </w:rPr>
        <w:t>Therefore, we first assembled empirical bank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657C">
        <w:rPr>
          <w:rFonts w:ascii="Times New Roman" w:hAnsi="Times New Roman" w:cs="Times New Roman"/>
          <w:sz w:val="24"/>
          <w:szCs w:val="24"/>
        </w:rPr>
        <w:t xml:space="preserve">full depth data from 94 sites located throughout the John Day River basin, collected during U.S. Environmental Protection Agency Environmental Monitoring and Assessment Program (EMAP) habitat surveys </w:t>
      </w:r>
      <w:r>
        <w:rPr>
          <w:rFonts w:ascii="Times New Roman" w:hAnsi="Times New Roman" w:cs="Times New Roman"/>
          <w:sz w:val="24"/>
          <w:szCs w:val="24"/>
        </w:rPr>
        <w:t>[2]</w:t>
      </w:r>
      <w:r w:rsidRPr="00A36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7C">
        <w:rPr>
          <w:rFonts w:ascii="Times New Roman" w:hAnsi="Times New Roman" w:cs="Times New Roman"/>
          <w:sz w:val="24"/>
          <w:szCs w:val="24"/>
        </w:rPr>
        <w:t xml:space="preserve">Next, we identified the 200M reach on which the mid-point of the EMAP survey was conducted and used the upstream drainage area to model </w:t>
      </w:r>
      <w:proofErr w:type="spellStart"/>
      <w:r w:rsidRPr="00A3657C">
        <w:rPr>
          <w:rFonts w:ascii="Times New Roman" w:hAnsi="Times New Roman" w:cs="Times New Roman"/>
          <w:i/>
          <w:sz w:val="24"/>
          <w:szCs w:val="24"/>
        </w:rPr>
        <w:t xml:space="preserve">h </w:t>
      </w:r>
      <w:r w:rsidRPr="00A3657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657C">
        <w:rPr>
          <w:rFonts w:ascii="Times New Roman" w:hAnsi="Times New Roman" w:cs="Times New Roman"/>
          <w:sz w:val="24"/>
          <w:szCs w:val="24"/>
        </w:rPr>
        <w:t xml:space="preserve"> a function of </w:t>
      </w:r>
      <w:r w:rsidRPr="00A3657C">
        <w:rPr>
          <w:rFonts w:ascii="Times New Roman" w:hAnsi="Times New Roman" w:cs="Times New Roman"/>
          <w:i/>
          <w:sz w:val="24"/>
          <w:szCs w:val="24"/>
        </w:rPr>
        <w:t>A</w:t>
      </w:r>
      <w:r w:rsidRPr="00A3657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sing simple linear regression. </w:t>
      </w:r>
      <w:r w:rsidRPr="00A3657C">
        <w:rPr>
          <w:rFonts w:ascii="Times New Roman" w:hAnsi="Times New Roman" w:cs="Times New Roman"/>
          <w:sz w:val="24"/>
          <w:szCs w:val="24"/>
        </w:rPr>
        <w:t>We initially constructed regressions for each sub-basin (</w:t>
      </w:r>
      <w:r w:rsidRPr="00C010C4">
        <w:rPr>
          <w:rFonts w:ascii="Times New Roman" w:hAnsi="Times New Roman" w:cs="Times New Roman"/>
          <w:i/>
          <w:sz w:val="24"/>
          <w:szCs w:val="24"/>
        </w:rPr>
        <w:t>basin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10C4">
        <w:rPr>
          <w:rFonts w:ascii="Times New Roman" w:hAnsi="Times New Roman" w:cs="Times New Roman"/>
          <w:sz w:val="24"/>
          <w:szCs w:val="24"/>
        </w:rPr>
        <w:t>see</w:t>
      </w:r>
      <w:r w:rsidRPr="00A36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Fig.</w:t>
      </w:r>
      <w:r w:rsidRPr="00A36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657C">
        <w:rPr>
          <w:rFonts w:ascii="Times New Roman" w:hAnsi="Times New Roman" w:cs="Times New Roman"/>
          <w:sz w:val="24"/>
          <w:szCs w:val="24"/>
        </w:rPr>
        <w:t>) in the John Day, under the premise that different relationships may exist across th</w:t>
      </w:r>
      <w:r>
        <w:rPr>
          <w:rFonts w:ascii="Times New Roman" w:hAnsi="Times New Roman" w:cs="Times New Roman"/>
          <w:sz w:val="24"/>
          <w:szCs w:val="24"/>
        </w:rPr>
        <w:t xml:space="preserve">is broad physiographic region. </w:t>
      </w:r>
      <w:r w:rsidRPr="00A3657C">
        <w:rPr>
          <w:rFonts w:ascii="Times New Roman" w:hAnsi="Times New Roman" w:cs="Times New Roman"/>
          <w:sz w:val="24"/>
          <w:szCs w:val="24"/>
        </w:rPr>
        <w:t xml:space="preserve">However, we found no difference among the slopes or intercepts of the sub-basin scale relationships based on </w:t>
      </w:r>
      <w:r>
        <w:rPr>
          <w:rFonts w:ascii="Times New Roman" w:hAnsi="Times New Roman" w:cs="Times New Roman"/>
          <w:sz w:val="24"/>
          <w:szCs w:val="24"/>
        </w:rPr>
        <w:t xml:space="preserve">analysis of covariance (ANCOVA: </w:t>
      </w:r>
      <w:r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i/>
          <w:sz w:val="24"/>
          <w:szCs w:val="24"/>
        </w:rPr>
        <w:t>basin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 1.04,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0.383, </w:t>
      </w:r>
      <w:r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i/>
          <w:sz w:val="24"/>
          <w:szCs w:val="24"/>
        </w:rPr>
        <w:t>A*basin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 1.21,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0.314). </w:t>
      </w:r>
      <w:r w:rsidRPr="00A3657C">
        <w:rPr>
          <w:rFonts w:ascii="Times New Roman" w:hAnsi="Times New Roman" w:cs="Times New Roman"/>
          <w:sz w:val="24"/>
          <w:szCs w:val="24"/>
        </w:rPr>
        <w:t xml:space="preserve">As a result, we used the following relationship for the entire </w:t>
      </w:r>
      <w:r>
        <w:rPr>
          <w:rFonts w:ascii="Times New Roman" w:hAnsi="Times New Roman" w:cs="Times New Roman"/>
          <w:sz w:val="24"/>
          <w:szCs w:val="24"/>
        </w:rPr>
        <w:t xml:space="preserve">John Day </w:t>
      </w:r>
      <w:r w:rsidRPr="00A3657C">
        <w:rPr>
          <w:rFonts w:ascii="Times New Roman" w:hAnsi="Times New Roman" w:cs="Times New Roman"/>
          <w:sz w:val="24"/>
          <w:szCs w:val="24"/>
        </w:rPr>
        <w:t>basin (</w:t>
      </w:r>
      <w:r w:rsidRPr="00A3657C">
        <w:rPr>
          <w:rFonts w:ascii="Times New Roman" w:hAnsi="Times New Roman" w:cs="Times New Roman"/>
          <w:i/>
          <w:sz w:val="24"/>
          <w:szCs w:val="24"/>
        </w:rPr>
        <w:t>F</w:t>
      </w:r>
      <w:r w:rsidRPr="00A3657C">
        <w:rPr>
          <w:rFonts w:ascii="Times New Roman" w:hAnsi="Times New Roman" w:cs="Times New Roman"/>
          <w:sz w:val="24"/>
          <w:szCs w:val="24"/>
        </w:rPr>
        <w:t xml:space="preserve"> = 64.21, </w:t>
      </w:r>
      <w:r w:rsidRPr="00A3657C">
        <w:rPr>
          <w:rFonts w:ascii="Times New Roman" w:hAnsi="Times New Roman" w:cs="Times New Roman"/>
          <w:i/>
          <w:sz w:val="24"/>
          <w:szCs w:val="24"/>
        </w:rPr>
        <w:t>P</w:t>
      </w:r>
      <w:r w:rsidRPr="00A3657C">
        <w:rPr>
          <w:rFonts w:ascii="Times New Roman" w:hAnsi="Times New Roman" w:cs="Times New Roman"/>
          <w:sz w:val="24"/>
          <w:szCs w:val="24"/>
        </w:rPr>
        <w:t xml:space="preserve"> &lt; 0.001, </w:t>
      </w:r>
      <w:r w:rsidRPr="00A3657C">
        <w:rPr>
          <w:rFonts w:ascii="Times New Roman" w:hAnsi="Times New Roman" w:cs="Times New Roman"/>
          <w:i/>
          <w:sz w:val="24"/>
          <w:szCs w:val="24"/>
        </w:rPr>
        <w:t>r</w:t>
      </w:r>
      <w:r w:rsidRPr="00A3657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3657C">
        <w:rPr>
          <w:rFonts w:ascii="Times New Roman" w:hAnsi="Times New Roman" w:cs="Times New Roman"/>
          <w:sz w:val="24"/>
          <w:szCs w:val="24"/>
        </w:rPr>
        <w:t xml:space="preserve"> = 0.70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657C">
        <w:rPr>
          <w:rFonts w:ascii="Times New Roman" w:hAnsi="Times New Roman" w:cs="Times New Roman"/>
          <w:sz w:val="24"/>
          <w:szCs w:val="24"/>
        </w:rPr>
        <w:t>):</w:t>
      </w:r>
    </w:p>
    <w:p w:rsidR="0036366C" w:rsidRPr="00A3657C" w:rsidRDefault="0036366C" w:rsidP="0036366C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1.37+0.129</m:t>
        </m:r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43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3657C">
        <w:rPr>
          <w:rFonts w:ascii="Times New Roman" w:hAnsi="Times New Roman" w:cs="Times New Roman"/>
          <w:sz w:val="24"/>
          <w:szCs w:val="24"/>
        </w:rPr>
        <w:t>(1)</w:t>
      </w:r>
    </w:p>
    <w:p w:rsidR="0036366C" w:rsidRPr="00A3657C" w:rsidRDefault="0036366C" w:rsidP="003636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57C">
        <w:rPr>
          <w:rFonts w:ascii="Times New Roman" w:hAnsi="Times New Roman" w:cs="Times New Roman"/>
          <w:sz w:val="24"/>
          <w:szCs w:val="24"/>
        </w:rPr>
        <w:t>Next, we classified each 200M reach to a channel type (Table 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657C">
        <w:rPr>
          <w:rFonts w:ascii="Times New Roman" w:hAnsi="Times New Roman" w:cs="Times New Roman"/>
          <w:sz w:val="24"/>
          <w:szCs w:val="24"/>
        </w:rPr>
        <w:t>Our channel types were based on categories of channel slope (%) and drainage area (km</w:t>
      </w:r>
      <w:r w:rsidRPr="00A36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57C">
        <w:rPr>
          <w:rFonts w:ascii="Times New Roman" w:hAnsi="Times New Roman" w:cs="Times New Roman"/>
          <w:sz w:val="24"/>
          <w:szCs w:val="24"/>
        </w:rPr>
        <w:t xml:space="preserve">), validated from field estimates in the upper Middle Fork John Day (A. </w:t>
      </w:r>
      <w:proofErr w:type="spellStart"/>
      <w:r w:rsidRPr="00A3657C">
        <w:rPr>
          <w:rFonts w:ascii="Times New Roman" w:hAnsi="Times New Roman" w:cs="Times New Roman"/>
          <w:sz w:val="24"/>
          <w:szCs w:val="24"/>
        </w:rPr>
        <w:t>Przeszlowska</w:t>
      </w:r>
      <w:proofErr w:type="spellEnd"/>
      <w:r w:rsidRPr="00A36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U.S. Forest Service, Olympia Forestry Sciences Laboratory,</w:t>
      </w:r>
      <w:r w:rsidRPr="00A3657C">
        <w:rPr>
          <w:rFonts w:ascii="Times New Roman" w:hAnsi="Times New Roman" w:cs="Times New Roman"/>
          <w:sz w:val="24"/>
          <w:szCs w:val="24"/>
        </w:rPr>
        <w:t xml:space="preserve"> </w:t>
      </w:r>
      <w:r w:rsidRPr="00A3657C">
        <w:rPr>
          <w:rFonts w:ascii="Times New Roman" w:hAnsi="Times New Roman" w:cs="Times New Roman"/>
          <w:i/>
          <w:sz w:val="24"/>
          <w:szCs w:val="24"/>
        </w:rPr>
        <w:t>unpublished data</w:t>
      </w:r>
      <w:r w:rsidRPr="00A3657C">
        <w:rPr>
          <w:rFonts w:ascii="Times New Roman" w:hAnsi="Times New Roman" w:cs="Times New Roman"/>
          <w:sz w:val="24"/>
          <w:szCs w:val="24"/>
        </w:rPr>
        <w:t xml:space="preserve">).  Finally, we estimated D50 for each 200M reach using equation 4 in </w:t>
      </w:r>
      <w:r>
        <w:rPr>
          <w:rFonts w:ascii="Times New Roman" w:hAnsi="Times New Roman" w:cs="Times New Roman"/>
          <w:sz w:val="24"/>
          <w:szCs w:val="24"/>
        </w:rPr>
        <w:t>[1]</w:t>
      </w:r>
      <w:r w:rsidRPr="00A3657C">
        <w:rPr>
          <w:rFonts w:ascii="Times New Roman" w:hAnsi="Times New Roman" w:cs="Times New Roman"/>
          <w:sz w:val="24"/>
          <w:szCs w:val="24"/>
        </w:rPr>
        <w:t>, incorporating their bank-full Shields stress vs. bank-full shear stress relati</w:t>
      </w:r>
      <w:r>
        <w:rPr>
          <w:rFonts w:ascii="Times New Roman" w:hAnsi="Times New Roman" w:cs="Times New Roman"/>
          <w:sz w:val="24"/>
          <w:szCs w:val="24"/>
        </w:rPr>
        <w:t xml:space="preserve">onships for each channel type. </w:t>
      </w:r>
      <w:proofErr w:type="spellStart"/>
      <w:r w:rsidRPr="00A3657C">
        <w:rPr>
          <w:rFonts w:ascii="Times New Roman" w:hAnsi="Times New Roman" w:cs="Times New Roman"/>
          <w:sz w:val="24"/>
          <w:szCs w:val="24"/>
        </w:rPr>
        <w:t>Colluvial</w:t>
      </w:r>
      <w:proofErr w:type="spellEnd"/>
      <w:r w:rsidRPr="00A3657C">
        <w:rPr>
          <w:rFonts w:ascii="Times New Roman" w:hAnsi="Times New Roman" w:cs="Times New Roman"/>
          <w:sz w:val="24"/>
          <w:szCs w:val="24"/>
        </w:rPr>
        <w:t xml:space="preserve"> channels occupy the most upstream, headwater portions of the channel network and typically have poorly sorted bed materials, are ephemeral or intermi</w:t>
      </w:r>
      <w:r>
        <w:rPr>
          <w:rFonts w:ascii="Times New Roman" w:hAnsi="Times New Roman" w:cs="Times New Roman"/>
          <w:sz w:val="24"/>
          <w:szCs w:val="24"/>
        </w:rPr>
        <w:t xml:space="preserve">ttent, and have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low discharges. </w:t>
      </w:r>
      <w:r w:rsidRPr="00A3657C">
        <w:rPr>
          <w:rFonts w:ascii="Times New Roman" w:hAnsi="Times New Roman" w:cs="Times New Roman"/>
          <w:sz w:val="24"/>
          <w:szCs w:val="24"/>
        </w:rPr>
        <w:t xml:space="preserve">We did not calculate D50 for </w:t>
      </w:r>
      <w:proofErr w:type="spellStart"/>
      <w:r w:rsidRPr="00A3657C">
        <w:rPr>
          <w:rFonts w:ascii="Times New Roman" w:hAnsi="Times New Roman" w:cs="Times New Roman"/>
          <w:sz w:val="24"/>
          <w:szCs w:val="24"/>
        </w:rPr>
        <w:t>colluvial</w:t>
      </w:r>
      <w:proofErr w:type="spellEnd"/>
      <w:r w:rsidRPr="00A3657C">
        <w:rPr>
          <w:rFonts w:ascii="Times New Roman" w:hAnsi="Times New Roman" w:cs="Times New Roman"/>
          <w:sz w:val="24"/>
          <w:szCs w:val="24"/>
        </w:rPr>
        <w:t xml:space="preserve"> channels because we reasoned that steelhead do not use this type.  </w:t>
      </w:r>
    </w:p>
    <w:p w:rsidR="0036366C" w:rsidRDefault="0036366C" w:rsidP="0036366C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6366C" w:rsidRPr="0036366C" w:rsidRDefault="0036366C" w:rsidP="00363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Buffington</w:t>
      </w:r>
      <w:r w:rsidRPr="0036366C">
        <w:rPr>
          <w:rFonts w:ascii="Times New Roman" w:eastAsiaTheme="minorHAnsi" w:hAnsi="Times New Roman" w:cs="Times New Roman"/>
          <w:sz w:val="24"/>
          <w:szCs w:val="24"/>
        </w:rPr>
        <w:t xml:space="preserve"> JM, Montgomery DR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36366C">
        <w:rPr>
          <w:rFonts w:ascii="Times New Roman" w:eastAsiaTheme="minorHAnsi" w:hAnsi="Times New Roman" w:cs="Times New Roman"/>
          <w:sz w:val="24"/>
          <w:szCs w:val="24"/>
        </w:rPr>
        <w:t xml:space="preserve"> Greenberg HM (2004) Basin-scale availability of salmonid spawning gravel as influenced by channel type and hydraulic roughness in mountain catchments.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Can J Fish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Aquat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Sci</w:t>
      </w:r>
      <w:proofErr w:type="spellEnd"/>
      <w:r w:rsidRPr="0036366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6366C">
        <w:rPr>
          <w:rFonts w:ascii="Times New Roman" w:eastAsiaTheme="minorHAnsi" w:hAnsi="Times New Roman" w:cs="Times New Roman"/>
          <w:bCs/>
          <w:sz w:val="24"/>
          <w:szCs w:val="24"/>
        </w:rPr>
        <w:t>61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:</w:t>
      </w:r>
      <w:r w:rsidRPr="0036366C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36366C">
        <w:rPr>
          <w:rFonts w:ascii="Times New Roman" w:eastAsiaTheme="minorHAnsi" w:hAnsi="Times New Roman" w:cs="Times New Roman"/>
          <w:sz w:val="24"/>
          <w:szCs w:val="24"/>
        </w:rPr>
        <w:t>2085-2096.</w:t>
      </w:r>
    </w:p>
    <w:p w:rsidR="0036366C" w:rsidRDefault="0036366C" w:rsidP="0036366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:rsidR="0036366C" w:rsidRPr="0036366C" w:rsidRDefault="0036366C" w:rsidP="00363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366C">
        <w:rPr>
          <w:rFonts w:ascii="Times New Roman" w:eastAsiaTheme="minorHAnsi" w:hAnsi="Times New Roman" w:cs="Times New Roman"/>
          <w:sz w:val="24"/>
          <w:szCs w:val="24"/>
        </w:rPr>
        <w:t xml:space="preserve">Kaufmann PR, Levine P, Robison EG, </w:t>
      </w:r>
      <w:proofErr w:type="spellStart"/>
      <w:r w:rsidRPr="0036366C">
        <w:rPr>
          <w:rFonts w:ascii="Times New Roman" w:eastAsiaTheme="minorHAnsi" w:hAnsi="Times New Roman" w:cs="Times New Roman"/>
          <w:sz w:val="24"/>
          <w:szCs w:val="24"/>
        </w:rPr>
        <w:t>Seeliger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6366C">
        <w:rPr>
          <w:rFonts w:ascii="Times New Roman" w:eastAsiaTheme="minorHAnsi" w:hAnsi="Times New Roman" w:cs="Times New Roman"/>
          <w:sz w:val="24"/>
          <w:szCs w:val="24"/>
        </w:rPr>
        <w:t>C, Peck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6366C">
        <w:rPr>
          <w:rFonts w:ascii="Times New Roman" w:eastAsiaTheme="minorHAnsi" w:hAnsi="Times New Roman" w:cs="Times New Roman"/>
          <w:sz w:val="24"/>
          <w:szCs w:val="24"/>
        </w:rPr>
        <w:t xml:space="preserve">DV (1999) Quantifying physical habitat in </w:t>
      </w:r>
      <w:proofErr w:type="spellStart"/>
      <w:r w:rsidRPr="0036366C">
        <w:rPr>
          <w:rFonts w:ascii="Times New Roman" w:eastAsiaTheme="minorHAnsi" w:hAnsi="Times New Roman" w:cs="Times New Roman"/>
          <w:sz w:val="24"/>
          <w:szCs w:val="24"/>
        </w:rPr>
        <w:t>wadeable</w:t>
      </w:r>
      <w:proofErr w:type="spellEnd"/>
      <w:r w:rsidRPr="0036366C">
        <w:rPr>
          <w:rFonts w:ascii="Times New Roman" w:eastAsiaTheme="minorHAnsi" w:hAnsi="Times New Roman" w:cs="Times New Roman"/>
          <w:sz w:val="24"/>
          <w:szCs w:val="24"/>
        </w:rPr>
        <w:t xml:space="preserve"> streams. EPA/620/R-99/003. U.S. Environmental Protection Agency, Washington, D. C., USA.</w:t>
      </w:r>
      <w:bookmarkStart w:id="0" w:name="_GoBack"/>
      <w:bookmarkEnd w:id="0"/>
    </w:p>
    <w:p w:rsidR="00A2529F" w:rsidRDefault="00A2529F"/>
    <w:sectPr w:rsidR="00A2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5E44"/>
    <w:multiLevelType w:val="hybridMultilevel"/>
    <w:tmpl w:val="2A4A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6C"/>
    <w:rsid w:val="0036366C"/>
    <w:rsid w:val="00A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6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6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Falke</dc:creator>
  <cp:lastModifiedBy>Jeff Falke</cp:lastModifiedBy>
  <cp:revision>1</cp:revision>
  <dcterms:created xsi:type="dcterms:W3CDTF">2013-04-02T17:13:00Z</dcterms:created>
  <dcterms:modified xsi:type="dcterms:W3CDTF">2013-04-02T17:17:00Z</dcterms:modified>
</cp:coreProperties>
</file>