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52" w:rsidRDefault="00B66852" w:rsidP="00B668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852" w:rsidRDefault="00B66852" w:rsidP="00B668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 wp14:anchorId="3F9BE206" wp14:editId="5A3AE149">
            <wp:extent cx="2538000" cy="1458000"/>
            <wp:effectExtent l="0" t="0" r="15240" b="27940"/>
            <wp:docPr id="1" name="Gra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1FE196F2" wp14:editId="2C688B32">
            <wp:extent cx="2538000" cy="1458000"/>
            <wp:effectExtent l="0" t="0" r="15240" b="27940"/>
            <wp:docPr id="19" name="Grafico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6852" w:rsidRDefault="00B66852" w:rsidP="00B668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 wp14:anchorId="41B0C95E" wp14:editId="3629EA93">
            <wp:extent cx="2538000" cy="1458000"/>
            <wp:effectExtent l="0" t="0" r="15240" b="27940"/>
            <wp:docPr id="20" name="Grafico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0118D190" wp14:editId="302C31B8">
            <wp:extent cx="2538000" cy="1458000"/>
            <wp:effectExtent l="0" t="0" r="15240" b="27940"/>
            <wp:docPr id="21" name="Grafico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6852" w:rsidRDefault="00B66852" w:rsidP="00B668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 wp14:anchorId="2A7C205C" wp14:editId="76F23775">
            <wp:extent cx="2538000" cy="1458000"/>
            <wp:effectExtent l="0" t="0" r="15240" b="27940"/>
            <wp:docPr id="22" name="Grafico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45467761" wp14:editId="3B5EADAA">
            <wp:extent cx="2538000" cy="1458000"/>
            <wp:effectExtent l="0" t="0" r="15240" b="27940"/>
            <wp:docPr id="24" name="Grafico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6852" w:rsidRDefault="00B66852" w:rsidP="00B668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 wp14:anchorId="3A391C0A" wp14:editId="3BF577D6">
            <wp:extent cx="2538000" cy="1458000"/>
            <wp:effectExtent l="0" t="0" r="15240" b="27940"/>
            <wp:docPr id="25" name="Grafico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53031C2A" wp14:editId="395C65C7">
            <wp:extent cx="2538000" cy="1458000"/>
            <wp:effectExtent l="0" t="0" r="15240" b="27940"/>
            <wp:docPr id="26" name="Grafico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6852" w:rsidRDefault="00B66852" w:rsidP="00B668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 wp14:anchorId="28B95A10" wp14:editId="69C0D853">
            <wp:extent cx="2538000" cy="1458000"/>
            <wp:effectExtent l="0" t="0" r="15240" b="27940"/>
            <wp:docPr id="27" name="Grafico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2637D10E" wp14:editId="465BC4F3">
            <wp:extent cx="2538000" cy="1458000"/>
            <wp:effectExtent l="0" t="0" r="15240" b="27940"/>
            <wp:docPr id="28" name="Grafico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6852" w:rsidRDefault="00B66852" w:rsidP="00B668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6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52"/>
    <w:rsid w:val="00693E19"/>
    <w:rsid w:val="00B6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852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85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852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85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efano\Desktop\meta-analysisBQ\BQ-MA%20statistics\FunnelPlot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efano\Desktop\meta-analysisBQ\BQ-MA%20statistics\FunnelPlo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efano\Desktop\meta-analysisBQ\BQ-MA%20statistics\FunnelPlo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efano\Desktop\meta-analysisBQ\BQ-MA%20statistics\FunnelPlo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efano\Desktop\meta-analysisBQ\BQ-MA%20statistics\FunnelPlo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efano\Desktop\meta-analysisBQ\BQ-MA%20statistics\FunnelPlot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efano\Desktop\meta-analysisBQ\BQ-MA%20statistics\FunnelPlot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efano\Desktop\meta-analysisBQ\BQ-MA%20statistics\FunnelPlot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efano\Desktop\meta-analysisBQ\BQ-MA%20statistics\FunnelPlot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efano\Desktop\meta-analysisBQ\BQ-MA%20statistics\Funnel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1/se(lnOR) sm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Foglio1!$A$2:$A$15</c:f>
              <c:numCache>
                <c:formatCode>General</c:formatCode>
                <c:ptCount val="14"/>
                <c:pt idx="0">
                  <c:v>1.7350000000000001</c:v>
                </c:pt>
                <c:pt idx="1">
                  <c:v>0.66400000000000003</c:v>
                </c:pt>
                <c:pt idx="2">
                  <c:v>1.635</c:v>
                </c:pt>
                <c:pt idx="3">
                  <c:v>0.74199999999999999</c:v>
                </c:pt>
                <c:pt idx="4">
                  <c:v>1.18</c:v>
                </c:pt>
                <c:pt idx="5">
                  <c:v>1.5369999999999999</c:v>
                </c:pt>
                <c:pt idx="6">
                  <c:v>2.4359999999999999</c:v>
                </c:pt>
                <c:pt idx="7">
                  <c:v>1.599</c:v>
                </c:pt>
                <c:pt idx="8">
                  <c:v>1.911</c:v>
                </c:pt>
                <c:pt idx="9">
                  <c:v>0.159</c:v>
                </c:pt>
                <c:pt idx="10">
                  <c:v>1.0920000000000001</c:v>
                </c:pt>
                <c:pt idx="11">
                  <c:v>1.2909999999999999</c:v>
                </c:pt>
                <c:pt idx="12">
                  <c:v>1.401</c:v>
                </c:pt>
                <c:pt idx="13">
                  <c:v>0.751</c:v>
                </c:pt>
              </c:numCache>
            </c:numRef>
          </c:xVal>
          <c:yVal>
            <c:numRef>
              <c:f>Foglio1!$B$2:$B$15</c:f>
              <c:numCache>
                <c:formatCode>General</c:formatCode>
                <c:ptCount val="14"/>
                <c:pt idx="0">
                  <c:v>10.87</c:v>
                </c:pt>
                <c:pt idx="1">
                  <c:v>10.065</c:v>
                </c:pt>
                <c:pt idx="2">
                  <c:v>8.1969999999999992</c:v>
                </c:pt>
                <c:pt idx="3">
                  <c:v>0.42499999999999999</c:v>
                </c:pt>
                <c:pt idx="4">
                  <c:v>1.4259999999999999</c:v>
                </c:pt>
                <c:pt idx="5">
                  <c:v>1.786</c:v>
                </c:pt>
                <c:pt idx="6">
                  <c:v>4.9290000000000003</c:v>
                </c:pt>
                <c:pt idx="7">
                  <c:v>1.1240000000000001</c:v>
                </c:pt>
                <c:pt idx="8">
                  <c:v>0.73499999999999999</c:v>
                </c:pt>
                <c:pt idx="9">
                  <c:v>4.0229999999999997</c:v>
                </c:pt>
                <c:pt idx="10">
                  <c:v>36.954000000000001</c:v>
                </c:pt>
                <c:pt idx="11">
                  <c:v>1.5109999999999999</c:v>
                </c:pt>
                <c:pt idx="12">
                  <c:v>0.75900000000000001</c:v>
                </c:pt>
                <c:pt idx="13">
                  <c:v>13.263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987328"/>
        <c:axId val="170589568"/>
      </c:scatterChart>
      <c:valAx>
        <c:axId val="13398732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b="0" i="0" baseline="0"/>
                </a:pPr>
                <a:r>
                  <a:rPr lang="it-IT" b="0" i="0" baseline="0"/>
                  <a:t>lnOR SM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0589568"/>
        <c:crosses val="autoZero"/>
        <c:crossBetween val="midCat"/>
      </c:valAx>
      <c:valAx>
        <c:axId val="17058956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b="0" i="0" baseline="0"/>
                </a:pPr>
                <a:r>
                  <a:rPr lang="it-IT" b="0" i="0" baseline="0"/>
                  <a:t>1/se(lnOR) SM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39873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[FunnelPlots.xlsx]Foglio1!$T$1</c:f>
              <c:strCache>
                <c:ptCount val="1"/>
                <c:pt idx="0">
                  <c:v>1/se(lnOR) sm/dr/bq*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[FunnelPlots.xlsx]Foglio1!$S$2:$S$18</c:f>
              <c:numCache>
                <c:formatCode>General</c:formatCode>
                <c:ptCount val="17"/>
                <c:pt idx="0">
                  <c:v>3.8479999999999999</c:v>
                </c:pt>
                <c:pt idx="1">
                  <c:v>4.3869999999999996</c:v>
                </c:pt>
                <c:pt idx="2">
                  <c:v>3.847</c:v>
                </c:pt>
                <c:pt idx="3">
                  <c:v>2.6389999999999998</c:v>
                </c:pt>
                <c:pt idx="4">
                  <c:v>3.8839999999999999</c:v>
                </c:pt>
                <c:pt idx="5">
                  <c:v>3.68</c:v>
                </c:pt>
                <c:pt idx="6">
                  <c:v>2.6819999999999999</c:v>
                </c:pt>
                <c:pt idx="7">
                  <c:v>3.9079999999999999</c:v>
                </c:pt>
                <c:pt idx="8">
                  <c:v>3.7330000000000001</c:v>
                </c:pt>
                <c:pt idx="9">
                  <c:v>1.5249999999999999</c:v>
                </c:pt>
                <c:pt idx="10">
                  <c:v>3.3860000000000001</c:v>
                </c:pt>
                <c:pt idx="11">
                  <c:v>3.1920000000000002</c:v>
                </c:pt>
                <c:pt idx="12">
                  <c:v>3.4460000000000002</c:v>
                </c:pt>
                <c:pt idx="13">
                  <c:v>2.2749999999999999</c:v>
                </c:pt>
                <c:pt idx="14">
                  <c:v>4.4269999999999996</c:v>
                </c:pt>
                <c:pt idx="15">
                  <c:v>5.5410000000000004</c:v>
                </c:pt>
                <c:pt idx="16">
                  <c:v>4.7910000000000004</c:v>
                </c:pt>
              </c:numCache>
            </c:numRef>
          </c:xVal>
          <c:yVal>
            <c:numRef>
              <c:f>[FunnelPlots.xlsx]Foglio1!$T$2:$T$18</c:f>
              <c:numCache>
                <c:formatCode>General</c:formatCode>
                <c:ptCount val="17"/>
                <c:pt idx="0">
                  <c:v>16.129000000000001</c:v>
                </c:pt>
                <c:pt idx="1">
                  <c:v>16.297000000000001</c:v>
                </c:pt>
                <c:pt idx="2">
                  <c:v>12.821</c:v>
                </c:pt>
                <c:pt idx="3">
                  <c:v>0.159</c:v>
                </c:pt>
                <c:pt idx="4">
                  <c:v>1.94</c:v>
                </c:pt>
                <c:pt idx="5">
                  <c:v>2.8250000000000002</c:v>
                </c:pt>
                <c:pt idx="6">
                  <c:v>4.0190000000000001</c:v>
                </c:pt>
                <c:pt idx="7">
                  <c:v>1.792</c:v>
                </c:pt>
                <c:pt idx="8">
                  <c:v>0.88200000000000001</c:v>
                </c:pt>
                <c:pt idx="9">
                  <c:v>5.359</c:v>
                </c:pt>
                <c:pt idx="10">
                  <c:v>27.655999999999999</c:v>
                </c:pt>
                <c:pt idx="11">
                  <c:v>1.4930000000000001</c:v>
                </c:pt>
                <c:pt idx="12">
                  <c:v>0.65900000000000003</c:v>
                </c:pt>
                <c:pt idx="13">
                  <c:v>4.7770000000000001</c:v>
                </c:pt>
                <c:pt idx="14">
                  <c:v>0.159</c:v>
                </c:pt>
                <c:pt idx="15">
                  <c:v>5.3760000000000003</c:v>
                </c:pt>
                <c:pt idx="16">
                  <c:v>4.7619999999999996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276736"/>
        <c:axId val="126286080"/>
      </c:scatterChart>
      <c:valAx>
        <c:axId val="12627673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b="0"/>
                  <a:t>lnOR SM/DR/BQ adjusted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286080"/>
        <c:crosses val="autoZero"/>
        <c:crossBetween val="midCat"/>
      </c:valAx>
      <c:valAx>
        <c:axId val="12628608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b="0"/>
                  <a:t>1/se(lnOR) SM/DR/BQ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2767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Foglio1!$D$1</c:f>
              <c:strCache>
                <c:ptCount val="1"/>
                <c:pt idx="0">
                  <c:v>1/se(lnOR) dr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Foglio1!$C$2:$C$15</c:f>
              <c:numCache>
                <c:formatCode>General</c:formatCode>
                <c:ptCount val="14"/>
                <c:pt idx="0">
                  <c:v>0.501</c:v>
                </c:pt>
                <c:pt idx="1">
                  <c:v>0.85199999999999998</c:v>
                </c:pt>
                <c:pt idx="2">
                  <c:v>0.28499999999999998</c:v>
                </c:pt>
                <c:pt idx="3">
                  <c:v>1.2529999999999999</c:v>
                </c:pt>
                <c:pt idx="4">
                  <c:v>-4.2999999999999997E-2</c:v>
                </c:pt>
                <c:pt idx="5">
                  <c:v>-5.0999999999999997E-2</c:v>
                </c:pt>
                <c:pt idx="6">
                  <c:v>3.573</c:v>
                </c:pt>
                <c:pt idx="7">
                  <c:v>-0.77700000000000002</c:v>
                </c:pt>
                <c:pt idx="8">
                  <c:v>1.353</c:v>
                </c:pt>
                <c:pt idx="9">
                  <c:v>0.17899999999999999</c:v>
                </c:pt>
                <c:pt idx="10">
                  <c:v>0.94499999999999995</c:v>
                </c:pt>
                <c:pt idx="11">
                  <c:v>-0.39200000000000002</c:v>
                </c:pt>
                <c:pt idx="12">
                  <c:v>0.93600000000000005</c:v>
                </c:pt>
                <c:pt idx="13">
                  <c:v>0.42899999999999999</c:v>
                </c:pt>
              </c:numCache>
            </c:numRef>
          </c:xVal>
          <c:yVal>
            <c:numRef>
              <c:f>Foglio1!$D$2:$D$15</c:f>
              <c:numCache>
                <c:formatCode>General</c:formatCode>
                <c:ptCount val="14"/>
                <c:pt idx="0">
                  <c:v>2.6739999999999999</c:v>
                </c:pt>
                <c:pt idx="1">
                  <c:v>4.4390000000000001</c:v>
                </c:pt>
                <c:pt idx="2">
                  <c:v>1.639</c:v>
                </c:pt>
                <c:pt idx="3">
                  <c:v>0.108</c:v>
                </c:pt>
                <c:pt idx="4">
                  <c:v>0.66600000000000004</c:v>
                </c:pt>
                <c:pt idx="5">
                  <c:v>0.35499999999999998</c:v>
                </c:pt>
                <c:pt idx="6">
                  <c:v>0.85899999999999999</c:v>
                </c:pt>
                <c:pt idx="7">
                  <c:v>0.122</c:v>
                </c:pt>
                <c:pt idx="8">
                  <c:v>0.55200000000000005</c:v>
                </c:pt>
                <c:pt idx="9">
                  <c:v>0.82299999999999995</c:v>
                </c:pt>
                <c:pt idx="10">
                  <c:v>5.9029999999999996</c:v>
                </c:pt>
                <c:pt idx="11">
                  <c:v>0.22900000000000001</c:v>
                </c:pt>
                <c:pt idx="12">
                  <c:v>0.35</c:v>
                </c:pt>
                <c:pt idx="13">
                  <c:v>1.7410000000000001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8457344"/>
        <c:axId val="154862720"/>
      </c:scatterChart>
      <c:valAx>
        <c:axId val="128457344"/>
        <c:scaling>
          <c:orientation val="minMax"/>
          <c:min val="-1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b="0"/>
                  <a:t>lnOR DR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4862720"/>
        <c:crosses val="autoZero"/>
        <c:crossBetween val="midCat"/>
      </c:valAx>
      <c:valAx>
        <c:axId val="15486272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it-IT" b="0"/>
                  <a:t>1/se(lnOR)</a:t>
                </a:r>
                <a:r>
                  <a:rPr lang="it-IT" b="0" baseline="0"/>
                  <a:t> DR</a:t>
                </a:r>
                <a:endParaRPr lang="it-IT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8457344"/>
        <c:crossesAt val="-1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Foglio1!$F$1</c:f>
              <c:strCache>
                <c:ptCount val="1"/>
                <c:pt idx="0">
                  <c:v>1/se(lnOR) bq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Foglio1!$E$2:$E$15</c:f>
              <c:numCache>
                <c:formatCode>General</c:formatCode>
                <c:ptCount val="14"/>
                <c:pt idx="0">
                  <c:v>2.2240000000000002</c:v>
                </c:pt>
                <c:pt idx="1">
                  <c:v>3.4209999999999998</c:v>
                </c:pt>
                <c:pt idx="2">
                  <c:v>2.4809999999999999</c:v>
                </c:pt>
                <c:pt idx="3">
                  <c:v>1.589</c:v>
                </c:pt>
                <c:pt idx="4">
                  <c:v>4.5229999999999997</c:v>
                </c:pt>
                <c:pt idx="5">
                  <c:v>2.395</c:v>
                </c:pt>
                <c:pt idx="6">
                  <c:v>1.6839999999999999</c:v>
                </c:pt>
                <c:pt idx="7">
                  <c:v>2.5510000000000002</c:v>
                </c:pt>
                <c:pt idx="8">
                  <c:v>3.6040000000000001</c:v>
                </c:pt>
                <c:pt idx="9">
                  <c:v>1.474</c:v>
                </c:pt>
                <c:pt idx="10">
                  <c:v>2.3519999999999999</c:v>
                </c:pt>
                <c:pt idx="11">
                  <c:v>2.1970000000000001</c:v>
                </c:pt>
                <c:pt idx="12">
                  <c:v>2.6469999999999998</c:v>
                </c:pt>
                <c:pt idx="13">
                  <c:v>1.5229999999999999</c:v>
                </c:pt>
              </c:numCache>
            </c:numRef>
          </c:xVal>
          <c:yVal>
            <c:numRef>
              <c:f>Foglio1!$F$2:$F$15</c:f>
              <c:numCache>
                <c:formatCode>General</c:formatCode>
                <c:ptCount val="14"/>
                <c:pt idx="0">
                  <c:v>1.34</c:v>
                </c:pt>
                <c:pt idx="1">
                  <c:v>4.327</c:v>
                </c:pt>
                <c:pt idx="2">
                  <c:v>1.2949999999999999</c:v>
                </c:pt>
                <c:pt idx="3">
                  <c:v>0.73399999999999999</c:v>
                </c:pt>
                <c:pt idx="4">
                  <c:v>1.282</c:v>
                </c:pt>
                <c:pt idx="5">
                  <c:v>0.33300000000000002</c:v>
                </c:pt>
                <c:pt idx="6">
                  <c:v>12.836</c:v>
                </c:pt>
                <c:pt idx="7">
                  <c:v>0.22</c:v>
                </c:pt>
                <c:pt idx="8">
                  <c:v>0.36899999999999999</c:v>
                </c:pt>
                <c:pt idx="9">
                  <c:v>3.4670000000000001</c:v>
                </c:pt>
                <c:pt idx="10">
                  <c:v>26.173999999999999</c:v>
                </c:pt>
                <c:pt idx="11">
                  <c:v>2.419</c:v>
                </c:pt>
                <c:pt idx="12">
                  <c:v>1.2470000000000001</c:v>
                </c:pt>
                <c:pt idx="13">
                  <c:v>14.952999999999999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886528"/>
        <c:axId val="154888832"/>
      </c:scatterChart>
      <c:valAx>
        <c:axId val="15488652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it-IT" b="0"/>
                  <a:t>lnOR BQ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4888832"/>
        <c:crosses val="autoZero"/>
        <c:crossBetween val="midCat"/>
      </c:valAx>
      <c:valAx>
        <c:axId val="15488883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it-IT" b="0"/>
                  <a:t>1/se(lnOR)</a:t>
                </a:r>
                <a:r>
                  <a:rPr lang="it-IT" b="0" baseline="0"/>
                  <a:t> BQ</a:t>
                </a:r>
                <a:endParaRPr lang="it-IT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48865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Foglio1!$P$1</c:f>
              <c:strCache>
                <c:ptCount val="1"/>
                <c:pt idx="0">
                  <c:v>1/se/lnOR) bq*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Foglio1!$O$2:$O$17</c:f>
              <c:numCache>
                <c:formatCode>General</c:formatCode>
                <c:ptCount val="16"/>
                <c:pt idx="0">
                  <c:v>2.2240000000000002</c:v>
                </c:pt>
                <c:pt idx="1">
                  <c:v>3.4209999999999998</c:v>
                </c:pt>
                <c:pt idx="2">
                  <c:v>2.4809999999999999</c:v>
                </c:pt>
                <c:pt idx="3">
                  <c:v>1.589</c:v>
                </c:pt>
                <c:pt idx="4">
                  <c:v>4.5229999999999997</c:v>
                </c:pt>
                <c:pt idx="5">
                  <c:v>2.395</c:v>
                </c:pt>
                <c:pt idx="6">
                  <c:v>1.6839999999999999</c:v>
                </c:pt>
                <c:pt idx="7">
                  <c:v>2.5510000000000002</c:v>
                </c:pt>
                <c:pt idx="8">
                  <c:v>3.6040000000000001</c:v>
                </c:pt>
                <c:pt idx="9">
                  <c:v>1.474</c:v>
                </c:pt>
                <c:pt idx="10">
                  <c:v>2.3519999999999999</c:v>
                </c:pt>
                <c:pt idx="11">
                  <c:v>2.1970000000000001</c:v>
                </c:pt>
                <c:pt idx="12">
                  <c:v>2.6469999999999998</c:v>
                </c:pt>
                <c:pt idx="13">
                  <c:v>1.5229999999999999</c:v>
                </c:pt>
                <c:pt idx="14">
                  <c:v>-0.28899999999999998</c:v>
                </c:pt>
                <c:pt idx="15">
                  <c:v>0.63</c:v>
                </c:pt>
              </c:numCache>
            </c:numRef>
          </c:xVal>
          <c:yVal>
            <c:numRef>
              <c:f>Foglio1!$P$2:$P$17</c:f>
              <c:numCache>
                <c:formatCode>General</c:formatCode>
                <c:ptCount val="16"/>
                <c:pt idx="0">
                  <c:v>1.34</c:v>
                </c:pt>
                <c:pt idx="1">
                  <c:v>4.327</c:v>
                </c:pt>
                <c:pt idx="2">
                  <c:v>1.2949999999999999</c:v>
                </c:pt>
                <c:pt idx="3">
                  <c:v>0.73399999999999999</c:v>
                </c:pt>
                <c:pt idx="4">
                  <c:v>1.282</c:v>
                </c:pt>
                <c:pt idx="5">
                  <c:v>0.33300000000000002</c:v>
                </c:pt>
                <c:pt idx="6">
                  <c:v>12.836</c:v>
                </c:pt>
                <c:pt idx="7">
                  <c:v>0.22</c:v>
                </c:pt>
                <c:pt idx="8">
                  <c:v>0.36899999999999999</c:v>
                </c:pt>
                <c:pt idx="9">
                  <c:v>3.4670000000000001</c:v>
                </c:pt>
                <c:pt idx="10">
                  <c:v>26.173999999999999</c:v>
                </c:pt>
                <c:pt idx="11">
                  <c:v>2.419</c:v>
                </c:pt>
                <c:pt idx="12">
                  <c:v>1.2470000000000001</c:v>
                </c:pt>
                <c:pt idx="13">
                  <c:v>14.952999999999999</c:v>
                </c:pt>
                <c:pt idx="14">
                  <c:v>1.282</c:v>
                </c:pt>
                <c:pt idx="15">
                  <c:v>0.36899999999999999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750656"/>
        <c:axId val="165765504"/>
      </c:scatterChart>
      <c:valAx>
        <c:axId val="16575065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it-IT" b="0"/>
                  <a:t>lnOR BQ adjusted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5765504"/>
        <c:crossesAt val="-1"/>
        <c:crossBetween val="midCat"/>
      </c:valAx>
      <c:valAx>
        <c:axId val="16576550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it-IT" b="0"/>
                  <a:t>1/se(lnOR)</a:t>
                </a:r>
                <a:r>
                  <a:rPr lang="it-IT" b="0" baseline="0"/>
                  <a:t> BQ</a:t>
                </a:r>
                <a:endParaRPr lang="it-IT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5750656"/>
        <c:crossesAt val="-2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Foglio1!$H$1</c:f>
              <c:strCache>
                <c:ptCount val="1"/>
                <c:pt idx="0">
                  <c:v>1/se(lnOR) sm/dr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Foglio1!$G$2:$G$15</c:f>
              <c:numCache>
                <c:formatCode>General</c:formatCode>
                <c:ptCount val="14"/>
                <c:pt idx="0">
                  <c:v>2.3010000000000002</c:v>
                </c:pt>
                <c:pt idx="1">
                  <c:v>1.4179999999999999</c:v>
                </c:pt>
                <c:pt idx="2">
                  <c:v>2.2909999999999999</c:v>
                </c:pt>
                <c:pt idx="3">
                  <c:v>1.2529999999999999</c:v>
                </c:pt>
                <c:pt idx="4">
                  <c:v>0.70799999999999996</c:v>
                </c:pt>
                <c:pt idx="5">
                  <c:v>2.2010000000000001</c:v>
                </c:pt>
                <c:pt idx="6">
                  <c:v>2.2509999999999999</c:v>
                </c:pt>
                <c:pt idx="7">
                  <c:v>2.37</c:v>
                </c:pt>
                <c:pt idx="8">
                  <c:v>2.0640000000000001</c:v>
                </c:pt>
                <c:pt idx="9">
                  <c:v>0.94299999999999995</c:v>
                </c:pt>
                <c:pt idx="10">
                  <c:v>2.0419999999999998</c:v>
                </c:pt>
                <c:pt idx="11">
                  <c:v>2.8660000000000001</c:v>
                </c:pt>
                <c:pt idx="12">
                  <c:v>2.1379999999999999</c:v>
                </c:pt>
                <c:pt idx="13">
                  <c:v>0.98299999999999998</c:v>
                </c:pt>
              </c:numCache>
            </c:numRef>
          </c:xVal>
          <c:yVal>
            <c:numRef>
              <c:f>Foglio1!$H$2:$H$15</c:f>
              <c:numCache>
                <c:formatCode>General</c:formatCode>
                <c:ptCount val="14"/>
                <c:pt idx="0">
                  <c:v>10</c:v>
                </c:pt>
                <c:pt idx="1">
                  <c:v>9.4540000000000006</c:v>
                </c:pt>
                <c:pt idx="2">
                  <c:v>8</c:v>
                </c:pt>
                <c:pt idx="3">
                  <c:v>0.108</c:v>
                </c:pt>
                <c:pt idx="4">
                  <c:v>1.331</c:v>
                </c:pt>
                <c:pt idx="5">
                  <c:v>1.8380000000000001</c:v>
                </c:pt>
                <c:pt idx="6">
                  <c:v>1.613</c:v>
                </c:pt>
                <c:pt idx="7">
                  <c:v>1.2470000000000001</c:v>
                </c:pt>
                <c:pt idx="8">
                  <c:v>0.84199999999999997</c:v>
                </c:pt>
                <c:pt idx="9">
                  <c:v>4.78</c:v>
                </c:pt>
                <c:pt idx="10">
                  <c:v>34.274999999999999</c:v>
                </c:pt>
                <c:pt idx="11">
                  <c:v>0.95799999999999996</c:v>
                </c:pt>
                <c:pt idx="12">
                  <c:v>0.28599999999999998</c:v>
                </c:pt>
                <c:pt idx="13">
                  <c:v>10.068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797248"/>
        <c:axId val="166045568"/>
      </c:scatterChart>
      <c:valAx>
        <c:axId val="16579724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it-IT" b="0"/>
                  <a:t>lnOR SM/DR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6045568"/>
        <c:crosses val="autoZero"/>
        <c:crossBetween val="midCat"/>
      </c:valAx>
      <c:valAx>
        <c:axId val="16604556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b="0"/>
                  <a:t>1/se(lnOR) SM/DR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579724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Foglio1!$J$1</c:f>
              <c:strCache>
                <c:ptCount val="1"/>
                <c:pt idx="0">
                  <c:v>1/se(lnOR) sm/bq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Foglio1!$I$2:$I$15</c:f>
              <c:numCache>
                <c:formatCode>General</c:formatCode>
                <c:ptCount val="14"/>
                <c:pt idx="0">
                  <c:v>3.3479999999999999</c:v>
                </c:pt>
                <c:pt idx="1">
                  <c:v>3.855</c:v>
                </c:pt>
                <c:pt idx="2">
                  <c:v>3.2789999999999999</c:v>
                </c:pt>
                <c:pt idx="3">
                  <c:v>1.476</c:v>
                </c:pt>
                <c:pt idx="4">
                  <c:v>3.887</c:v>
                </c:pt>
                <c:pt idx="5">
                  <c:v>3.081</c:v>
                </c:pt>
                <c:pt idx="6">
                  <c:v>1.5089999999999999</c:v>
                </c:pt>
                <c:pt idx="7">
                  <c:v>3.3460000000000001</c:v>
                </c:pt>
                <c:pt idx="8">
                  <c:v>3.4860000000000002</c:v>
                </c:pt>
                <c:pt idx="9">
                  <c:v>1.677</c:v>
                </c:pt>
                <c:pt idx="10">
                  <c:v>2.698</c:v>
                </c:pt>
                <c:pt idx="11">
                  <c:v>2.8439999999999999</c:v>
                </c:pt>
                <c:pt idx="12">
                  <c:v>3.0430000000000001</c:v>
                </c:pt>
                <c:pt idx="13">
                  <c:v>1.4119999999999999</c:v>
                </c:pt>
              </c:numCache>
            </c:numRef>
          </c:xVal>
          <c:yVal>
            <c:numRef>
              <c:f>Foglio1!$J$2:$J$15</c:f>
              <c:numCache>
                <c:formatCode>General</c:formatCode>
                <c:ptCount val="14"/>
                <c:pt idx="0">
                  <c:v>6.7569999999999997</c:v>
                </c:pt>
                <c:pt idx="1">
                  <c:v>12.375999999999999</c:v>
                </c:pt>
                <c:pt idx="2">
                  <c:v>5.2629999999999999</c:v>
                </c:pt>
                <c:pt idx="3">
                  <c:v>0.45800000000000002</c:v>
                </c:pt>
                <c:pt idx="4">
                  <c:v>1.861</c:v>
                </c:pt>
                <c:pt idx="5">
                  <c:v>1.0920000000000001</c:v>
                </c:pt>
                <c:pt idx="6">
                  <c:v>1.698</c:v>
                </c:pt>
                <c:pt idx="7">
                  <c:v>0.76500000000000001</c:v>
                </c:pt>
                <c:pt idx="8">
                  <c:v>0.69899999999999995</c:v>
                </c:pt>
                <c:pt idx="9">
                  <c:v>4.0990000000000002</c:v>
                </c:pt>
                <c:pt idx="10">
                  <c:v>23.952000000000002</c:v>
                </c:pt>
                <c:pt idx="11">
                  <c:v>2.33</c:v>
                </c:pt>
                <c:pt idx="12">
                  <c:v>1.0920000000000001</c:v>
                </c:pt>
                <c:pt idx="13">
                  <c:v>12.714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093952"/>
        <c:axId val="166096256"/>
      </c:scatterChart>
      <c:valAx>
        <c:axId val="16609395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b="0"/>
                  <a:t>lnOR SM/BQ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6096256"/>
        <c:crosses val="autoZero"/>
        <c:crossBetween val="midCat"/>
      </c:valAx>
      <c:valAx>
        <c:axId val="16609625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b="0"/>
                  <a:t>1/se(lnOR) SM/BQ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609395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Foglio1!$R$1</c:f>
              <c:strCache>
                <c:ptCount val="1"/>
                <c:pt idx="0">
                  <c:v>1/se(lnOR) sm/bq*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Foglio1!$Q$2:$Q$17</c:f>
              <c:numCache>
                <c:formatCode>General</c:formatCode>
                <c:ptCount val="16"/>
                <c:pt idx="0">
                  <c:v>3.3479999999999999</c:v>
                </c:pt>
                <c:pt idx="1">
                  <c:v>3.855</c:v>
                </c:pt>
                <c:pt idx="2">
                  <c:v>3.2789999999999999</c:v>
                </c:pt>
                <c:pt idx="3">
                  <c:v>1.476</c:v>
                </c:pt>
                <c:pt idx="4">
                  <c:v>3.887</c:v>
                </c:pt>
                <c:pt idx="5">
                  <c:v>3.081</c:v>
                </c:pt>
                <c:pt idx="6">
                  <c:v>1.5089999999999999</c:v>
                </c:pt>
                <c:pt idx="7">
                  <c:v>3.3460000000000001</c:v>
                </c:pt>
                <c:pt idx="8">
                  <c:v>3.4860000000000002</c:v>
                </c:pt>
                <c:pt idx="9">
                  <c:v>1.677</c:v>
                </c:pt>
                <c:pt idx="10">
                  <c:v>2.698</c:v>
                </c:pt>
                <c:pt idx="11">
                  <c:v>2.8439999999999999</c:v>
                </c:pt>
                <c:pt idx="12">
                  <c:v>3.0430000000000001</c:v>
                </c:pt>
                <c:pt idx="13">
                  <c:v>1.4119999999999999</c:v>
                </c:pt>
                <c:pt idx="14">
                  <c:v>4.0019999999999998</c:v>
                </c:pt>
                <c:pt idx="15">
                  <c:v>3.9689999999999999</c:v>
                </c:pt>
              </c:numCache>
            </c:numRef>
          </c:xVal>
          <c:yVal>
            <c:numRef>
              <c:f>Foglio1!$R$2:$R$17</c:f>
              <c:numCache>
                <c:formatCode>General</c:formatCode>
                <c:ptCount val="16"/>
                <c:pt idx="0">
                  <c:v>6.7569999999999997</c:v>
                </c:pt>
                <c:pt idx="1">
                  <c:v>12.375999999999999</c:v>
                </c:pt>
                <c:pt idx="2">
                  <c:v>5.2629999999999999</c:v>
                </c:pt>
                <c:pt idx="3">
                  <c:v>0.45800000000000002</c:v>
                </c:pt>
                <c:pt idx="4">
                  <c:v>1.861</c:v>
                </c:pt>
                <c:pt idx="5">
                  <c:v>1.0920000000000001</c:v>
                </c:pt>
                <c:pt idx="6">
                  <c:v>1.698</c:v>
                </c:pt>
                <c:pt idx="7">
                  <c:v>0.76500000000000001</c:v>
                </c:pt>
                <c:pt idx="8">
                  <c:v>0.69899999999999995</c:v>
                </c:pt>
                <c:pt idx="9">
                  <c:v>4.0990000000000002</c:v>
                </c:pt>
                <c:pt idx="10">
                  <c:v>23.952000000000002</c:v>
                </c:pt>
                <c:pt idx="11">
                  <c:v>2.33</c:v>
                </c:pt>
                <c:pt idx="12">
                  <c:v>1.0920000000000001</c:v>
                </c:pt>
                <c:pt idx="13">
                  <c:v>12.714</c:v>
                </c:pt>
                <c:pt idx="14">
                  <c:v>0.45700000000000002</c:v>
                </c:pt>
                <c:pt idx="15">
                  <c:v>1.6950000000000001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132352"/>
        <c:axId val="126223488"/>
      </c:scatterChart>
      <c:valAx>
        <c:axId val="16613235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b="0"/>
                  <a:t>lnOR SM/BQ</a:t>
                </a:r>
                <a:r>
                  <a:rPr lang="it-IT" b="0" baseline="0"/>
                  <a:t> adjusted</a:t>
                </a:r>
                <a:endParaRPr lang="it-IT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223488"/>
        <c:crosses val="autoZero"/>
        <c:crossBetween val="midCat"/>
      </c:valAx>
      <c:valAx>
        <c:axId val="12622348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b="0"/>
                  <a:t>1/se(lnOR) SM/BQ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613235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Foglio1!$L$1</c:f>
              <c:strCache>
                <c:ptCount val="1"/>
                <c:pt idx="0">
                  <c:v>1/se(lnOR) dr/bq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Foglio1!$K$2:$K$15</c:f>
              <c:numCache>
                <c:formatCode>General</c:formatCode>
                <c:ptCount val="14"/>
                <c:pt idx="0">
                  <c:v>3.0169999999999999</c:v>
                </c:pt>
                <c:pt idx="1">
                  <c:v>4.34</c:v>
                </c:pt>
                <c:pt idx="2">
                  <c:v>3.0840000000000001</c:v>
                </c:pt>
                <c:pt idx="3">
                  <c:v>-0.82699999999999996</c:v>
                </c:pt>
                <c:pt idx="4">
                  <c:v>3.5129999999999999</c:v>
                </c:pt>
                <c:pt idx="5">
                  <c:v>2.778</c:v>
                </c:pt>
                <c:pt idx="6">
                  <c:v>1.982</c:v>
                </c:pt>
                <c:pt idx="7">
                  <c:v>2.641</c:v>
                </c:pt>
                <c:pt idx="8">
                  <c:v>3.6040000000000001</c:v>
                </c:pt>
                <c:pt idx="9">
                  <c:v>1.7370000000000001</c:v>
                </c:pt>
                <c:pt idx="10">
                  <c:v>0.56799999999999995</c:v>
                </c:pt>
                <c:pt idx="11">
                  <c:v>3.0630000000000002</c:v>
                </c:pt>
                <c:pt idx="12">
                  <c:v>2.9980000000000002</c:v>
                </c:pt>
                <c:pt idx="13">
                  <c:v>1.323</c:v>
                </c:pt>
              </c:numCache>
            </c:numRef>
          </c:xVal>
          <c:yVal>
            <c:numRef>
              <c:f>Foglio1!$L$2:$L$15</c:f>
              <c:numCache>
                <c:formatCode>General</c:formatCode>
                <c:ptCount val="14"/>
                <c:pt idx="0">
                  <c:v>2.3039999999999998</c:v>
                </c:pt>
                <c:pt idx="1">
                  <c:v>3.82</c:v>
                </c:pt>
                <c:pt idx="2">
                  <c:v>1.923</c:v>
                </c:pt>
                <c:pt idx="3">
                  <c:v>0.17299999999999999</c:v>
                </c:pt>
                <c:pt idx="4">
                  <c:v>1.179</c:v>
                </c:pt>
                <c:pt idx="5">
                  <c:v>0.41199999999999998</c:v>
                </c:pt>
                <c:pt idx="6">
                  <c:v>1.7589999999999999</c:v>
                </c:pt>
                <c:pt idx="7">
                  <c:v>0.214</c:v>
                </c:pt>
                <c:pt idx="8">
                  <c:v>0.36899999999999999</c:v>
                </c:pt>
                <c:pt idx="9">
                  <c:v>3.665</c:v>
                </c:pt>
                <c:pt idx="10">
                  <c:v>2.5009999999999999</c:v>
                </c:pt>
                <c:pt idx="11">
                  <c:v>1.91</c:v>
                </c:pt>
                <c:pt idx="12">
                  <c:v>0.80900000000000005</c:v>
                </c:pt>
                <c:pt idx="13">
                  <c:v>6.5350000000000001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251392"/>
        <c:axId val="126253696"/>
      </c:scatterChart>
      <c:valAx>
        <c:axId val="126251392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b="0"/>
                  <a:t>lnOR</a:t>
                </a:r>
                <a:r>
                  <a:rPr lang="it-IT" b="0" baseline="0"/>
                  <a:t> DR/BQ</a:t>
                </a:r>
                <a:endParaRPr lang="it-IT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253696"/>
        <c:crossesAt val="-2"/>
        <c:crossBetween val="midCat"/>
      </c:valAx>
      <c:valAx>
        <c:axId val="12625369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b="0"/>
                  <a:t>1/se(lnOR) DR/BQ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251392"/>
        <c:crossesAt val="-2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Foglio1!$N$1</c:f>
              <c:strCache>
                <c:ptCount val="1"/>
                <c:pt idx="0">
                  <c:v>1/se(lnOR) sm/dr/bq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</c:spPr>
          </c:marker>
          <c:xVal>
            <c:numRef>
              <c:f>Foglio1!$M$2:$M$15</c:f>
              <c:numCache>
                <c:formatCode>General</c:formatCode>
                <c:ptCount val="14"/>
                <c:pt idx="0">
                  <c:v>3.8479999999999999</c:v>
                </c:pt>
                <c:pt idx="1">
                  <c:v>4.3869999999999996</c:v>
                </c:pt>
                <c:pt idx="2">
                  <c:v>3.847</c:v>
                </c:pt>
                <c:pt idx="3">
                  <c:v>2.6389999999999998</c:v>
                </c:pt>
                <c:pt idx="4">
                  <c:v>3.8839999999999999</c:v>
                </c:pt>
                <c:pt idx="5">
                  <c:v>3.68</c:v>
                </c:pt>
                <c:pt idx="6">
                  <c:v>2.6819999999999999</c:v>
                </c:pt>
                <c:pt idx="7">
                  <c:v>3.9079999999999999</c:v>
                </c:pt>
                <c:pt idx="8">
                  <c:v>3.7330000000000001</c:v>
                </c:pt>
                <c:pt idx="9">
                  <c:v>1.5249999999999999</c:v>
                </c:pt>
                <c:pt idx="10">
                  <c:v>3.3860000000000001</c:v>
                </c:pt>
                <c:pt idx="11">
                  <c:v>3.1920000000000002</c:v>
                </c:pt>
                <c:pt idx="12">
                  <c:v>3.4460000000000002</c:v>
                </c:pt>
                <c:pt idx="13">
                  <c:v>2.2749999999999999</c:v>
                </c:pt>
              </c:numCache>
            </c:numRef>
          </c:xVal>
          <c:yVal>
            <c:numRef>
              <c:f>Foglio1!$N$2:$N$15</c:f>
              <c:numCache>
                <c:formatCode>General</c:formatCode>
                <c:ptCount val="14"/>
                <c:pt idx="0">
                  <c:v>16.129000000000001</c:v>
                </c:pt>
                <c:pt idx="1">
                  <c:v>16.297000000000001</c:v>
                </c:pt>
                <c:pt idx="2">
                  <c:v>12.821</c:v>
                </c:pt>
                <c:pt idx="3">
                  <c:v>0.159</c:v>
                </c:pt>
                <c:pt idx="4">
                  <c:v>1.94</c:v>
                </c:pt>
                <c:pt idx="5">
                  <c:v>2.8250000000000002</c:v>
                </c:pt>
                <c:pt idx="6">
                  <c:v>4.0190000000000001</c:v>
                </c:pt>
                <c:pt idx="7">
                  <c:v>1.792</c:v>
                </c:pt>
                <c:pt idx="8">
                  <c:v>0.88200000000000001</c:v>
                </c:pt>
                <c:pt idx="9">
                  <c:v>5.359</c:v>
                </c:pt>
                <c:pt idx="10">
                  <c:v>27.655999999999999</c:v>
                </c:pt>
                <c:pt idx="11">
                  <c:v>1.4930000000000001</c:v>
                </c:pt>
                <c:pt idx="12">
                  <c:v>0.65900000000000003</c:v>
                </c:pt>
                <c:pt idx="13">
                  <c:v>4.7770000000000001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265216"/>
        <c:axId val="126271872"/>
      </c:scatterChart>
      <c:valAx>
        <c:axId val="12626521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b="0"/>
                  <a:t>lnOR SM/DR/BQ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271872"/>
        <c:crosses val="autoZero"/>
        <c:crossBetween val="midCat"/>
      </c:valAx>
      <c:valAx>
        <c:axId val="12627187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 b="0"/>
                  <a:t>1/se(lnOR) SM/DR/BQ</a:t>
                </a:r>
              </a:p>
            </c:rich>
          </c:tx>
          <c:layout>
            <c:manualLayout>
              <c:xMode val="edge"/>
              <c:yMode val="edge"/>
              <c:x val="3.007518796992481E-2"/>
              <c:y val="0.195664490109468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626521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2013-09-29T10:22:00Z</dcterms:created>
  <dcterms:modified xsi:type="dcterms:W3CDTF">2013-09-29T10:22:00Z</dcterms:modified>
</cp:coreProperties>
</file>