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54" w:rsidRDefault="00841054" w:rsidP="00841054">
      <w:pPr>
        <w:jc w:val="center"/>
        <w:rPr>
          <w:b/>
        </w:rPr>
      </w:pPr>
      <w:r>
        <w:rPr>
          <w:b/>
        </w:rPr>
        <w:t xml:space="preserve">Table S2: Single SNP associations with ischemic stroke subtypes in the familial Caucasian series under an additive model </w:t>
      </w:r>
    </w:p>
    <w:p w:rsidR="00841054" w:rsidRDefault="00841054" w:rsidP="00841054">
      <w:pPr>
        <w:jc w:val="center"/>
        <w:rPr>
          <w:b/>
        </w:rPr>
      </w:pPr>
    </w:p>
    <w:tbl>
      <w:tblPr>
        <w:tblW w:w="5000" w:type="pct"/>
        <w:tblLook w:val="01C0" w:firstRow="0" w:lastRow="1" w:firstColumn="1" w:lastColumn="1" w:noHBand="0" w:noVBand="0"/>
      </w:tblPr>
      <w:tblGrid>
        <w:gridCol w:w="1263"/>
        <w:gridCol w:w="941"/>
        <w:gridCol w:w="577"/>
        <w:gridCol w:w="735"/>
        <w:gridCol w:w="2424"/>
        <w:gridCol w:w="796"/>
        <w:gridCol w:w="2332"/>
        <w:gridCol w:w="880"/>
        <w:gridCol w:w="2456"/>
        <w:gridCol w:w="772"/>
      </w:tblGrid>
      <w:tr w:rsidR="00841054" w:rsidRPr="00ED0E9E" w:rsidTr="00D866C0">
        <w:tc>
          <w:tcPr>
            <w:tcW w:w="47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 xml:space="preserve">Association with </w:t>
            </w:r>
            <w:proofErr w:type="spellStart"/>
            <w:r w:rsidRPr="00844ABB">
              <w:rPr>
                <w:sz w:val="20"/>
                <w:szCs w:val="20"/>
              </w:rPr>
              <w:t>cardioembolic</w:t>
            </w:r>
            <w:proofErr w:type="spellEnd"/>
            <w:r w:rsidRPr="00844ABB">
              <w:rPr>
                <w:sz w:val="20"/>
                <w:szCs w:val="20"/>
              </w:rPr>
              <w:t xml:space="preserve"> stroke (32 patients, 654 controls)</w:t>
            </w:r>
          </w:p>
        </w:tc>
        <w:tc>
          <w:tcPr>
            <w:tcW w:w="1219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Association with large vessel stroke (63 patients, 654 controls)</w:t>
            </w:r>
          </w:p>
        </w:tc>
        <w:tc>
          <w:tcPr>
            <w:tcW w:w="1225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Association with small vessel stroke (80 patients, 654 controls)</w:t>
            </w:r>
          </w:p>
        </w:tc>
      </w:tr>
      <w:tr w:rsidR="00841054" w:rsidRPr="00ED0E9E" w:rsidTr="00D866C0">
        <w:tc>
          <w:tcPr>
            <w:tcW w:w="47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SNP</w:t>
            </w:r>
          </w:p>
        </w:tc>
        <w:tc>
          <w:tcPr>
            <w:tcW w:w="35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Amino Acid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MA</w:t>
            </w:r>
          </w:p>
        </w:tc>
        <w:tc>
          <w:tcPr>
            <w:tcW w:w="27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MAF</w:t>
            </w:r>
          </w:p>
        </w:tc>
        <w:tc>
          <w:tcPr>
            <w:tcW w:w="920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OR (95% CI)</w:t>
            </w:r>
          </w:p>
        </w:tc>
        <w:tc>
          <w:tcPr>
            <w:tcW w:w="302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P-value</w:t>
            </w:r>
          </w:p>
        </w:tc>
        <w:tc>
          <w:tcPr>
            <w:tcW w:w="88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OR (95% CI)</w:t>
            </w:r>
          </w:p>
        </w:tc>
        <w:tc>
          <w:tcPr>
            <w:tcW w:w="33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P-value</w:t>
            </w:r>
          </w:p>
        </w:tc>
        <w:tc>
          <w:tcPr>
            <w:tcW w:w="932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OR (95% CI)</w:t>
            </w:r>
          </w:p>
        </w:tc>
        <w:tc>
          <w:tcPr>
            <w:tcW w:w="29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P-value</w:t>
            </w:r>
          </w:p>
        </w:tc>
      </w:tr>
      <w:tr w:rsidR="00841054" w:rsidTr="00D866C0">
        <w:tc>
          <w:tcPr>
            <w:tcW w:w="479" w:type="pct"/>
            <w:tcBorders>
              <w:top w:val="single" w:sz="12" w:space="0" w:color="000000"/>
            </w:tcBorders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 xml:space="preserve"> rs3815188  </w:t>
            </w:r>
          </w:p>
        </w:tc>
        <w:tc>
          <w:tcPr>
            <w:tcW w:w="357" w:type="pct"/>
            <w:tcBorders>
              <w:top w:val="single" w:sz="12" w:space="0" w:color="000000"/>
            </w:tcBorders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T101T</w:t>
            </w:r>
          </w:p>
        </w:tc>
        <w:tc>
          <w:tcPr>
            <w:tcW w:w="219" w:type="pct"/>
            <w:tcBorders>
              <w:top w:val="single" w:sz="12" w:space="0" w:color="000000"/>
            </w:tcBorders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A</w:t>
            </w:r>
          </w:p>
        </w:tc>
        <w:tc>
          <w:tcPr>
            <w:tcW w:w="279" w:type="pct"/>
            <w:tcBorders>
              <w:top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16.8%</w:t>
            </w:r>
          </w:p>
        </w:tc>
        <w:tc>
          <w:tcPr>
            <w:tcW w:w="920" w:type="pct"/>
            <w:tcBorders>
              <w:top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1.22 (0.60, 2.5)</w:t>
            </w:r>
          </w:p>
        </w:tc>
        <w:tc>
          <w:tcPr>
            <w:tcW w:w="302" w:type="pct"/>
            <w:tcBorders>
              <w:top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0.59</w:t>
            </w:r>
          </w:p>
        </w:tc>
        <w:tc>
          <w:tcPr>
            <w:tcW w:w="885" w:type="pct"/>
            <w:tcBorders>
              <w:top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1.20 (0.72, 1.99)</w:t>
            </w:r>
          </w:p>
        </w:tc>
        <w:tc>
          <w:tcPr>
            <w:tcW w:w="334" w:type="pct"/>
            <w:tcBorders>
              <w:top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0.49</w:t>
            </w:r>
          </w:p>
        </w:tc>
        <w:tc>
          <w:tcPr>
            <w:tcW w:w="932" w:type="pct"/>
            <w:tcBorders>
              <w:top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2.00 (1.34, 3.00)</w:t>
            </w:r>
          </w:p>
        </w:tc>
        <w:tc>
          <w:tcPr>
            <w:tcW w:w="293" w:type="pct"/>
            <w:tcBorders>
              <w:top w:val="single" w:sz="12" w:space="0" w:color="000000"/>
            </w:tcBorders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0.0007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rs1043994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A202A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T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12.7%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1.05 (0.54, 2.02)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0.89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1.26 (0.80, 1.98)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0.32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0.54 (0.30, 0.95)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0.034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6A1C83" w:rsidRDefault="00841054" w:rsidP="00D86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rs61749020</w:t>
            </w:r>
          </w:p>
        </w:tc>
        <w:tc>
          <w:tcPr>
            <w:tcW w:w="357" w:type="pct"/>
            <w:vAlign w:val="center"/>
          </w:tcPr>
          <w:p w:rsidR="00841054" w:rsidRPr="006A1C83" w:rsidRDefault="00841054" w:rsidP="00D866C0">
            <w:pPr>
              <w:jc w:val="center"/>
              <w:rPr>
                <w:color w:val="000000"/>
                <w:sz w:val="20"/>
                <w:szCs w:val="20"/>
              </w:rPr>
            </w:pPr>
            <w:r w:rsidRPr="002C29A7">
              <w:rPr>
                <w:color w:val="000000"/>
                <w:sz w:val="20"/>
                <w:szCs w:val="20"/>
              </w:rPr>
              <w:t>P380P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 (0.02, 1.34)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0.094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(0.38, 2.27)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rs11670799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P496L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T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1.7%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N/A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N/A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0.32 (0.04, 2.45)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0.27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0.51 (0.12, 2.21)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0.37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rs1043996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C846C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44ABB">
              <w:rPr>
                <w:sz w:val="20"/>
                <w:szCs w:val="20"/>
              </w:rPr>
              <w:t>G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31.7%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1.03 (0.61, 1.75)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0.91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1.25 (0.86, 1.81)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0.24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1.21 (0.86, 1.69)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0.27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rs1043997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P914P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T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15.0%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0.79 (0.39, 1.59)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0.51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1.17 (0.76, 1.81)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0.47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0.61 (0.37, 1.02)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0.057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rs35769976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A1020P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G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2.2%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0.62 (0.10, 4.01)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0.62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0.34 (0.05, 2.26)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0.26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1.33 (0.58, 3.02)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0.50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rs112197217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H1133Q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T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1.1%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N/A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N/A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1.64 (0.35, 7.68)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0.53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2.00 (0.54, 7.46)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0.30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rs10408676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V1183M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T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1.6%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0.81 (0.12, 5.47)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0.83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N/A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N/A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1.21 (0.43, 3.37)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0.72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rs1044006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P1521P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T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9.9%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0.63 (0.26, 1.56)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0.32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0.99 (0.57, 1.70)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0.97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0.61 (0.33, 1.11)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0.10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rs78501403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R1560P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G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3.7%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N/A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N/A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0.30 (0.07, 1.26)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0.10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0.25 (0.06, 1.07)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0.062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rs16980398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A1842A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G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2.1%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0.71 (0.12, 4.23)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0.71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0.41 (0.07, 2.48)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0.33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1.41 (0.64, 3.13)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0.40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333333"/>
                <w:sz w:val="20"/>
                <w:szCs w:val="20"/>
              </w:rPr>
              <w:t>rs115582213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V1952M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T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1.3%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0.95 (0.12, 7.44)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0.96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0.92 (0.21, 4.13)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0.92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N/A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N/A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rs1044008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A2146A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T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4.6%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1.44 (0.51, 4.11)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0.49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0.53 (0.16, 1.72)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0.29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1.74 (0.91, 3.34)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0.093</w:t>
            </w:r>
          </w:p>
        </w:tc>
      </w:tr>
      <w:tr w:rsidR="00841054" w:rsidTr="00D866C0">
        <w:tc>
          <w:tcPr>
            <w:tcW w:w="479" w:type="pct"/>
            <w:vAlign w:val="center"/>
          </w:tcPr>
          <w:p w:rsidR="00841054" w:rsidRPr="004E13EF" w:rsidRDefault="00841054" w:rsidP="00D866C0">
            <w:pPr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rs1044009</w:t>
            </w:r>
          </w:p>
        </w:tc>
        <w:tc>
          <w:tcPr>
            <w:tcW w:w="357" w:type="pct"/>
            <w:vAlign w:val="center"/>
          </w:tcPr>
          <w:p w:rsidR="00841054" w:rsidRPr="004E13EF" w:rsidRDefault="00841054" w:rsidP="00D866C0">
            <w:pPr>
              <w:jc w:val="center"/>
              <w:rPr>
                <w:b/>
                <w:sz w:val="20"/>
                <w:szCs w:val="20"/>
              </w:rPr>
            </w:pPr>
            <w:r w:rsidRPr="004E13EF">
              <w:rPr>
                <w:color w:val="000000"/>
                <w:sz w:val="20"/>
                <w:szCs w:val="20"/>
              </w:rPr>
              <w:t>A2223V</w:t>
            </w:r>
          </w:p>
        </w:tc>
        <w:tc>
          <w:tcPr>
            <w:tcW w:w="219" w:type="pct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C</w:t>
            </w:r>
          </w:p>
        </w:tc>
        <w:tc>
          <w:tcPr>
            <w:tcW w:w="279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23.7%</w:t>
            </w:r>
          </w:p>
        </w:tc>
        <w:tc>
          <w:tcPr>
            <w:tcW w:w="920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0.97 (0.54, 1.75)</w:t>
            </w:r>
          </w:p>
        </w:tc>
        <w:tc>
          <w:tcPr>
            <w:tcW w:w="30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0.93</w:t>
            </w:r>
          </w:p>
        </w:tc>
        <w:tc>
          <w:tcPr>
            <w:tcW w:w="885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1.15 (0.76, 1.73)</w:t>
            </w:r>
          </w:p>
        </w:tc>
        <w:tc>
          <w:tcPr>
            <w:tcW w:w="334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0.52</w:t>
            </w:r>
          </w:p>
        </w:tc>
        <w:tc>
          <w:tcPr>
            <w:tcW w:w="932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1.40 (0.98, 2.00)</w:t>
            </w:r>
          </w:p>
        </w:tc>
        <w:tc>
          <w:tcPr>
            <w:tcW w:w="293" w:type="pct"/>
            <w:vAlign w:val="center"/>
          </w:tcPr>
          <w:p w:rsidR="00841054" w:rsidRPr="00844ABB" w:rsidRDefault="00841054" w:rsidP="00D866C0">
            <w:pPr>
              <w:jc w:val="center"/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>0.066</w:t>
            </w:r>
          </w:p>
        </w:tc>
      </w:tr>
      <w:tr w:rsidR="00841054" w:rsidTr="00D866C0"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841054" w:rsidRPr="00844ABB" w:rsidRDefault="00841054" w:rsidP="00D866C0">
            <w:pPr>
              <w:rPr>
                <w:sz w:val="20"/>
                <w:szCs w:val="20"/>
              </w:rPr>
            </w:pPr>
            <w:r w:rsidRPr="00844ABB">
              <w:rPr>
                <w:sz w:val="20"/>
                <w:szCs w:val="20"/>
              </w:rPr>
              <w:t xml:space="preserve">ORs and p-values result from logistic regression models adjusted for age and gender. N/A indicates a </w:t>
            </w:r>
            <w:proofErr w:type="gramStart"/>
            <w:r w:rsidRPr="00844ABB">
              <w:rPr>
                <w:sz w:val="20"/>
                <w:szCs w:val="20"/>
              </w:rPr>
              <w:t>SNP</w:t>
            </w:r>
            <w:proofErr w:type="gramEnd"/>
            <w:r w:rsidRPr="00844ABB">
              <w:rPr>
                <w:sz w:val="20"/>
                <w:szCs w:val="20"/>
              </w:rPr>
              <w:t xml:space="preserve"> for which there were either no stroke patients (of the given subtype) or controls with a copy of the minor allele, making logistic regression analysis impossible. ORs correspond to an additional minor allele. SNP=single nucleotide polymorphism. MA=minor allele. MAF=minor allele frequency. OR=odds ratio. CI=confidence interval. </w:t>
            </w:r>
          </w:p>
        </w:tc>
      </w:tr>
    </w:tbl>
    <w:p w:rsidR="00841054" w:rsidRDefault="00841054" w:rsidP="00841054"/>
    <w:p w:rsidR="00841054" w:rsidRDefault="00841054" w:rsidP="00841054"/>
    <w:p w:rsidR="00841054" w:rsidRDefault="00841054" w:rsidP="00841054"/>
    <w:p w:rsidR="0087634C" w:rsidRDefault="0087634C">
      <w:bookmarkStart w:id="0" w:name="_GoBack"/>
      <w:bookmarkEnd w:id="0"/>
    </w:p>
    <w:sectPr w:rsidR="0087634C" w:rsidSect="008410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4"/>
    <w:rsid w:val="00841054"/>
    <w:rsid w:val="008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A Ross</dc:creator>
  <cp:lastModifiedBy>Owen A Ross</cp:lastModifiedBy>
  <cp:revision>1</cp:revision>
  <dcterms:created xsi:type="dcterms:W3CDTF">2013-09-09T14:58:00Z</dcterms:created>
  <dcterms:modified xsi:type="dcterms:W3CDTF">2013-09-09T14:59:00Z</dcterms:modified>
</cp:coreProperties>
</file>