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39" w:rsidRDefault="008B1B39" w:rsidP="008B1B39">
      <w:pPr>
        <w:keepNext/>
        <w:spacing w:after="120"/>
        <w:rPr>
          <w:szCs w:val="22"/>
        </w:rPr>
      </w:pPr>
      <w:r w:rsidRPr="00DC0D84">
        <w:rPr>
          <w:szCs w:val="22"/>
        </w:rPr>
        <w:t>Tab</w:t>
      </w:r>
      <w:r>
        <w:rPr>
          <w:szCs w:val="22"/>
        </w:rPr>
        <w:t>le S2. CDAI “Near Remission” Responses at Week 12 Based on Different CDAI Thresholds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756"/>
        <w:gridCol w:w="1842"/>
        <w:gridCol w:w="1758"/>
        <w:gridCol w:w="1691"/>
      </w:tblGrid>
      <w:tr w:rsidR="008B1B39" w:rsidRPr="007854B3" w:rsidTr="00F66D91">
        <w:tc>
          <w:tcPr>
            <w:tcW w:w="1320" w:type="pct"/>
            <w:shd w:val="clear" w:color="auto" w:fill="auto"/>
          </w:tcPr>
          <w:p w:rsidR="008B1B39" w:rsidRPr="00DC0D84" w:rsidRDefault="008B1B39" w:rsidP="00F66D91">
            <w:pPr>
              <w:keepNext/>
              <w:spacing w:after="120"/>
              <w:rPr>
                <w:b/>
                <w:sz w:val="22"/>
                <w:szCs w:val="22"/>
              </w:rPr>
            </w:pPr>
            <w:r w:rsidRPr="00DC0D84">
              <w:rPr>
                <w:b/>
                <w:sz w:val="22"/>
                <w:szCs w:val="22"/>
              </w:rPr>
              <w:t>Week 12 CDAI Thresholds for Response</w:t>
            </w:r>
          </w:p>
        </w:tc>
        <w:tc>
          <w:tcPr>
            <w:tcW w:w="917" w:type="pct"/>
            <w:shd w:val="clear" w:color="auto" w:fill="auto"/>
            <w:vAlign w:val="bottom"/>
          </w:tcPr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Placebo</w:t>
            </w:r>
          </w:p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144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62" w:type="pct"/>
            <w:shd w:val="clear" w:color="auto" w:fill="auto"/>
            <w:vAlign w:val="bottom"/>
          </w:tcPr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250 mg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q.d</w:t>
            </w:r>
            <w:proofErr w:type="spellEnd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 CCX282-B</w:t>
            </w:r>
          </w:p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98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250 mg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b.i.d</w:t>
            </w:r>
            <w:proofErr w:type="spellEnd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 CCX282-B</w:t>
            </w:r>
          </w:p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96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500 mg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q.d</w:t>
            </w:r>
            <w:proofErr w:type="spellEnd"/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 CCX282-B</w:t>
            </w:r>
          </w:p>
          <w:p w:rsidR="008B1B39" w:rsidRPr="007854B3" w:rsidRDefault="008B1B39" w:rsidP="00F66D91">
            <w:pPr>
              <w:pStyle w:val="tabletextNS"/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97</w:t>
            </w:r>
            <w:r w:rsidRPr="007854B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8B1B39" w:rsidRPr="007854B3" w:rsidTr="00F66D91">
        <w:tc>
          <w:tcPr>
            <w:tcW w:w="1320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CDAI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155 </w:t>
            </w:r>
          </w:p>
        </w:tc>
        <w:tc>
          <w:tcPr>
            <w:tcW w:w="917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27.1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62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25.5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18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26.0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883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(32.0%)</w:t>
            </w:r>
          </w:p>
        </w:tc>
      </w:tr>
      <w:tr w:rsidR="008B1B39" w:rsidRPr="007854B3" w:rsidTr="00F66D91">
        <w:tc>
          <w:tcPr>
            <w:tcW w:w="1320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CDAI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160</w:t>
            </w:r>
          </w:p>
        </w:tc>
        <w:tc>
          <w:tcPr>
            <w:tcW w:w="917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28.5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62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25.5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18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26.0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883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35.1</w:t>
            </w:r>
            <w:r w:rsidRPr="007854B3">
              <w:rPr>
                <w:sz w:val="22"/>
                <w:szCs w:val="22"/>
              </w:rPr>
              <w:t>%)</w:t>
            </w:r>
          </w:p>
        </w:tc>
      </w:tr>
      <w:tr w:rsidR="008B1B39" w:rsidRPr="007854B3" w:rsidTr="00F66D91">
        <w:tc>
          <w:tcPr>
            <w:tcW w:w="1320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CDAI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917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28.5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62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25.5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18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26.0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883" w:type="pct"/>
            <w:shd w:val="clear" w:color="auto" w:fill="auto"/>
          </w:tcPr>
          <w:p w:rsidR="008B1B39" w:rsidRPr="007854B3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37.1</w:t>
            </w:r>
            <w:r w:rsidRPr="007854B3">
              <w:rPr>
                <w:sz w:val="22"/>
                <w:szCs w:val="22"/>
              </w:rPr>
              <w:t>%)</w:t>
            </w:r>
          </w:p>
        </w:tc>
      </w:tr>
      <w:tr w:rsidR="008B1B39" w:rsidRPr="007854B3" w:rsidTr="00F66D91">
        <w:tc>
          <w:tcPr>
            <w:tcW w:w="1320" w:type="pct"/>
            <w:shd w:val="clear" w:color="auto" w:fill="auto"/>
          </w:tcPr>
          <w:p w:rsidR="008B1B39" w:rsidRDefault="008B1B39" w:rsidP="00F66D91">
            <w:pPr>
              <w:spacing w:after="120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CDAI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917" w:type="pct"/>
            <w:shd w:val="clear" w:color="auto" w:fill="auto"/>
          </w:tcPr>
          <w:p w:rsidR="008B1B39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7854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28.5</w:t>
            </w:r>
            <w:r w:rsidRPr="007854B3">
              <w:rPr>
                <w:sz w:val="22"/>
                <w:szCs w:val="22"/>
              </w:rPr>
              <w:t>%)</w:t>
            </w:r>
          </w:p>
        </w:tc>
        <w:tc>
          <w:tcPr>
            <w:tcW w:w="962" w:type="pct"/>
            <w:shd w:val="clear" w:color="auto" w:fill="auto"/>
          </w:tcPr>
          <w:p w:rsidR="008B1B39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(26.5%)</w:t>
            </w:r>
          </w:p>
        </w:tc>
        <w:tc>
          <w:tcPr>
            <w:tcW w:w="918" w:type="pct"/>
            <w:shd w:val="clear" w:color="auto" w:fill="auto"/>
          </w:tcPr>
          <w:p w:rsidR="008B1B39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(29.2%)</w:t>
            </w:r>
          </w:p>
        </w:tc>
        <w:tc>
          <w:tcPr>
            <w:tcW w:w="883" w:type="pct"/>
            <w:shd w:val="clear" w:color="auto" w:fill="auto"/>
          </w:tcPr>
          <w:p w:rsidR="008B1B39" w:rsidRDefault="008B1B39" w:rsidP="00F66D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(38.1%)</w:t>
            </w:r>
          </w:p>
        </w:tc>
      </w:tr>
    </w:tbl>
    <w:p w:rsidR="008B1B39" w:rsidRPr="006A0483" w:rsidRDefault="008B1B39" w:rsidP="008B1B39">
      <w:pPr>
        <w:spacing w:line="480" w:lineRule="auto"/>
        <w:rPr>
          <w:szCs w:val="22"/>
          <w:lang w:val="sv-SE"/>
        </w:rPr>
      </w:pPr>
      <w:r>
        <w:rPr>
          <w:szCs w:val="22"/>
        </w:rPr>
        <w:t xml:space="preserve"> </w:t>
      </w:r>
    </w:p>
    <w:p w:rsidR="00221602" w:rsidRDefault="00221602">
      <w:bookmarkStart w:id="0" w:name="_GoBack"/>
      <w:bookmarkEnd w:id="0"/>
    </w:p>
    <w:sectPr w:rsidR="0022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9"/>
    <w:rsid w:val="00221602"/>
    <w:rsid w:val="008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NS">
    <w:name w:val="table:textNS"/>
    <w:basedOn w:val="Normal"/>
    <w:link w:val="tabletextNSChar"/>
    <w:rsid w:val="008B1B39"/>
    <w:rPr>
      <w:rFonts w:ascii="Arial Narrow" w:hAnsi="Arial Narrow" w:cs="Arial Narrow"/>
      <w:lang w:val="en-GB"/>
    </w:rPr>
  </w:style>
  <w:style w:type="character" w:customStyle="1" w:styleId="tabletextNSChar">
    <w:name w:val="table:textNS Char"/>
    <w:link w:val="tabletextNS"/>
    <w:rsid w:val="008B1B39"/>
    <w:rPr>
      <w:rFonts w:ascii="Arial Narrow" w:eastAsia="Times New Roman" w:hAnsi="Arial Narrow" w:cs="Arial Narrow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NS">
    <w:name w:val="table:textNS"/>
    <w:basedOn w:val="Normal"/>
    <w:link w:val="tabletextNSChar"/>
    <w:rsid w:val="008B1B39"/>
    <w:rPr>
      <w:rFonts w:ascii="Arial Narrow" w:hAnsi="Arial Narrow" w:cs="Arial Narrow"/>
      <w:lang w:val="en-GB"/>
    </w:rPr>
  </w:style>
  <w:style w:type="character" w:customStyle="1" w:styleId="tabletextNSChar">
    <w:name w:val="table:textNS Char"/>
    <w:link w:val="tabletextNS"/>
    <w:rsid w:val="008B1B39"/>
    <w:rPr>
      <w:rFonts w:ascii="Arial Narrow" w:eastAsia="Times New Roman" w:hAnsi="Arial Narrow" w:cs="Arial Narrow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2013-02-26T17:51:00Z</dcterms:created>
  <dcterms:modified xsi:type="dcterms:W3CDTF">2013-02-26T17:51:00Z</dcterms:modified>
</cp:coreProperties>
</file>