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F38" w:rsidRPr="00BC7F38" w:rsidRDefault="00BC7F38" w:rsidP="00BC7F38">
      <w:pPr>
        <w:spacing w:after="0" w:line="480" w:lineRule="auto"/>
        <w:rPr>
          <w:rFonts w:ascii="Cambria" w:eastAsia="Cambria" w:hAnsi="Cambria" w:cs="Times New Roman"/>
          <w:sz w:val="24"/>
          <w:szCs w:val="24"/>
          <w:lang w:bidi="ar-SA"/>
        </w:rPr>
      </w:pPr>
      <w:r w:rsidRPr="00BC7F38">
        <w:rPr>
          <w:rFonts w:ascii="Cambria" w:eastAsia="Cambria" w:hAnsi="Cambria" w:cs="Times New Roman"/>
          <w:sz w:val="24"/>
          <w:szCs w:val="24"/>
          <w:lang w:bidi="ar-SA"/>
        </w:rPr>
        <w:t xml:space="preserve">Appendix 3: </w:t>
      </w:r>
      <w:bookmarkStart w:id="0" w:name="_GoBack"/>
      <w:r w:rsidRPr="00BC7F38">
        <w:rPr>
          <w:rFonts w:ascii="Times New Roman" w:eastAsia="Cambria" w:hAnsi="Times New Roman" w:cs="Times New Roman"/>
          <w:sz w:val="24"/>
          <w:szCs w:val="24"/>
          <w:lang w:bidi="ar-SA"/>
        </w:rPr>
        <w:t>Percent distribution of comorbidity within top 6 self-reported condition</w:t>
      </w:r>
      <w:bookmarkEnd w:id="0"/>
    </w:p>
    <w:tbl>
      <w:tblPr>
        <w:tblStyle w:val="TableGrid"/>
        <w:tblW w:w="889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284"/>
        <w:gridCol w:w="1409"/>
        <w:gridCol w:w="992"/>
        <w:gridCol w:w="1276"/>
        <w:gridCol w:w="1418"/>
        <w:gridCol w:w="992"/>
      </w:tblGrid>
      <w:tr w:rsidR="00BC7F38" w:rsidRPr="00BC7F38" w:rsidTr="00066FCC">
        <w:trPr>
          <w:trHeight w:val="855"/>
        </w:trPr>
        <w:tc>
          <w:tcPr>
            <w:tcW w:w="1526" w:type="dxa"/>
            <w:tcBorders>
              <w:top w:val="single" w:sz="4" w:space="0" w:color="auto"/>
              <w:bottom w:val="single" w:sz="4" w:space="0" w:color="auto"/>
            </w:tcBorders>
            <w:hideMark/>
          </w:tcPr>
          <w:p w:rsidR="00BC7F38" w:rsidRPr="00BC7F38" w:rsidRDefault="00BC7F38" w:rsidP="00BC7F38">
            <w:pPr>
              <w:spacing w:line="480" w:lineRule="auto"/>
              <w:rPr>
                <w:rFonts w:ascii="Cambria" w:eastAsia="Cambria" w:hAnsi="Cambria" w:cs="Times New Roman"/>
                <w:sz w:val="18"/>
                <w:szCs w:val="18"/>
              </w:rPr>
            </w:pPr>
            <w:r w:rsidRPr="00BC7F38">
              <w:rPr>
                <w:rFonts w:ascii="Cambria" w:eastAsia="Cambria" w:hAnsi="Cambria" w:cs="Times New Roman"/>
                <w:sz w:val="18"/>
                <w:szCs w:val="18"/>
              </w:rPr>
              <w:t>Numbers of chronic conditions</w:t>
            </w:r>
          </w:p>
        </w:tc>
        <w:tc>
          <w:tcPr>
            <w:tcW w:w="1284" w:type="dxa"/>
            <w:tcBorders>
              <w:top w:val="single" w:sz="4" w:space="0" w:color="auto"/>
              <w:bottom w:val="single" w:sz="4" w:space="0" w:color="auto"/>
            </w:tcBorders>
            <w:noWrap/>
            <w:hideMark/>
          </w:tcPr>
          <w:p w:rsidR="00BC7F38" w:rsidRPr="00BC7F38" w:rsidRDefault="00BC7F38" w:rsidP="00BC7F38">
            <w:pPr>
              <w:spacing w:line="480" w:lineRule="auto"/>
              <w:jc w:val="center"/>
              <w:rPr>
                <w:rFonts w:ascii="Cambria" w:eastAsia="Cambria" w:hAnsi="Cambria" w:cs="Cordia New"/>
                <w:color w:val="404040"/>
                <w:sz w:val="18"/>
                <w:szCs w:val="18"/>
              </w:rPr>
            </w:pPr>
            <w:r w:rsidRPr="00BC7F38">
              <w:rPr>
                <w:rFonts w:ascii="Cambria" w:eastAsia="Cambria" w:hAnsi="Cambria" w:cs="Cordia New"/>
                <w:color w:val="404040"/>
                <w:sz w:val="18"/>
                <w:szCs w:val="18"/>
              </w:rPr>
              <w:t>Liver disease</w:t>
            </w:r>
          </w:p>
          <w:p w:rsidR="00BC7F38" w:rsidRPr="00BC7F38" w:rsidRDefault="00BC7F38" w:rsidP="00BC7F38">
            <w:pPr>
              <w:spacing w:line="480" w:lineRule="auto"/>
              <w:jc w:val="center"/>
              <w:rPr>
                <w:rFonts w:ascii="Cambria" w:eastAsia="Cambria" w:hAnsi="Cambria" w:cs="Cordia New"/>
                <w:color w:val="404040"/>
                <w:sz w:val="16"/>
                <w:szCs w:val="16"/>
              </w:rPr>
            </w:pPr>
            <w:r w:rsidRPr="00BC7F38">
              <w:rPr>
                <w:rFonts w:ascii="Cambria" w:eastAsia="Cambria" w:hAnsi="Cambria" w:cs="Cordia New"/>
                <w:color w:val="404040"/>
                <w:sz w:val="16"/>
                <w:szCs w:val="16"/>
              </w:rPr>
              <w:t>(n=532)</w:t>
            </w:r>
          </w:p>
          <w:p w:rsidR="00BC7F38" w:rsidRPr="00BC7F38" w:rsidRDefault="00BC7F38" w:rsidP="00BC7F38">
            <w:pPr>
              <w:spacing w:line="480" w:lineRule="auto"/>
              <w:jc w:val="center"/>
              <w:rPr>
                <w:rFonts w:ascii="Cambria" w:eastAsia="Cambria" w:hAnsi="Cambria" w:cs="Times New Roman"/>
                <w:sz w:val="18"/>
                <w:szCs w:val="18"/>
              </w:rPr>
            </w:pPr>
          </w:p>
        </w:tc>
        <w:tc>
          <w:tcPr>
            <w:tcW w:w="1409" w:type="dxa"/>
            <w:tcBorders>
              <w:top w:val="single" w:sz="4" w:space="0" w:color="auto"/>
              <w:bottom w:val="single" w:sz="4" w:space="0" w:color="auto"/>
            </w:tcBorders>
          </w:tcPr>
          <w:p w:rsidR="00BC7F38" w:rsidRPr="00BC7F38" w:rsidRDefault="00BC7F38" w:rsidP="00BC7F38">
            <w:pPr>
              <w:spacing w:line="480" w:lineRule="auto"/>
              <w:jc w:val="center"/>
              <w:rPr>
                <w:rFonts w:ascii="Cambria" w:eastAsia="Cambria" w:hAnsi="Cambria" w:cs="Cordia New"/>
                <w:color w:val="404040"/>
                <w:sz w:val="18"/>
                <w:szCs w:val="18"/>
              </w:rPr>
            </w:pPr>
            <w:r w:rsidRPr="00BC7F38">
              <w:rPr>
                <w:rFonts w:ascii="Cambria" w:eastAsia="Cambria" w:hAnsi="Cambria" w:cs="Cordia New"/>
                <w:color w:val="404040"/>
                <w:sz w:val="18"/>
                <w:szCs w:val="18"/>
              </w:rPr>
              <w:t>Cardiovascular disease</w:t>
            </w:r>
          </w:p>
          <w:p w:rsidR="00BC7F38" w:rsidRPr="00BC7F38" w:rsidRDefault="00BC7F38" w:rsidP="00BC7F38">
            <w:pPr>
              <w:spacing w:line="480" w:lineRule="auto"/>
              <w:jc w:val="center"/>
              <w:rPr>
                <w:rFonts w:ascii="Cambria" w:eastAsia="Cambria" w:hAnsi="Cambria" w:cs="Cordia New"/>
                <w:color w:val="404040"/>
                <w:sz w:val="18"/>
                <w:szCs w:val="18"/>
              </w:rPr>
            </w:pPr>
            <w:r w:rsidRPr="00BC7F38">
              <w:rPr>
                <w:rFonts w:ascii="Cambria" w:eastAsia="Cambria" w:hAnsi="Cambria" w:cs="Cordia New"/>
                <w:color w:val="404040"/>
                <w:sz w:val="16"/>
                <w:szCs w:val="16"/>
              </w:rPr>
              <w:t>(n=160)</w:t>
            </w:r>
          </w:p>
        </w:tc>
        <w:tc>
          <w:tcPr>
            <w:tcW w:w="992" w:type="dxa"/>
            <w:tcBorders>
              <w:top w:val="single" w:sz="4" w:space="0" w:color="auto"/>
              <w:bottom w:val="single" w:sz="4" w:space="0" w:color="auto"/>
            </w:tcBorders>
          </w:tcPr>
          <w:p w:rsidR="00BC7F38" w:rsidRPr="00BC7F38" w:rsidRDefault="00BC7F38" w:rsidP="00BC7F38">
            <w:pPr>
              <w:spacing w:line="480" w:lineRule="auto"/>
              <w:jc w:val="center"/>
              <w:rPr>
                <w:rFonts w:ascii="Cambria" w:eastAsia="Cambria" w:hAnsi="Cambria" w:cs="Cordia New"/>
                <w:color w:val="404040"/>
                <w:sz w:val="18"/>
                <w:szCs w:val="18"/>
              </w:rPr>
            </w:pPr>
            <w:r w:rsidRPr="00BC7F38">
              <w:rPr>
                <w:rFonts w:ascii="Cambria" w:eastAsia="Cambria" w:hAnsi="Cambria" w:cs="Cordia New"/>
                <w:color w:val="404040"/>
                <w:sz w:val="18"/>
                <w:szCs w:val="18"/>
              </w:rPr>
              <w:t>Asthma</w:t>
            </w:r>
          </w:p>
          <w:p w:rsidR="00BC7F38" w:rsidRPr="00BC7F38" w:rsidRDefault="00BC7F38" w:rsidP="00BC7F38">
            <w:pPr>
              <w:spacing w:line="480" w:lineRule="auto"/>
              <w:jc w:val="center"/>
              <w:rPr>
                <w:rFonts w:ascii="Cambria" w:eastAsia="Cambria" w:hAnsi="Cambria" w:cs="Cordia New"/>
                <w:color w:val="404040"/>
                <w:sz w:val="16"/>
                <w:szCs w:val="16"/>
              </w:rPr>
            </w:pPr>
            <w:r w:rsidRPr="00BC7F38">
              <w:rPr>
                <w:rFonts w:ascii="Cambria" w:eastAsia="Cambria" w:hAnsi="Cambria" w:cs="Cordia New"/>
                <w:color w:val="404040"/>
                <w:sz w:val="16"/>
                <w:szCs w:val="16"/>
              </w:rPr>
              <w:t>(n=224)</w:t>
            </w:r>
          </w:p>
          <w:p w:rsidR="00BC7F38" w:rsidRPr="00BC7F38" w:rsidRDefault="00BC7F38" w:rsidP="00BC7F38">
            <w:pPr>
              <w:spacing w:line="480" w:lineRule="auto"/>
              <w:jc w:val="center"/>
              <w:rPr>
                <w:rFonts w:ascii="Cambria" w:eastAsia="Cambria" w:hAnsi="Cambria" w:cs="Cordia New"/>
                <w:color w:val="404040"/>
                <w:sz w:val="18"/>
                <w:szCs w:val="18"/>
              </w:rPr>
            </w:pPr>
          </w:p>
        </w:tc>
        <w:tc>
          <w:tcPr>
            <w:tcW w:w="1276" w:type="dxa"/>
            <w:tcBorders>
              <w:top w:val="single" w:sz="4" w:space="0" w:color="auto"/>
              <w:bottom w:val="single" w:sz="4" w:space="0" w:color="auto"/>
            </w:tcBorders>
            <w:noWrap/>
            <w:hideMark/>
          </w:tcPr>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Cordia New"/>
                <w:color w:val="404040"/>
                <w:sz w:val="18"/>
                <w:szCs w:val="18"/>
              </w:rPr>
              <w:t>Arthritis &amp; Rheumatism</w:t>
            </w:r>
          </w:p>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6"/>
                <w:szCs w:val="16"/>
              </w:rPr>
              <w:t>(n=488)</w:t>
            </w:r>
          </w:p>
        </w:tc>
        <w:tc>
          <w:tcPr>
            <w:tcW w:w="1418" w:type="dxa"/>
            <w:tcBorders>
              <w:top w:val="single" w:sz="4" w:space="0" w:color="auto"/>
              <w:bottom w:val="single" w:sz="4" w:space="0" w:color="auto"/>
            </w:tcBorders>
          </w:tcPr>
          <w:p w:rsidR="00BC7F38" w:rsidRPr="00BC7F38" w:rsidRDefault="00BC7F38" w:rsidP="00BC7F38">
            <w:pPr>
              <w:spacing w:line="480" w:lineRule="auto"/>
              <w:jc w:val="center"/>
              <w:rPr>
                <w:rFonts w:ascii="Cambria" w:eastAsia="Cambria" w:hAnsi="Cambria" w:cs="Cordia New"/>
                <w:color w:val="404040"/>
                <w:sz w:val="18"/>
                <w:szCs w:val="18"/>
              </w:rPr>
            </w:pPr>
            <w:r w:rsidRPr="00BC7F38">
              <w:rPr>
                <w:rFonts w:ascii="Cambria" w:eastAsia="Cambria" w:hAnsi="Cambria" w:cs="Cordia New"/>
                <w:color w:val="404040"/>
                <w:sz w:val="18"/>
                <w:szCs w:val="18"/>
              </w:rPr>
              <w:t>Chronic kidney disease</w:t>
            </w:r>
          </w:p>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6"/>
                <w:szCs w:val="16"/>
              </w:rPr>
              <w:t>(n=65)</w:t>
            </w:r>
          </w:p>
        </w:tc>
        <w:tc>
          <w:tcPr>
            <w:tcW w:w="992" w:type="dxa"/>
            <w:tcBorders>
              <w:top w:val="single" w:sz="4" w:space="0" w:color="auto"/>
              <w:bottom w:val="single" w:sz="4" w:space="0" w:color="auto"/>
            </w:tcBorders>
            <w:noWrap/>
            <w:hideMark/>
          </w:tcPr>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8"/>
                <w:szCs w:val="18"/>
              </w:rPr>
              <w:t>Diabetes</w:t>
            </w:r>
          </w:p>
          <w:p w:rsidR="00BC7F38" w:rsidRPr="00BC7F38" w:rsidRDefault="00BC7F38" w:rsidP="00BC7F38">
            <w:pPr>
              <w:spacing w:line="480" w:lineRule="auto"/>
              <w:jc w:val="center"/>
              <w:rPr>
                <w:rFonts w:ascii="Cambria" w:eastAsia="Cambria" w:hAnsi="Cambria" w:cs="Times New Roman"/>
                <w:sz w:val="16"/>
                <w:szCs w:val="16"/>
              </w:rPr>
            </w:pPr>
            <w:r w:rsidRPr="00BC7F38">
              <w:rPr>
                <w:rFonts w:ascii="Cambria" w:eastAsia="Cambria" w:hAnsi="Cambria" w:cs="Times New Roman"/>
                <w:sz w:val="16"/>
                <w:szCs w:val="16"/>
              </w:rPr>
              <w:t>(n=315)</w:t>
            </w:r>
          </w:p>
          <w:p w:rsidR="00BC7F38" w:rsidRPr="00BC7F38" w:rsidRDefault="00BC7F38" w:rsidP="00BC7F38">
            <w:pPr>
              <w:spacing w:line="480" w:lineRule="auto"/>
              <w:jc w:val="center"/>
              <w:rPr>
                <w:rFonts w:ascii="Cambria" w:eastAsia="Cambria" w:hAnsi="Cambria" w:cs="Times New Roman"/>
                <w:sz w:val="18"/>
                <w:szCs w:val="18"/>
              </w:rPr>
            </w:pPr>
          </w:p>
        </w:tc>
      </w:tr>
      <w:tr w:rsidR="00BC7F38" w:rsidRPr="00BC7F38" w:rsidTr="00066FCC">
        <w:trPr>
          <w:trHeight w:val="285"/>
        </w:trPr>
        <w:tc>
          <w:tcPr>
            <w:tcW w:w="1526" w:type="dxa"/>
            <w:tcBorders>
              <w:top w:val="single" w:sz="4" w:space="0" w:color="auto"/>
            </w:tcBorders>
            <w:noWrap/>
            <w:hideMark/>
          </w:tcPr>
          <w:p w:rsidR="00BC7F38" w:rsidRPr="00BC7F38" w:rsidRDefault="00BC7F38" w:rsidP="00BC7F38">
            <w:pPr>
              <w:spacing w:line="480" w:lineRule="auto"/>
              <w:rPr>
                <w:rFonts w:ascii="Cambria" w:eastAsia="Cambria" w:hAnsi="Cambria" w:cs="Times New Roman"/>
                <w:sz w:val="18"/>
                <w:szCs w:val="18"/>
              </w:rPr>
            </w:pPr>
            <w:r w:rsidRPr="00BC7F38">
              <w:rPr>
                <w:rFonts w:ascii="Cambria" w:eastAsia="Cambria" w:hAnsi="Cambria" w:cs="Times New Roman"/>
                <w:sz w:val="18"/>
                <w:szCs w:val="18"/>
              </w:rPr>
              <w:t xml:space="preserve">1 condition </w:t>
            </w:r>
          </w:p>
          <w:p w:rsidR="00BC7F38" w:rsidRPr="00BC7F38" w:rsidRDefault="00BC7F38" w:rsidP="00BC7F38">
            <w:pPr>
              <w:spacing w:line="480" w:lineRule="auto"/>
              <w:rPr>
                <w:rFonts w:ascii="Cambria" w:eastAsia="Cambria" w:hAnsi="Cambria" w:cs="Times New Roman"/>
                <w:sz w:val="18"/>
                <w:szCs w:val="18"/>
              </w:rPr>
            </w:pPr>
            <w:r w:rsidRPr="00BC7F38">
              <w:rPr>
                <w:rFonts w:ascii="Cambria" w:eastAsia="Cambria" w:hAnsi="Cambria" w:cs="Times New Roman"/>
                <w:sz w:val="16"/>
                <w:szCs w:val="16"/>
              </w:rPr>
              <w:t>(n=1191)</w:t>
            </w:r>
          </w:p>
        </w:tc>
        <w:tc>
          <w:tcPr>
            <w:tcW w:w="1284" w:type="dxa"/>
            <w:tcBorders>
              <w:top w:val="single" w:sz="4" w:space="0" w:color="auto"/>
            </w:tcBorders>
            <w:noWrap/>
            <w:hideMark/>
          </w:tcPr>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8"/>
                <w:szCs w:val="18"/>
              </w:rPr>
              <w:t xml:space="preserve">66% </w:t>
            </w:r>
          </w:p>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6"/>
                <w:szCs w:val="16"/>
              </w:rPr>
              <w:t>(n=351)</w:t>
            </w:r>
          </w:p>
        </w:tc>
        <w:tc>
          <w:tcPr>
            <w:tcW w:w="1409" w:type="dxa"/>
            <w:tcBorders>
              <w:top w:val="single" w:sz="4" w:space="0" w:color="auto"/>
            </w:tcBorders>
          </w:tcPr>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8"/>
                <w:szCs w:val="18"/>
              </w:rPr>
              <w:t>54%</w:t>
            </w:r>
          </w:p>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6"/>
                <w:szCs w:val="16"/>
              </w:rPr>
              <w:t>(n=87)</w:t>
            </w:r>
          </w:p>
        </w:tc>
        <w:tc>
          <w:tcPr>
            <w:tcW w:w="992" w:type="dxa"/>
            <w:tcBorders>
              <w:top w:val="single" w:sz="4" w:space="0" w:color="auto"/>
            </w:tcBorders>
          </w:tcPr>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8"/>
                <w:szCs w:val="18"/>
              </w:rPr>
              <w:t>66%</w:t>
            </w:r>
          </w:p>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6"/>
                <w:szCs w:val="16"/>
              </w:rPr>
              <w:t>(n=149)</w:t>
            </w:r>
          </w:p>
        </w:tc>
        <w:tc>
          <w:tcPr>
            <w:tcW w:w="1276" w:type="dxa"/>
            <w:tcBorders>
              <w:top w:val="single" w:sz="4" w:space="0" w:color="auto"/>
            </w:tcBorders>
            <w:noWrap/>
            <w:hideMark/>
          </w:tcPr>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8"/>
                <w:szCs w:val="18"/>
              </w:rPr>
              <w:t>67%</w:t>
            </w:r>
          </w:p>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6"/>
                <w:szCs w:val="16"/>
              </w:rPr>
              <w:t>(n=328)</w:t>
            </w:r>
          </w:p>
        </w:tc>
        <w:tc>
          <w:tcPr>
            <w:tcW w:w="1418" w:type="dxa"/>
            <w:tcBorders>
              <w:top w:val="single" w:sz="4" w:space="0" w:color="auto"/>
            </w:tcBorders>
          </w:tcPr>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8"/>
                <w:szCs w:val="18"/>
              </w:rPr>
              <w:t>57%</w:t>
            </w:r>
          </w:p>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6"/>
                <w:szCs w:val="16"/>
              </w:rPr>
              <w:t>(n=37)</w:t>
            </w:r>
          </w:p>
        </w:tc>
        <w:tc>
          <w:tcPr>
            <w:tcW w:w="992" w:type="dxa"/>
            <w:tcBorders>
              <w:top w:val="single" w:sz="4" w:space="0" w:color="auto"/>
            </w:tcBorders>
            <w:noWrap/>
            <w:hideMark/>
          </w:tcPr>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8"/>
                <w:szCs w:val="18"/>
              </w:rPr>
              <w:t>63%</w:t>
            </w:r>
          </w:p>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6"/>
                <w:szCs w:val="16"/>
              </w:rPr>
              <w:t>(n=197)</w:t>
            </w:r>
          </w:p>
        </w:tc>
      </w:tr>
      <w:tr w:rsidR="00BC7F38" w:rsidRPr="00BC7F38" w:rsidTr="00066FCC">
        <w:trPr>
          <w:trHeight w:val="285"/>
        </w:trPr>
        <w:tc>
          <w:tcPr>
            <w:tcW w:w="1526" w:type="dxa"/>
            <w:noWrap/>
            <w:hideMark/>
          </w:tcPr>
          <w:p w:rsidR="00BC7F38" w:rsidRPr="00BC7F38" w:rsidRDefault="00BC7F38" w:rsidP="00BC7F38">
            <w:pPr>
              <w:spacing w:line="480" w:lineRule="auto"/>
              <w:rPr>
                <w:rFonts w:ascii="Cambria" w:eastAsia="Cambria" w:hAnsi="Cambria" w:cs="Times New Roman"/>
                <w:sz w:val="18"/>
                <w:szCs w:val="18"/>
              </w:rPr>
            </w:pPr>
            <w:r w:rsidRPr="00BC7F38">
              <w:rPr>
                <w:rFonts w:ascii="Cambria" w:eastAsia="Cambria" w:hAnsi="Cambria" w:cs="Times New Roman"/>
                <w:sz w:val="18"/>
                <w:szCs w:val="18"/>
              </w:rPr>
              <w:t>2 conditions</w:t>
            </w:r>
          </w:p>
          <w:p w:rsidR="00BC7F38" w:rsidRPr="00BC7F38" w:rsidRDefault="00BC7F38" w:rsidP="00BC7F38">
            <w:pPr>
              <w:spacing w:line="480" w:lineRule="auto"/>
              <w:rPr>
                <w:rFonts w:ascii="Cambria" w:eastAsia="Cambria" w:hAnsi="Cambria" w:cs="Times New Roman"/>
                <w:sz w:val="18"/>
                <w:szCs w:val="18"/>
              </w:rPr>
            </w:pPr>
            <w:r w:rsidRPr="00BC7F38">
              <w:rPr>
                <w:rFonts w:ascii="Cambria" w:eastAsia="Cambria" w:hAnsi="Cambria" w:cs="Times New Roman"/>
                <w:sz w:val="16"/>
                <w:szCs w:val="16"/>
              </w:rPr>
              <w:t>(n=245)</w:t>
            </w:r>
          </w:p>
        </w:tc>
        <w:tc>
          <w:tcPr>
            <w:tcW w:w="1284" w:type="dxa"/>
            <w:noWrap/>
            <w:hideMark/>
          </w:tcPr>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8"/>
                <w:szCs w:val="18"/>
              </w:rPr>
              <w:t xml:space="preserve">26% </w:t>
            </w:r>
          </w:p>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6"/>
                <w:szCs w:val="16"/>
              </w:rPr>
              <w:t>(n=139)</w:t>
            </w:r>
          </w:p>
        </w:tc>
        <w:tc>
          <w:tcPr>
            <w:tcW w:w="1409" w:type="dxa"/>
          </w:tcPr>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8"/>
                <w:szCs w:val="18"/>
              </w:rPr>
              <w:t>27%</w:t>
            </w:r>
          </w:p>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6"/>
                <w:szCs w:val="16"/>
              </w:rPr>
              <w:t>(n=43)</w:t>
            </w:r>
          </w:p>
        </w:tc>
        <w:tc>
          <w:tcPr>
            <w:tcW w:w="992" w:type="dxa"/>
          </w:tcPr>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8"/>
                <w:szCs w:val="18"/>
              </w:rPr>
              <w:t>26%</w:t>
            </w:r>
          </w:p>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6"/>
                <w:szCs w:val="16"/>
              </w:rPr>
              <w:t>(n=59)</w:t>
            </w:r>
          </w:p>
        </w:tc>
        <w:tc>
          <w:tcPr>
            <w:tcW w:w="1276" w:type="dxa"/>
            <w:noWrap/>
            <w:hideMark/>
          </w:tcPr>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8"/>
                <w:szCs w:val="18"/>
              </w:rPr>
              <w:t>25%</w:t>
            </w:r>
          </w:p>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6"/>
                <w:szCs w:val="16"/>
              </w:rPr>
              <w:t>(n=121)</w:t>
            </w:r>
          </w:p>
        </w:tc>
        <w:tc>
          <w:tcPr>
            <w:tcW w:w="1418" w:type="dxa"/>
          </w:tcPr>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8"/>
                <w:szCs w:val="18"/>
              </w:rPr>
              <w:t>23%</w:t>
            </w:r>
          </w:p>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6"/>
                <w:szCs w:val="16"/>
              </w:rPr>
              <w:t>(n=15)</w:t>
            </w:r>
          </w:p>
        </w:tc>
        <w:tc>
          <w:tcPr>
            <w:tcW w:w="992" w:type="dxa"/>
            <w:noWrap/>
            <w:hideMark/>
          </w:tcPr>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8"/>
                <w:szCs w:val="18"/>
              </w:rPr>
              <w:t xml:space="preserve">27% </w:t>
            </w:r>
          </w:p>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6"/>
                <w:szCs w:val="16"/>
              </w:rPr>
              <w:t>(n=86)</w:t>
            </w:r>
          </w:p>
        </w:tc>
      </w:tr>
      <w:tr w:rsidR="00BC7F38" w:rsidRPr="00BC7F38" w:rsidTr="00066FCC">
        <w:trPr>
          <w:trHeight w:val="300"/>
        </w:trPr>
        <w:tc>
          <w:tcPr>
            <w:tcW w:w="1526" w:type="dxa"/>
            <w:noWrap/>
            <w:hideMark/>
          </w:tcPr>
          <w:p w:rsidR="00BC7F38" w:rsidRPr="00BC7F38" w:rsidRDefault="00BC7F38" w:rsidP="00BC7F38">
            <w:pPr>
              <w:spacing w:line="480" w:lineRule="auto"/>
              <w:rPr>
                <w:rFonts w:ascii="Cambria" w:eastAsia="Cambria" w:hAnsi="Cambria" w:cs="Times New Roman"/>
                <w:sz w:val="18"/>
                <w:szCs w:val="18"/>
              </w:rPr>
            </w:pPr>
            <w:r w:rsidRPr="00BC7F38">
              <w:rPr>
                <w:rFonts w:ascii="Cambria" w:eastAsia="Cambria" w:hAnsi="Cambria" w:cs="Times New Roman"/>
                <w:sz w:val="18"/>
                <w:szCs w:val="18"/>
              </w:rPr>
              <w:t>≥3 conditions</w:t>
            </w:r>
          </w:p>
          <w:p w:rsidR="00BC7F38" w:rsidRPr="00BC7F38" w:rsidRDefault="00BC7F38" w:rsidP="00BC7F38">
            <w:pPr>
              <w:spacing w:line="480" w:lineRule="auto"/>
              <w:rPr>
                <w:rFonts w:ascii="Cambria" w:eastAsia="Cambria" w:hAnsi="Cambria" w:cs="Times New Roman"/>
                <w:sz w:val="18"/>
                <w:szCs w:val="18"/>
              </w:rPr>
            </w:pPr>
            <w:r w:rsidRPr="00BC7F38">
              <w:rPr>
                <w:rFonts w:ascii="Cambria" w:eastAsia="Cambria" w:hAnsi="Cambria" w:cs="Times New Roman"/>
                <w:sz w:val="16"/>
                <w:szCs w:val="16"/>
              </w:rPr>
              <w:t>(n=58)</w:t>
            </w:r>
          </w:p>
        </w:tc>
        <w:tc>
          <w:tcPr>
            <w:tcW w:w="1284" w:type="dxa"/>
            <w:noWrap/>
            <w:hideMark/>
          </w:tcPr>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8"/>
                <w:szCs w:val="18"/>
              </w:rPr>
              <w:t>8%</w:t>
            </w:r>
          </w:p>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6"/>
                <w:szCs w:val="16"/>
              </w:rPr>
              <w:t>(n=42)</w:t>
            </w:r>
          </w:p>
        </w:tc>
        <w:tc>
          <w:tcPr>
            <w:tcW w:w="1409" w:type="dxa"/>
          </w:tcPr>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8"/>
                <w:szCs w:val="18"/>
              </w:rPr>
              <w:t xml:space="preserve">19% </w:t>
            </w:r>
          </w:p>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6"/>
                <w:szCs w:val="16"/>
              </w:rPr>
              <w:t>(n=30)</w:t>
            </w:r>
          </w:p>
        </w:tc>
        <w:tc>
          <w:tcPr>
            <w:tcW w:w="992" w:type="dxa"/>
          </w:tcPr>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8"/>
                <w:szCs w:val="18"/>
              </w:rPr>
              <w:t>7%</w:t>
            </w:r>
          </w:p>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6"/>
                <w:szCs w:val="16"/>
              </w:rPr>
              <w:t>(n=16)</w:t>
            </w:r>
          </w:p>
        </w:tc>
        <w:tc>
          <w:tcPr>
            <w:tcW w:w="1276" w:type="dxa"/>
            <w:noWrap/>
            <w:hideMark/>
          </w:tcPr>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8"/>
                <w:szCs w:val="18"/>
              </w:rPr>
              <w:t>8%</w:t>
            </w:r>
          </w:p>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6"/>
                <w:szCs w:val="16"/>
              </w:rPr>
              <w:t>(n=39)</w:t>
            </w:r>
          </w:p>
        </w:tc>
        <w:tc>
          <w:tcPr>
            <w:tcW w:w="1418" w:type="dxa"/>
          </w:tcPr>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8"/>
                <w:szCs w:val="18"/>
              </w:rPr>
              <w:t>20%</w:t>
            </w:r>
          </w:p>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6"/>
                <w:szCs w:val="16"/>
              </w:rPr>
              <w:t>(n=13)</w:t>
            </w:r>
          </w:p>
        </w:tc>
        <w:tc>
          <w:tcPr>
            <w:tcW w:w="992" w:type="dxa"/>
            <w:noWrap/>
            <w:hideMark/>
          </w:tcPr>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8"/>
                <w:szCs w:val="18"/>
              </w:rPr>
              <w:t xml:space="preserve">10% </w:t>
            </w:r>
          </w:p>
          <w:p w:rsidR="00BC7F38" w:rsidRPr="00BC7F38" w:rsidRDefault="00BC7F38" w:rsidP="00BC7F38">
            <w:pPr>
              <w:spacing w:line="480" w:lineRule="auto"/>
              <w:jc w:val="center"/>
              <w:rPr>
                <w:rFonts w:ascii="Cambria" w:eastAsia="Cambria" w:hAnsi="Cambria" w:cs="Times New Roman"/>
                <w:sz w:val="18"/>
                <w:szCs w:val="18"/>
              </w:rPr>
            </w:pPr>
            <w:r w:rsidRPr="00BC7F38">
              <w:rPr>
                <w:rFonts w:ascii="Cambria" w:eastAsia="Cambria" w:hAnsi="Cambria" w:cs="Times New Roman"/>
                <w:sz w:val="16"/>
                <w:szCs w:val="16"/>
              </w:rPr>
              <w:t>(n=32)</w:t>
            </w:r>
          </w:p>
        </w:tc>
      </w:tr>
    </w:tbl>
    <w:p w:rsidR="00BC7F38" w:rsidRPr="00BC7F38" w:rsidRDefault="00BC7F38" w:rsidP="00BC7F38">
      <w:pPr>
        <w:spacing w:after="0" w:line="240" w:lineRule="auto"/>
        <w:rPr>
          <w:rFonts w:ascii="Cambria" w:eastAsia="Cambria" w:hAnsi="Cambria" w:cs="Cordia New"/>
          <w:color w:val="404040"/>
          <w:sz w:val="18"/>
          <w:szCs w:val="22"/>
          <w:lang w:bidi="ar-SA"/>
        </w:rPr>
      </w:pPr>
    </w:p>
    <w:p w:rsidR="00BC7F38" w:rsidRPr="00BC7F38" w:rsidRDefault="00BC7F38" w:rsidP="00BC7F38">
      <w:pPr>
        <w:spacing w:after="0" w:line="240" w:lineRule="auto"/>
        <w:rPr>
          <w:rFonts w:ascii="Cambria" w:eastAsia="Cambria" w:hAnsi="Cambria" w:cs="Cordia New"/>
          <w:color w:val="404040"/>
          <w:sz w:val="18"/>
          <w:szCs w:val="22"/>
          <w:lang w:bidi="ar-SA"/>
        </w:rPr>
      </w:pPr>
      <w:r w:rsidRPr="00BC7F38">
        <w:rPr>
          <w:rFonts w:ascii="Cambria" w:eastAsia="Cambria" w:hAnsi="Cambria" w:cs="Cordia New"/>
          <w:color w:val="404040"/>
          <w:sz w:val="18"/>
          <w:szCs w:val="22"/>
          <w:lang w:bidi="ar-SA"/>
        </w:rPr>
        <w:t>Chronic medical conditions includes 1.coronary heart disease 2.congestive heart failure 3.stroke 4.peripheral arterial disease 5.chronic kidney disease 6.chronic liver disease 7.asthma 8.arthritis and rheumatism 9.diabetes mellitus 10.Parkinson’s disease 11.epilepsy and 12.systemic lupus erythematosus. Numbers of chronic medical conditions are determined by summing the conditions described above.</w:t>
      </w:r>
    </w:p>
    <w:p w:rsidR="00BC7F38" w:rsidRPr="00BC7F38" w:rsidRDefault="00BC7F38" w:rsidP="00BC7F38">
      <w:pPr>
        <w:spacing w:after="0" w:line="480" w:lineRule="auto"/>
        <w:rPr>
          <w:rFonts w:ascii="Times New Roman" w:eastAsia="Cambria" w:hAnsi="Times New Roman" w:cs="Times New Roman"/>
          <w:sz w:val="24"/>
          <w:szCs w:val="24"/>
          <w:lang w:bidi="ar-SA"/>
        </w:rPr>
      </w:pPr>
    </w:p>
    <w:p w:rsidR="008F719A" w:rsidRDefault="008F719A"/>
    <w:sectPr w:rsidR="008F7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38"/>
    <w:rsid w:val="008F719A"/>
    <w:rsid w:val="00BC7F3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dc:creator>
  <cp:lastModifiedBy>Prin</cp:lastModifiedBy>
  <cp:revision>1</cp:revision>
  <dcterms:created xsi:type="dcterms:W3CDTF">2012-05-23T09:30:00Z</dcterms:created>
  <dcterms:modified xsi:type="dcterms:W3CDTF">2012-05-23T09:30:00Z</dcterms:modified>
</cp:coreProperties>
</file>