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A6" w:rsidRPr="00E659B4" w:rsidRDefault="00AB5BA6" w:rsidP="00AB5BA6">
      <w:pPr>
        <w:pStyle w:val="title1"/>
        <w:shd w:val="clear" w:color="auto" w:fill="FFFFFF"/>
        <w:rPr>
          <w:rFonts w:ascii="Arial" w:hAnsi="Arial" w:cs="Arial"/>
          <w:b/>
          <w:bCs/>
          <w:sz w:val="22"/>
          <w:szCs w:val="22"/>
          <w:u w:val="single"/>
        </w:rPr>
      </w:pPr>
      <w:smartTag w:uri="urn:schemas-microsoft-com:office:smarttags" w:element="place">
        <w:smartTag w:uri="urn:schemas-microsoft-com:office:smarttags" w:element="country-region">
          <w:r w:rsidRPr="00E659B4">
            <w:rPr>
              <w:rFonts w:ascii="Arial" w:hAnsi="Arial" w:cs="Arial"/>
              <w:b/>
              <w:bCs/>
              <w:sz w:val="22"/>
              <w:szCs w:val="22"/>
              <w:u w:val="single"/>
            </w:rPr>
            <w:t>COLOMBIA</w:t>
          </w:r>
        </w:smartTag>
      </w:smartTag>
    </w:p>
    <w:p w:rsidR="00AB5BA6" w:rsidRPr="002C75B8" w:rsidRDefault="00AB5BA6" w:rsidP="00AB5BA6">
      <w:pPr>
        <w:ind w:left="0" w:firstLine="0"/>
        <w:rPr>
          <w:bCs/>
          <w:sz w:val="22"/>
          <w:u w:val="single"/>
          <w:lang w:val="en-US"/>
        </w:rPr>
      </w:pPr>
    </w:p>
    <w:p w:rsidR="00AB5BA6" w:rsidRPr="002C75B8" w:rsidRDefault="00AB5BA6" w:rsidP="00AB5BA6">
      <w:pPr>
        <w:spacing w:line="480" w:lineRule="auto"/>
        <w:ind w:left="0" w:firstLine="0"/>
        <w:rPr>
          <w:bCs/>
          <w:sz w:val="22"/>
          <w:lang w:val="en-US"/>
        </w:rPr>
      </w:pPr>
      <w:r>
        <w:rPr>
          <w:bCs/>
          <w:noProof/>
          <w:sz w:val="22"/>
          <w:lang w:val="en-US"/>
        </w:rPr>
        <w:drawing>
          <wp:inline distT="0" distB="0" distL="0" distR="0">
            <wp:extent cx="2857500" cy="19138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857500" cy="1913890"/>
                    </a:xfrm>
                    <a:prstGeom prst="rect">
                      <a:avLst/>
                    </a:prstGeom>
                    <a:noFill/>
                    <a:ln w="9525">
                      <a:noFill/>
                      <a:miter lim="800000"/>
                      <a:headEnd/>
                      <a:tailEnd/>
                    </a:ln>
                  </pic:spPr>
                </pic:pic>
              </a:graphicData>
            </a:graphic>
          </wp:inline>
        </w:drawing>
      </w:r>
    </w:p>
    <w:p w:rsidR="00AB5BA6" w:rsidRDefault="00AB5BA6" w:rsidP="00AB5BA6">
      <w:pPr>
        <w:spacing w:line="480" w:lineRule="auto"/>
        <w:ind w:left="0" w:firstLine="0"/>
        <w:rPr>
          <w:b/>
          <w:sz w:val="22"/>
          <w:lang w:val="en-US"/>
        </w:rPr>
      </w:pPr>
    </w:p>
    <w:p w:rsidR="00AB5BA6" w:rsidRPr="002C75B8" w:rsidRDefault="00AB5BA6" w:rsidP="00AB5BA6">
      <w:pPr>
        <w:spacing w:line="480" w:lineRule="auto"/>
        <w:ind w:left="0" w:firstLine="0"/>
        <w:rPr>
          <w:b/>
          <w:sz w:val="22"/>
          <w:lang w:val="en-US"/>
        </w:rPr>
      </w:pPr>
      <w:r w:rsidRPr="002C75B8">
        <w:rPr>
          <w:b/>
          <w:sz w:val="22"/>
          <w:lang w:val="en-US"/>
        </w:rPr>
        <w:t>BASIC COUNTRY DATA</w:t>
      </w:r>
    </w:p>
    <w:p w:rsidR="00AB5BA6" w:rsidRPr="002C75B8" w:rsidRDefault="00AB5BA6" w:rsidP="00AB5BA6">
      <w:pPr>
        <w:ind w:left="0" w:firstLine="0"/>
        <w:rPr>
          <w:bCs/>
          <w:sz w:val="22"/>
          <w:lang w:val="en-US"/>
        </w:rPr>
      </w:pPr>
      <w:r w:rsidRPr="002C75B8">
        <w:rPr>
          <w:bCs/>
          <w:sz w:val="22"/>
          <w:lang w:val="en-US"/>
        </w:rPr>
        <w:t>Total Population: 4</w:t>
      </w:r>
      <w:r>
        <w:rPr>
          <w:bCs/>
          <w:sz w:val="22"/>
          <w:lang w:val="en-US"/>
        </w:rPr>
        <w:t>6,294,841</w:t>
      </w:r>
      <w:r w:rsidRPr="002C75B8">
        <w:rPr>
          <w:bCs/>
          <w:sz w:val="22"/>
          <w:lang w:val="en-US"/>
        </w:rPr>
        <w:t xml:space="preserve"> </w:t>
      </w:r>
    </w:p>
    <w:p w:rsidR="00AB5BA6" w:rsidRPr="002C75B8" w:rsidRDefault="00AB5BA6" w:rsidP="00AB5BA6">
      <w:pPr>
        <w:ind w:left="0" w:firstLine="0"/>
        <w:rPr>
          <w:bCs/>
          <w:sz w:val="22"/>
          <w:lang w:val="en-US"/>
        </w:rPr>
      </w:pPr>
      <w:r w:rsidRPr="002C75B8">
        <w:rPr>
          <w:bCs/>
          <w:sz w:val="22"/>
          <w:lang w:val="en-US"/>
        </w:rPr>
        <w:t xml:space="preserve">Population 0-14 years: </w:t>
      </w:r>
      <w:r>
        <w:rPr>
          <w:bCs/>
          <w:sz w:val="22"/>
          <w:lang w:val="en-US"/>
        </w:rPr>
        <w:t>29</w:t>
      </w:r>
      <w:r w:rsidRPr="002C75B8">
        <w:rPr>
          <w:bCs/>
          <w:sz w:val="22"/>
          <w:lang w:val="en-US"/>
        </w:rPr>
        <w:t xml:space="preserve">% </w:t>
      </w:r>
    </w:p>
    <w:p w:rsidR="00AB5BA6" w:rsidRPr="002C75B8" w:rsidRDefault="00AB5BA6" w:rsidP="00AB5BA6">
      <w:pPr>
        <w:ind w:left="0" w:firstLine="0"/>
        <w:rPr>
          <w:bCs/>
          <w:sz w:val="22"/>
          <w:lang w:val="en-US"/>
        </w:rPr>
      </w:pPr>
      <w:r w:rsidRPr="002C75B8">
        <w:rPr>
          <w:bCs/>
          <w:sz w:val="22"/>
          <w:lang w:val="en-US"/>
        </w:rPr>
        <w:t>Rural population: 2</w:t>
      </w:r>
      <w:r>
        <w:rPr>
          <w:bCs/>
          <w:sz w:val="22"/>
          <w:lang w:val="en-US"/>
        </w:rPr>
        <w:t>5</w:t>
      </w:r>
      <w:r w:rsidRPr="002C75B8">
        <w:rPr>
          <w:bCs/>
          <w:sz w:val="22"/>
          <w:lang w:val="en-US"/>
        </w:rPr>
        <w:t xml:space="preserve">% </w:t>
      </w:r>
    </w:p>
    <w:p w:rsidR="00AB5BA6" w:rsidRPr="002C75B8" w:rsidRDefault="00AB5BA6" w:rsidP="00AB5BA6">
      <w:pPr>
        <w:ind w:left="0" w:firstLine="0"/>
        <w:rPr>
          <w:sz w:val="22"/>
          <w:lang w:val="en-US"/>
        </w:rPr>
      </w:pPr>
      <w:r w:rsidRPr="002C75B8">
        <w:rPr>
          <w:sz w:val="22"/>
          <w:lang w:val="en-US"/>
        </w:rPr>
        <w:t>Population living under USD 1</w:t>
      </w:r>
      <w:r>
        <w:rPr>
          <w:sz w:val="22"/>
          <w:lang w:val="en-US"/>
        </w:rPr>
        <w:t>.</w:t>
      </w:r>
      <w:r w:rsidRPr="002C75B8">
        <w:rPr>
          <w:sz w:val="22"/>
          <w:lang w:val="en-US"/>
        </w:rPr>
        <w:t xml:space="preserve">25 a day: 16% </w:t>
      </w:r>
    </w:p>
    <w:p w:rsidR="00AB5BA6" w:rsidRPr="002C75B8" w:rsidRDefault="00AB5BA6" w:rsidP="00AB5BA6">
      <w:pPr>
        <w:ind w:left="0" w:firstLine="0"/>
        <w:rPr>
          <w:sz w:val="22"/>
          <w:lang w:val="en-US"/>
        </w:rPr>
      </w:pPr>
      <w:r w:rsidRPr="002C75B8">
        <w:rPr>
          <w:sz w:val="22"/>
          <w:lang w:val="en-US"/>
        </w:rPr>
        <w:t>Population living under the national poverty line: 3</w:t>
      </w:r>
      <w:r>
        <w:rPr>
          <w:sz w:val="22"/>
          <w:lang w:val="en-US"/>
        </w:rPr>
        <w:t>7.2</w:t>
      </w:r>
      <w:r w:rsidRPr="002C75B8">
        <w:rPr>
          <w:sz w:val="22"/>
          <w:lang w:val="en-US"/>
        </w:rPr>
        <w:t>%</w:t>
      </w:r>
    </w:p>
    <w:p w:rsidR="00AB5BA6" w:rsidRPr="002C75B8" w:rsidRDefault="00AB5BA6" w:rsidP="00AB5BA6">
      <w:pPr>
        <w:ind w:left="0" w:firstLine="0"/>
        <w:rPr>
          <w:sz w:val="22"/>
          <w:vertAlign w:val="superscript"/>
          <w:lang w:val="en-US"/>
        </w:rPr>
      </w:pPr>
      <w:r w:rsidRPr="002C75B8">
        <w:rPr>
          <w:sz w:val="22"/>
          <w:lang w:val="en-US"/>
        </w:rPr>
        <w:t xml:space="preserve">Income status: Upper middle income economy </w:t>
      </w:r>
    </w:p>
    <w:p w:rsidR="00AB5BA6" w:rsidRPr="002C75B8" w:rsidRDefault="00AB5BA6" w:rsidP="00AB5BA6">
      <w:pPr>
        <w:ind w:left="0" w:firstLine="0"/>
        <w:rPr>
          <w:sz w:val="22"/>
          <w:lang w:val="en-US"/>
        </w:rPr>
      </w:pPr>
      <w:r w:rsidRPr="002C75B8">
        <w:rPr>
          <w:sz w:val="22"/>
          <w:lang w:val="en-US"/>
        </w:rPr>
        <w:t>Ranking:</w:t>
      </w:r>
      <w:r w:rsidRPr="002C75B8">
        <w:rPr>
          <w:i/>
          <w:iCs/>
          <w:color w:val="003399"/>
          <w:sz w:val="22"/>
          <w:lang w:val="en-US" w:eastAsia="es-CO"/>
        </w:rPr>
        <w:t xml:space="preserve"> </w:t>
      </w:r>
      <w:r w:rsidRPr="002C75B8">
        <w:rPr>
          <w:bCs/>
          <w:sz w:val="22"/>
          <w:lang w:val="en-US"/>
        </w:rPr>
        <w:t xml:space="preserve">High </w:t>
      </w:r>
      <w:r>
        <w:rPr>
          <w:bCs/>
          <w:sz w:val="22"/>
          <w:lang w:val="en-US"/>
        </w:rPr>
        <w:t>h</w:t>
      </w:r>
      <w:r w:rsidRPr="002C75B8">
        <w:rPr>
          <w:bCs/>
          <w:sz w:val="22"/>
          <w:lang w:val="en-US"/>
        </w:rPr>
        <w:t xml:space="preserve">uman </w:t>
      </w:r>
      <w:r>
        <w:rPr>
          <w:bCs/>
          <w:sz w:val="22"/>
          <w:lang w:val="en-US"/>
        </w:rPr>
        <w:t>d</w:t>
      </w:r>
      <w:r w:rsidRPr="002C75B8">
        <w:rPr>
          <w:bCs/>
          <w:sz w:val="22"/>
          <w:lang w:val="en-US"/>
        </w:rPr>
        <w:t xml:space="preserve">evelopment (ranking </w:t>
      </w:r>
      <w:r>
        <w:rPr>
          <w:bCs/>
          <w:sz w:val="22"/>
          <w:lang w:val="en-US"/>
        </w:rPr>
        <w:t>8</w:t>
      </w:r>
      <w:r w:rsidRPr="002C75B8">
        <w:rPr>
          <w:bCs/>
          <w:sz w:val="22"/>
          <w:lang w:val="en-US"/>
        </w:rPr>
        <w:t>7)</w:t>
      </w:r>
    </w:p>
    <w:p w:rsidR="00AB5BA6" w:rsidRPr="002C75B8" w:rsidRDefault="00AB5BA6" w:rsidP="00AB5BA6">
      <w:pPr>
        <w:ind w:left="0" w:firstLine="0"/>
        <w:rPr>
          <w:bCs/>
          <w:sz w:val="22"/>
          <w:lang w:val="en-US"/>
        </w:rPr>
      </w:pPr>
      <w:r w:rsidRPr="002C75B8">
        <w:rPr>
          <w:bCs/>
          <w:sz w:val="22"/>
          <w:lang w:val="en-US"/>
        </w:rPr>
        <w:t xml:space="preserve">Per capita total expenditure on health at average exchange rate (US dollar): </w:t>
      </w:r>
      <w:r>
        <w:rPr>
          <w:bCs/>
          <w:sz w:val="22"/>
          <w:lang w:val="en-US"/>
        </w:rPr>
        <w:t>323</w:t>
      </w:r>
    </w:p>
    <w:p w:rsidR="00AB5BA6" w:rsidRPr="002C75B8" w:rsidRDefault="00AB5BA6" w:rsidP="00AB5BA6">
      <w:pPr>
        <w:ind w:left="0" w:firstLine="0"/>
        <w:rPr>
          <w:bCs/>
          <w:sz w:val="22"/>
          <w:lang w:val="en-US"/>
        </w:rPr>
      </w:pPr>
      <w:r w:rsidRPr="002C75B8">
        <w:rPr>
          <w:bCs/>
          <w:sz w:val="22"/>
          <w:lang w:val="en-US"/>
        </w:rPr>
        <w:t>Life expectancy at birth (years): 7</w:t>
      </w:r>
      <w:r>
        <w:rPr>
          <w:bCs/>
          <w:sz w:val="22"/>
          <w:lang w:val="en-US"/>
        </w:rPr>
        <w:t>3</w:t>
      </w:r>
    </w:p>
    <w:p w:rsidR="00AB5BA6" w:rsidRPr="002C75B8" w:rsidRDefault="00AB5BA6" w:rsidP="00AB5BA6">
      <w:pPr>
        <w:ind w:left="0" w:firstLine="0"/>
        <w:rPr>
          <w:bCs/>
          <w:sz w:val="22"/>
          <w:lang w:val="en-GB"/>
        </w:rPr>
      </w:pPr>
      <w:r w:rsidRPr="002C75B8">
        <w:rPr>
          <w:bCs/>
          <w:sz w:val="22"/>
          <w:lang w:val="en-US"/>
        </w:rPr>
        <w:t>Health</w:t>
      </w:r>
      <w:r>
        <w:rPr>
          <w:bCs/>
          <w:sz w:val="22"/>
          <w:lang w:val="en-US"/>
        </w:rPr>
        <w:t>y</w:t>
      </w:r>
      <w:r w:rsidRPr="002C75B8">
        <w:rPr>
          <w:bCs/>
          <w:sz w:val="22"/>
          <w:lang w:val="en-US"/>
        </w:rPr>
        <w:t xml:space="preserve"> life expectancy at birth (years): 62 </w:t>
      </w:r>
    </w:p>
    <w:p w:rsidR="00AB5BA6" w:rsidRPr="002C75B8" w:rsidRDefault="00AB5BA6" w:rsidP="00AB5BA6">
      <w:pPr>
        <w:ind w:left="0" w:firstLine="0"/>
        <w:rPr>
          <w:bCs/>
          <w:sz w:val="22"/>
          <w:lang w:val="en-GB"/>
        </w:rPr>
      </w:pPr>
    </w:p>
    <w:p w:rsidR="00AB5BA6" w:rsidRPr="002C75B8" w:rsidRDefault="00AB5BA6" w:rsidP="00AB5BA6">
      <w:pPr>
        <w:ind w:left="0" w:firstLine="0"/>
        <w:rPr>
          <w:bCs/>
          <w:sz w:val="22"/>
          <w:lang w:val="en-US"/>
        </w:rPr>
      </w:pPr>
    </w:p>
    <w:p w:rsidR="00AB5BA6" w:rsidRPr="002C75B8" w:rsidRDefault="00AB5BA6" w:rsidP="00AB5BA6">
      <w:pPr>
        <w:spacing w:line="480" w:lineRule="auto"/>
        <w:ind w:left="0" w:firstLine="0"/>
        <w:rPr>
          <w:sz w:val="22"/>
          <w:lang w:val="en-GB"/>
        </w:rPr>
      </w:pPr>
      <w:r w:rsidRPr="002C75B8">
        <w:rPr>
          <w:b/>
          <w:sz w:val="22"/>
          <w:lang w:val="en-US"/>
        </w:rPr>
        <w:t xml:space="preserve">BACKGROUND INFORMATION </w:t>
      </w:r>
    </w:p>
    <w:p w:rsidR="00AB5BA6" w:rsidRPr="002C75B8" w:rsidRDefault="00AB5BA6" w:rsidP="00AB5BA6">
      <w:pPr>
        <w:ind w:left="0" w:firstLine="0"/>
        <w:rPr>
          <w:sz w:val="22"/>
          <w:lang w:val="en-US"/>
        </w:rPr>
      </w:pPr>
      <w:r w:rsidRPr="002C75B8">
        <w:rPr>
          <w:sz w:val="22"/>
          <w:lang w:val="en-US"/>
        </w:rPr>
        <w:t xml:space="preserve">Colombia is one of the 3 countries with the highest number of </w:t>
      </w:r>
      <w:r w:rsidRPr="002C75B8">
        <w:rPr>
          <w:i/>
          <w:iCs/>
          <w:sz w:val="22"/>
          <w:lang w:val="en-US"/>
        </w:rPr>
        <w:t>Leishmania</w:t>
      </w:r>
      <w:r w:rsidRPr="002C75B8">
        <w:rPr>
          <w:sz w:val="22"/>
          <w:lang w:val="en-US"/>
        </w:rPr>
        <w:t xml:space="preserve"> species affecting humans </w:t>
      </w:r>
      <w:r>
        <w:rPr>
          <w:sz w:val="22"/>
          <w:lang w:val="en-US"/>
        </w:rPr>
        <w:t xml:space="preserve">in the world </w:t>
      </w:r>
      <w:r w:rsidRPr="002C75B8">
        <w:rPr>
          <w:sz w:val="22"/>
          <w:lang w:val="en-US"/>
        </w:rPr>
        <w:t xml:space="preserve">(seven species in total) </w:t>
      </w:r>
      <w:r>
        <w:rPr>
          <w:sz w:val="22"/>
          <w:lang w:val="en-US"/>
        </w:rPr>
        <w:t>[1].</w:t>
      </w:r>
      <w:r w:rsidRPr="002C75B8">
        <w:rPr>
          <w:sz w:val="22"/>
          <w:lang w:val="en-US"/>
        </w:rPr>
        <w:t xml:space="preserve"> Around 90.3% of all cases are CL, 0</w:t>
      </w:r>
      <w:r>
        <w:rPr>
          <w:sz w:val="22"/>
          <w:lang w:val="en-US"/>
        </w:rPr>
        <w:t>.</w:t>
      </w:r>
      <w:r w:rsidRPr="002C75B8">
        <w:rPr>
          <w:sz w:val="22"/>
          <w:lang w:val="en-US"/>
        </w:rPr>
        <w:t xml:space="preserve">4% </w:t>
      </w:r>
      <w:proofErr w:type="gramStart"/>
      <w:r w:rsidRPr="002C75B8">
        <w:rPr>
          <w:sz w:val="22"/>
          <w:lang w:val="en-US"/>
        </w:rPr>
        <w:t>are</w:t>
      </w:r>
      <w:proofErr w:type="gramEnd"/>
      <w:r w:rsidRPr="002C75B8">
        <w:rPr>
          <w:sz w:val="22"/>
          <w:lang w:val="en-US"/>
        </w:rPr>
        <w:t xml:space="preserve"> MCL and 0.3% are VL </w:t>
      </w:r>
      <w:r>
        <w:rPr>
          <w:sz w:val="22"/>
          <w:lang w:val="en-US"/>
        </w:rPr>
        <w:t>[2]</w:t>
      </w:r>
      <w:r w:rsidRPr="002C75B8">
        <w:rPr>
          <w:sz w:val="22"/>
          <w:lang w:val="en-US"/>
        </w:rPr>
        <w:t>. The disease predominates in a large part of the country</w:t>
      </w:r>
      <w:r>
        <w:rPr>
          <w:sz w:val="22"/>
          <w:lang w:val="en-US"/>
        </w:rPr>
        <w:t>,</w:t>
      </w:r>
      <w:r w:rsidRPr="002C75B8">
        <w:rPr>
          <w:sz w:val="22"/>
          <w:lang w:val="en-US"/>
        </w:rPr>
        <w:t xml:space="preserve"> especially in </w:t>
      </w:r>
      <w:proofErr w:type="spellStart"/>
      <w:r w:rsidRPr="002C75B8">
        <w:rPr>
          <w:sz w:val="22"/>
          <w:lang w:val="en-US"/>
        </w:rPr>
        <w:t>sylvatic</w:t>
      </w:r>
      <w:proofErr w:type="spellEnd"/>
      <w:r w:rsidRPr="002C75B8">
        <w:rPr>
          <w:sz w:val="22"/>
          <w:lang w:val="en-US"/>
        </w:rPr>
        <w:t xml:space="preserve"> foci, and in the </w:t>
      </w:r>
      <w:proofErr w:type="spellStart"/>
      <w:r w:rsidRPr="002C75B8">
        <w:rPr>
          <w:sz w:val="22"/>
          <w:lang w:val="en-US"/>
        </w:rPr>
        <w:t>interandean</w:t>
      </w:r>
      <w:proofErr w:type="spellEnd"/>
      <w:r w:rsidRPr="002C75B8">
        <w:rPr>
          <w:sz w:val="22"/>
          <w:lang w:val="en-US"/>
        </w:rPr>
        <w:t xml:space="preserve"> valleys, w</w:t>
      </w:r>
      <w:r>
        <w:rPr>
          <w:sz w:val="22"/>
          <w:lang w:val="en-US"/>
        </w:rPr>
        <w:t>here</w:t>
      </w:r>
      <w:r w:rsidRPr="002C75B8">
        <w:rPr>
          <w:sz w:val="22"/>
          <w:lang w:val="en-US"/>
        </w:rPr>
        <w:t xml:space="preserve"> working in coffee plantations </w:t>
      </w:r>
      <w:r>
        <w:rPr>
          <w:sz w:val="22"/>
          <w:lang w:val="en-US"/>
        </w:rPr>
        <w:t xml:space="preserve">can be seen </w:t>
      </w:r>
      <w:r w:rsidRPr="002C75B8">
        <w:rPr>
          <w:sz w:val="22"/>
          <w:lang w:val="en-US"/>
        </w:rPr>
        <w:t xml:space="preserve">as a risk factor </w:t>
      </w:r>
      <w:r>
        <w:rPr>
          <w:sz w:val="22"/>
          <w:lang w:val="en-US"/>
        </w:rPr>
        <w:t>[3]</w:t>
      </w:r>
      <w:r w:rsidRPr="002C75B8">
        <w:rPr>
          <w:sz w:val="22"/>
          <w:lang w:val="en-US"/>
        </w:rPr>
        <w:t xml:space="preserve">. Epidemic outbreaks of CL caused by </w:t>
      </w:r>
      <w:r w:rsidRPr="002C75B8">
        <w:rPr>
          <w:i/>
          <w:iCs/>
          <w:sz w:val="22"/>
          <w:lang w:val="en-US"/>
        </w:rPr>
        <w:t>L. braziliensis, L. guyanensis</w:t>
      </w:r>
      <w:r w:rsidRPr="002C75B8">
        <w:rPr>
          <w:sz w:val="22"/>
          <w:lang w:val="en-US"/>
        </w:rPr>
        <w:t xml:space="preserve"> and </w:t>
      </w:r>
      <w:r w:rsidRPr="002C75B8">
        <w:rPr>
          <w:i/>
          <w:iCs/>
          <w:sz w:val="22"/>
          <w:lang w:val="en-US"/>
        </w:rPr>
        <w:t>L. panamensis</w:t>
      </w:r>
      <w:r>
        <w:rPr>
          <w:i/>
          <w:iCs/>
          <w:sz w:val="22"/>
          <w:lang w:val="en-US"/>
        </w:rPr>
        <w:t>,</w:t>
      </w:r>
      <w:r w:rsidRPr="002C75B8">
        <w:rPr>
          <w:sz w:val="22"/>
          <w:lang w:val="en-US"/>
        </w:rPr>
        <w:t xml:space="preserve"> with intra and </w:t>
      </w:r>
      <w:proofErr w:type="spellStart"/>
      <w:r w:rsidRPr="002C75B8">
        <w:rPr>
          <w:sz w:val="22"/>
          <w:lang w:val="en-US"/>
        </w:rPr>
        <w:t>peridomiciliary</w:t>
      </w:r>
      <w:proofErr w:type="spellEnd"/>
      <w:r w:rsidRPr="002C75B8">
        <w:rPr>
          <w:sz w:val="22"/>
          <w:lang w:val="en-US"/>
        </w:rPr>
        <w:t xml:space="preserve"> transmission</w:t>
      </w:r>
      <w:r>
        <w:rPr>
          <w:sz w:val="22"/>
          <w:lang w:val="en-US"/>
        </w:rPr>
        <w:t>,</w:t>
      </w:r>
      <w:r w:rsidRPr="002C75B8">
        <w:rPr>
          <w:sz w:val="22"/>
          <w:lang w:val="en-US"/>
        </w:rPr>
        <w:t xml:space="preserve"> have been reported since 1984 </w:t>
      </w:r>
      <w:r>
        <w:rPr>
          <w:sz w:val="22"/>
          <w:lang w:val="en-US"/>
        </w:rPr>
        <w:t>[4]</w:t>
      </w:r>
      <w:r w:rsidRPr="002C75B8">
        <w:rPr>
          <w:sz w:val="22"/>
          <w:lang w:val="en-US"/>
        </w:rPr>
        <w:t xml:space="preserve">. Urbanization of the disease has been observed in recent years </w:t>
      </w:r>
      <w:r>
        <w:rPr>
          <w:sz w:val="22"/>
          <w:lang w:val="en-US"/>
        </w:rPr>
        <w:t>[5]</w:t>
      </w:r>
      <w:r w:rsidRPr="002C75B8">
        <w:rPr>
          <w:sz w:val="22"/>
          <w:lang w:val="en-US"/>
        </w:rPr>
        <w:t>. There was a regular increase in the number of cases between 2003 and 2006, during which period the numbers rose from 9</w:t>
      </w:r>
      <w:r>
        <w:rPr>
          <w:sz w:val="22"/>
          <w:lang w:val="en-US"/>
        </w:rPr>
        <w:t>,</w:t>
      </w:r>
      <w:r w:rsidRPr="002C75B8">
        <w:rPr>
          <w:sz w:val="22"/>
          <w:lang w:val="en-US"/>
        </w:rPr>
        <w:t>417 to 17</w:t>
      </w:r>
      <w:r>
        <w:rPr>
          <w:sz w:val="22"/>
          <w:lang w:val="en-US"/>
        </w:rPr>
        <w:t>,</w:t>
      </w:r>
      <w:r w:rsidRPr="002C75B8">
        <w:rPr>
          <w:sz w:val="22"/>
          <w:lang w:val="en-US"/>
        </w:rPr>
        <w:t xml:space="preserve">205. </w:t>
      </w:r>
    </w:p>
    <w:p w:rsidR="00AB5BA6" w:rsidRPr="002C75B8" w:rsidRDefault="00AB5BA6" w:rsidP="00AB5BA6">
      <w:pPr>
        <w:ind w:left="0" w:firstLine="0"/>
        <w:rPr>
          <w:sz w:val="22"/>
          <w:lang w:val="en-US"/>
        </w:rPr>
      </w:pPr>
    </w:p>
    <w:p w:rsidR="00AB5BA6" w:rsidRPr="002C75B8" w:rsidRDefault="00AB5BA6" w:rsidP="00AB5BA6">
      <w:pPr>
        <w:ind w:left="0" w:firstLine="0"/>
        <w:rPr>
          <w:sz w:val="22"/>
          <w:lang w:val="en-US"/>
        </w:rPr>
      </w:pPr>
      <w:r w:rsidRPr="002C75B8">
        <w:rPr>
          <w:sz w:val="22"/>
          <w:lang w:val="en-US"/>
        </w:rPr>
        <w:t xml:space="preserve">The greatest outbreak of CL occurred </w:t>
      </w:r>
      <w:r>
        <w:rPr>
          <w:sz w:val="22"/>
          <w:lang w:val="en-US"/>
        </w:rPr>
        <w:t>during</w:t>
      </w:r>
      <w:r w:rsidRPr="002C75B8">
        <w:rPr>
          <w:sz w:val="22"/>
          <w:lang w:val="en-US"/>
        </w:rPr>
        <w:t xml:space="preserve"> the past 4 years (2005-</w:t>
      </w:r>
      <w:r>
        <w:rPr>
          <w:sz w:val="22"/>
          <w:lang w:val="en-US"/>
        </w:rPr>
        <w:t>20</w:t>
      </w:r>
      <w:r w:rsidRPr="002C75B8">
        <w:rPr>
          <w:sz w:val="22"/>
          <w:lang w:val="en-US"/>
        </w:rPr>
        <w:t>09)</w:t>
      </w:r>
      <w:r>
        <w:rPr>
          <w:sz w:val="22"/>
          <w:lang w:val="en-US"/>
        </w:rPr>
        <w:t>,</w:t>
      </w:r>
      <w:r w:rsidRPr="002C75B8">
        <w:rPr>
          <w:sz w:val="22"/>
          <w:lang w:val="en-US"/>
        </w:rPr>
        <w:t xml:space="preserve"> with more than 35</w:t>
      </w:r>
      <w:r>
        <w:rPr>
          <w:sz w:val="22"/>
          <w:lang w:val="en-US"/>
        </w:rPr>
        <w:t>,</w:t>
      </w:r>
      <w:r w:rsidRPr="002C75B8">
        <w:rPr>
          <w:sz w:val="22"/>
          <w:lang w:val="en-US"/>
        </w:rPr>
        <w:t xml:space="preserve">000 cases in the military forces, 80% caused by </w:t>
      </w:r>
      <w:r w:rsidRPr="002C75B8">
        <w:rPr>
          <w:i/>
          <w:iCs/>
          <w:sz w:val="22"/>
          <w:lang w:val="en-US"/>
        </w:rPr>
        <w:t>L. braziliensis</w:t>
      </w:r>
      <w:r w:rsidRPr="002C75B8">
        <w:rPr>
          <w:sz w:val="22"/>
          <w:lang w:val="en-US"/>
        </w:rPr>
        <w:t xml:space="preserve"> and 20% caused by </w:t>
      </w:r>
      <w:r w:rsidRPr="002C75B8">
        <w:rPr>
          <w:i/>
          <w:iCs/>
          <w:sz w:val="22"/>
          <w:lang w:val="en-US"/>
        </w:rPr>
        <w:t>L. panamensis</w:t>
      </w:r>
      <w:r w:rsidRPr="002C75B8">
        <w:rPr>
          <w:sz w:val="22"/>
          <w:lang w:val="en-US"/>
        </w:rPr>
        <w:t>. Another important outbreak</w:t>
      </w:r>
      <w:r>
        <w:rPr>
          <w:sz w:val="22"/>
          <w:lang w:val="en-US"/>
        </w:rPr>
        <w:t>,</w:t>
      </w:r>
      <w:r w:rsidRPr="002C75B8">
        <w:rPr>
          <w:sz w:val="22"/>
          <w:lang w:val="en-US"/>
        </w:rPr>
        <w:t xml:space="preserve"> affecting the civilian population</w:t>
      </w:r>
      <w:r>
        <w:rPr>
          <w:sz w:val="22"/>
          <w:lang w:val="en-US"/>
        </w:rPr>
        <w:t>,</w:t>
      </w:r>
      <w:r w:rsidRPr="002C75B8">
        <w:rPr>
          <w:sz w:val="22"/>
          <w:lang w:val="en-US"/>
        </w:rPr>
        <w:t xml:space="preserve"> occurred in Andean valleys in 2003-2004, with 2</w:t>
      </w:r>
      <w:r>
        <w:rPr>
          <w:sz w:val="22"/>
          <w:lang w:val="en-US"/>
        </w:rPr>
        <w:t>,</w:t>
      </w:r>
      <w:r w:rsidRPr="002C75B8">
        <w:rPr>
          <w:sz w:val="22"/>
          <w:lang w:val="en-US"/>
        </w:rPr>
        <w:t xml:space="preserve">810 cases of CL caused by </w:t>
      </w:r>
      <w:r w:rsidRPr="002C75B8">
        <w:rPr>
          <w:i/>
          <w:iCs/>
          <w:sz w:val="22"/>
          <w:lang w:val="en-US"/>
        </w:rPr>
        <w:t>L. guyanensis</w:t>
      </w:r>
      <w:r w:rsidRPr="002C75B8">
        <w:rPr>
          <w:sz w:val="22"/>
          <w:lang w:val="en-US"/>
        </w:rPr>
        <w:t xml:space="preserve">, 80% of which were between 15 </w:t>
      </w:r>
      <w:r>
        <w:rPr>
          <w:sz w:val="22"/>
          <w:lang w:val="en-US"/>
        </w:rPr>
        <w:t>and</w:t>
      </w:r>
      <w:r w:rsidRPr="002C75B8">
        <w:rPr>
          <w:sz w:val="22"/>
          <w:lang w:val="en-US"/>
        </w:rPr>
        <w:t xml:space="preserve"> 44 years old. This age-group distribution </w:t>
      </w:r>
      <w:r>
        <w:rPr>
          <w:sz w:val="22"/>
          <w:lang w:val="en-US"/>
        </w:rPr>
        <w:t>is</w:t>
      </w:r>
      <w:r w:rsidRPr="002C75B8">
        <w:rPr>
          <w:sz w:val="22"/>
          <w:lang w:val="en-US"/>
        </w:rPr>
        <w:t xml:space="preserve"> influenced by an increase in the number of cases involved in the armed conflict. The population at risk is estimated </w:t>
      </w:r>
      <w:r>
        <w:rPr>
          <w:sz w:val="22"/>
          <w:lang w:val="en-US"/>
        </w:rPr>
        <w:t>at</w:t>
      </w:r>
      <w:r w:rsidRPr="002C75B8">
        <w:rPr>
          <w:sz w:val="22"/>
          <w:lang w:val="en-US"/>
        </w:rPr>
        <w:t xml:space="preserve"> 12,277,606 people for CL and 6,795,047 people for MCL in 31 and 12 departments, </w:t>
      </w:r>
      <w:r w:rsidRPr="002C75B8">
        <w:rPr>
          <w:sz w:val="22"/>
          <w:lang w:val="en-US"/>
        </w:rPr>
        <w:lastRenderedPageBreak/>
        <w:t>respectively. In 2007</w:t>
      </w:r>
      <w:r>
        <w:rPr>
          <w:sz w:val="22"/>
          <w:lang w:val="en-US"/>
        </w:rPr>
        <w:t>,</w:t>
      </w:r>
      <w:r w:rsidRPr="002C75B8">
        <w:rPr>
          <w:sz w:val="22"/>
          <w:lang w:val="en-US"/>
        </w:rPr>
        <w:t xml:space="preserve"> the incidence of CL was 106.5 cases/100</w:t>
      </w:r>
      <w:r>
        <w:rPr>
          <w:sz w:val="22"/>
          <w:lang w:val="en-US"/>
        </w:rPr>
        <w:t>,</w:t>
      </w:r>
      <w:r w:rsidRPr="002C75B8">
        <w:rPr>
          <w:sz w:val="22"/>
          <w:lang w:val="en-US"/>
        </w:rPr>
        <w:t>000 inhabitants</w:t>
      </w:r>
      <w:r>
        <w:rPr>
          <w:sz w:val="22"/>
          <w:lang w:val="en-US"/>
        </w:rPr>
        <w:t>; MCL represented 0.6% of the total</w:t>
      </w:r>
      <w:r w:rsidRPr="002C75B8">
        <w:rPr>
          <w:sz w:val="22"/>
          <w:lang w:val="en-US"/>
        </w:rPr>
        <w:t>.</w:t>
      </w:r>
    </w:p>
    <w:p w:rsidR="00AB5BA6" w:rsidRPr="002C75B8" w:rsidRDefault="00AB5BA6" w:rsidP="00AB5BA6">
      <w:pPr>
        <w:ind w:left="0" w:firstLine="0"/>
        <w:rPr>
          <w:sz w:val="22"/>
          <w:lang w:val="en-US"/>
        </w:rPr>
      </w:pPr>
    </w:p>
    <w:p w:rsidR="00AB5BA6" w:rsidRDefault="00AB5BA6" w:rsidP="00AB5BA6">
      <w:pPr>
        <w:ind w:left="0" w:firstLine="0"/>
        <w:rPr>
          <w:sz w:val="22"/>
          <w:lang w:val="en-US"/>
        </w:rPr>
      </w:pPr>
      <w:r w:rsidRPr="002C75B8">
        <w:rPr>
          <w:sz w:val="22"/>
          <w:lang w:val="en-US"/>
        </w:rPr>
        <w:t xml:space="preserve">VL by </w:t>
      </w:r>
      <w:r w:rsidRPr="002C75B8">
        <w:rPr>
          <w:i/>
          <w:sz w:val="22"/>
          <w:lang w:val="en-US"/>
        </w:rPr>
        <w:t>L.infantum</w:t>
      </w:r>
      <w:r w:rsidRPr="002C75B8">
        <w:rPr>
          <w:sz w:val="22"/>
          <w:lang w:val="en-US"/>
        </w:rPr>
        <w:t xml:space="preserve"> </w:t>
      </w:r>
      <w:r>
        <w:rPr>
          <w:sz w:val="22"/>
          <w:lang w:val="en-US"/>
        </w:rPr>
        <w:t>has been diagnosed</w:t>
      </w:r>
      <w:r w:rsidRPr="002C75B8">
        <w:rPr>
          <w:sz w:val="22"/>
          <w:lang w:val="en-US"/>
        </w:rPr>
        <w:t xml:space="preserve"> in Colombia since</w:t>
      </w:r>
      <w:r>
        <w:rPr>
          <w:sz w:val="22"/>
          <w:lang w:val="en-US"/>
        </w:rPr>
        <w:t xml:space="preserve"> </w:t>
      </w:r>
      <w:r w:rsidRPr="002C75B8">
        <w:rPr>
          <w:sz w:val="22"/>
          <w:lang w:val="en-US"/>
        </w:rPr>
        <w:t xml:space="preserve">1944. There are two clearly identified foci of VL in Colombia, the most important of </w:t>
      </w:r>
      <w:r>
        <w:rPr>
          <w:sz w:val="22"/>
          <w:lang w:val="en-US"/>
        </w:rPr>
        <w:t>which is</w:t>
      </w:r>
      <w:r w:rsidRPr="002C75B8">
        <w:rPr>
          <w:sz w:val="22"/>
          <w:lang w:val="en-US"/>
        </w:rPr>
        <w:t xml:space="preserve"> in the northern coastal area, where </w:t>
      </w:r>
      <w:r w:rsidRPr="002C75B8">
        <w:rPr>
          <w:i/>
          <w:iCs/>
          <w:sz w:val="22"/>
          <w:lang w:val="en-US"/>
        </w:rPr>
        <w:t>Lu</w:t>
      </w:r>
      <w:r>
        <w:rPr>
          <w:i/>
          <w:iCs/>
          <w:sz w:val="22"/>
          <w:lang w:val="en-US"/>
        </w:rPr>
        <w:t xml:space="preserve">. </w:t>
      </w:r>
      <w:proofErr w:type="spellStart"/>
      <w:proofErr w:type="gramStart"/>
      <w:r w:rsidRPr="002C75B8">
        <w:rPr>
          <w:i/>
          <w:iCs/>
          <w:sz w:val="22"/>
          <w:lang w:val="en-US"/>
        </w:rPr>
        <w:t>evansi</w:t>
      </w:r>
      <w:proofErr w:type="spellEnd"/>
      <w:proofErr w:type="gramEnd"/>
      <w:r w:rsidRPr="002C75B8">
        <w:rPr>
          <w:sz w:val="22"/>
          <w:lang w:val="en-US"/>
        </w:rPr>
        <w:t xml:space="preserve"> is the vector</w:t>
      </w:r>
      <w:r>
        <w:rPr>
          <w:sz w:val="22"/>
          <w:lang w:val="en-US"/>
        </w:rPr>
        <w:t xml:space="preserve"> and</w:t>
      </w:r>
      <w:r w:rsidRPr="002C75B8">
        <w:rPr>
          <w:sz w:val="22"/>
          <w:lang w:val="en-US"/>
        </w:rPr>
        <w:t xml:space="preserve"> accounts for 88% of the total number of cases</w:t>
      </w:r>
      <w:r>
        <w:rPr>
          <w:sz w:val="22"/>
          <w:lang w:val="en-US"/>
        </w:rPr>
        <w:t>.</w:t>
      </w:r>
      <w:r w:rsidRPr="002C75B8">
        <w:rPr>
          <w:sz w:val="22"/>
          <w:lang w:val="en-US"/>
        </w:rPr>
        <w:t xml:space="preserve"> </w:t>
      </w:r>
      <w:r>
        <w:rPr>
          <w:sz w:val="22"/>
          <w:lang w:val="en-US"/>
        </w:rPr>
        <w:t>T</w:t>
      </w:r>
      <w:r w:rsidRPr="002C75B8">
        <w:rPr>
          <w:sz w:val="22"/>
          <w:lang w:val="en-US"/>
        </w:rPr>
        <w:t xml:space="preserve">he second focus is located in the </w:t>
      </w:r>
      <w:smartTag w:uri="urn:schemas-microsoft-com:office:smarttags" w:element="place">
        <w:r w:rsidRPr="002C75B8">
          <w:rPr>
            <w:sz w:val="22"/>
            <w:lang w:val="en-US"/>
          </w:rPr>
          <w:t>Magdalena</w:t>
        </w:r>
      </w:smartTag>
      <w:r w:rsidRPr="002C75B8">
        <w:rPr>
          <w:sz w:val="22"/>
          <w:lang w:val="en-US"/>
        </w:rPr>
        <w:t xml:space="preserve"> river valley</w:t>
      </w:r>
      <w:r>
        <w:rPr>
          <w:sz w:val="22"/>
          <w:lang w:val="en-US"/>
        </w:rPr>
        <w:t>,</w:t>
      </w:r>
      <w:r w:rsidRPr="002C75B8">
        <w:rPr>
          <w:sz w:val="22"/>
          <w:lang w:val="en-US"/>
        </w:rPr>
        <w:t xml:space="preserve"> where </w:t>
      </w:r>
      <w:r w:rsidRPr="002C75B8">
        <w:rPr>
          <w:i/>
          <w:iCs/>
          <w:sz w:val="22"/>
          <w:lang w:val="en-US"/>
        </w:rPr>
        <w:t xml:space="preserve">Lu. </w:t>
      </w:r>
      <w:proofErr w:type="spellStart"/>
      <w:proofErr w:type="gramStart"/>
      <w:r w:rsidRPr="002C75B8">
        <w:rPr>
          <w:i/>
          <w:iCs/>
          <w:sz w:val="22"/>
          <w:lang w:val="en-US"/>
        </w:rPr>
        <w:t>longipalpis</w:t>
      </w:r>
      <w:proofErr w:type="spellEnd"/>
      <w:proofErr w:type="gramEnd"/>
      <w:r w:rsidRPr="002C75B8">
        <w:rPr>
          <w:sz w:val="22"/>
          <w:lang w:val="en-US"/>
        </w:rPr>
        <w:t xml:space="preserve"> is the vector and accounts for 12% of cases. Most cases</w:t>
      </w:r>
      <w:r>
        <w:rPr>
          <w:sz w:val="22"/>
          <w:lang w:val="en-US"/>
        </w:rPr>
        <w:t xml:space="preserve"> </w:t>
      </w:r>
      <w:r w:rsidRPr="002C75B8">
        <w:rPr>
          <w:sz w:val="22"/>
          <w:lang w:val="en-US"/>
        </w:rPr>
        <w:t xml:space="preserve">(89%) occur in children under five years </w:t>
      </w:r>
      <w:r>
        <w:rPr>
          <w:sz w:val="22"/>
          <w:lang w:val="en-US"/>
        </w:rPr>
        <w:t>of age</w:t>
      </w:r>
      <w:r w:rsidRPr="002C75B8">
        <w:rPr>
          <w:sz w:val="22"/>
          <w:lang w:val="en-US"/>
        </w:rPr>
        <w:t xml:space="preserve"> </w:t>
      </w:r>
      <w:r>
        <w:rPr>
          <w:sz w:val="22"/>
          <w:lang w:val="en-US"/>
        </w:rPr>
        <w:t>[6]</w:t>
      </w:r>
      <w:r w:rsidRPr="002C75B8">
        <w:rPr>
          <w:sz w:val="22"/>
          <w:lang w:val="en-US"/>
        </w:rPr>
        <w:t>. Around 3,449,831 people are at risk for VL in 6 departments. The incidence of VL was 5</w:t>
      </w:r>
      <w:r>
        <w:rPr>
          <w:sz w:val="22"/>
          <w:lang w:val="en-US"/>
        </w:rPr>
        <w:t>.</w:t>
      </w:r>
      <w:r w:rsidRPr="002C75B8">
        <w:rPr>
          <w:sz w:val="22"/>
          <w:lang w:val="en-US"/>
        </w:rPr>
        <w:t xml:space="preserve">4 cases/100,000 inhabitants in 2007. </w:t>
      </w:r>
    </w:p>
    <w:p w:rsidR="00AB5BA6" w:rsidRDefault="00AB5BA6" w:rsidP="00AB5BA6">
      <w:pPr>
        <w:ind w:left="0" w:firstLine="0"/>
        <w:rPr>
          <w:sz w:val="22"/>
          <w:lang w:val="en-US"/>
        </w:rPr>
      </w:pPr>
    </w:p>
    <w:p w:rsidR="00AB5BA6" w:rsidRPr="00B21A09" w:rsidRDefault="00AB5BA6" w:rsidP="00AB5BA6">
      <w:pPr>
        <w:ind w:left="0" w:firstLine="0"/>
        <w:rPr>
          <w:sz w:val="22"/>
          <w:lang w:val="en-GB"/>
        </w:rPr>
      </w:pPr>
      <w:r w:rsidRPr="002C75B8">
        <w:rPr>
          <w:sz w:val="22"/>
          <w:lang w:val="en-US"/>
        </w:rPr>
        <w:t>No HIV-</w:t>
      </w:r>
      <w:r w:rsidRPr="002C75B8">
        <w:rPr>
          <w:i/>
          <w:iCs/>
          <w:sz w:val="22"/>
          <w:lang w:val="en-US"/>
        </w:rPr>
        <w:t>Leishmania</w:t>
      </w:r>
      <w:r w:rsidRPr="002C75B8">
        <w:rPr>
          <w:sz w:val="22"/>
          <w:lang w:val="en-US"/>
        </w:rPr>
        <w:t xml:space="preserve"> co</w:t>
      </w:r>
      <w:r>
        <w:rPr>
          <w:sz w:val="22"/>
          <w:lang w:val="en-US"/>
        </w:rPr>
        <w:t>-</w:t>
      </w:r>
      <w:r w:rsidRPr="002C75B8">
        <w:rPr>
          <w:sz w:val="22"/>
          <w:lang w:val="en-US"/>
        </w:rPr>
        <w:t>infection has been reported.</w:t>
      </w:r>
    </w:p>
    <w:p w:rsidR="00AB5BA6" w:rsidRPr="00B21A09" w:rsidRDefault="00AB5BA6" w:rsidP="00AB5BA6">
      <w:pPr>
        <w:ind w:left="0" w:firstLine="0"/>
        <w:rPr>
          <w:sz w:val="22"/>
          <w:lang w:val="en-GB"/>
        </w:rPr>
      </w:pPr>
    </w:p>
    <w:p w:rsidR="00AB5BA6" w:rsidRPr="00B21A09" w:rsidRDefault="00AB5BA6" w:rsidP="00AB5BA6">
      <w:pPr>
        <w:ind w:left="0" w:firstLine="0"/>
        <w:rPr>
          <w:sz w:val="22"/>
          <w:lang w:val="en-GB"/>
        </w:rPr>
      </w:pPr>
    </w:p>
    <w:p w:rsidR="00AB5BA6" w:rsidRPr="00B21A09" w:rsidRDefault="00AB5BA6" w:rsidP="00AB5BA6">
      <w:pPr>
        <w:ind w:left="0" w:firstLine="0"/>
        <w:rPr>
          <w:b/>
          <w:bCs/>
          <w:sz w:val="22"/>
          <w:lang w:val="en-GB"/>
        </w:rPr>
      </w:pPr>
      <w:r w:rsidRPr="00B21A09">
        <w:rPr>
          <w:b/>
          <w:bCs/>
          <w:sz w:val="22"/>
          <w:lang w:val="en-GB"/>
        </w:rPr>
        <w:t>PARASITOLOGICAL INFORMATION</w:t>
      </w:r>
    </w:p>
    <w:p w:rsidR="00AB5BA6" w:rsidRPr="00B21A09" w:rsidRDefault="00AB5BA6" w:rsidP="00AB5BA6">
      <w:pPr>
        <w:ind w:left="0" w:firstLine="0"/>
        <w:rPr>
          <w:sz w:val="22"/>
          <w:lang w:val="en-GB"/>
        </w:rPr>
      </w:pPr>
    </w:p>
    <w:tbl>
      <w:tblPr>
        <w:tblpPr w:leftFromText="180" w:rightFromText="180" w:vertAnchor="text" w:horzAnchor="margin" w:tblpY="12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420"/>
        <w:gridCol w:w="2468"/>
        <w:gridCol w:w="3420"/>
      </w:tblGrid>
      <w:tr w:rsidR="00AB5BA6" w:rsidRPr="002C75B8" w:rsidTr="00A7768B">
        <w:trPr>
          <w:trHeight w:val="565"/>
        </w:trPr>
        <w:tc>
          <w:tcPr>
            <w:tcW w:w="2160" w:type="dxa"/>
          </w:tcPr>
          <w:p w:rsidR="00AB5BA6" w:rsidRPr="00A839D3" w:rsidRDefault="00AB5BA6" w:rsidP="00A7768B">
            <w:pPr>
              <w:ind w:left="0" w:firstLine="0"/>
              <w:jc w:val="center"/>
              <w:textAlignment w:val="center"/>
              <w:rPr>
                <w:rFonts w:eastAsia="Times New Roman"/>
                <w:sz w:val="22"/>
                <w:lang w:eastAsia="es-CO"/>
              </w:rPr>
            </w:pPr>
            <w:r w:rsidRPr="00A839D3">
              <w:rPr>
                <w:rFonts w:eastAsia="Times New Roman"/>
                <w:b/>
                <w:bCs/>
                <w:i/>
                <w:iCs/>
                <w:kern w:val="24"/>
                <w:sz w:val="22"/>
                <w:lang w:val="en-GB" w:eastAsia="es-CO"/>
              </w:rPr>
              <w:t xml:space="preserve">Leishmania </w:t>
            </w:r>
            <w:proofErr w:type="spellStart"/>
            <w:r w:rsidRPr="00A839D3">
              <w:rPr>
                <w:rFonts w:eastAsia="Times New Roman"/>
                <w:b/>
                <w:bCs/>
                <w:kern w:val="24"/>
                <w:sz w:val="22"/>
                <w:lang w:eastAsia="es-CO"/>
              </w:rPr>
              <w:t>species</w:t>
            </w:r>
            <w:proofErr w:type="spellEnd"/>
            <w:r w:rsidRPr="00A839D3">
              <w:rPr>
                <w:rFonts w:eastAsia="Times New Roman"/>
                <w:b/>
                <w:bCs/>
                <w:kern w:val="24"/>
                <w:sz w:val="22"/>
                <w:lang w:eastAsia="es-CO"/>
              </w:rPr>
              <w:t xml:space="preserve"> </w:t>
            </w:r>
          </w:p>
        </w:tc>
        <w:tc>
          <w:tcPr>
            <w:tcW w:w="1420" w:type="dxa"/>
          </w:tcPr>
          <w:p w:rsidR="00AB5BA6" w:rsidRPr="00A839D3" w:rsidRDefault="00AB5BA6" w:rsidP="00A7768B">
            <w:pPr>
              <w:ind w:left="0" w:firstLine="0"/>
              <w:jc w:val="center"/>
              <w:textAlignment w:val="center"/>
              <w:rPr>
                <w:rFonts w:eastAsia="Times New Roman"/>
                <w:sz w:val="22"/>
                <w:lang w:eastAsia="es-CO"/>
              </w:rPr>
            </w:pPr>
            <w:proofErr w:type="spellStart"/>
            <w:r w:rsidRPr="00A839D3">
              <w:rPr>
                <w:rFonts w:eastAsia="Times New Roman"/>
                <w:b/>
                <w:bCs/>
                <w:kern w:val="24"/>
                <w:sz w:val="22"/>
                <w:lang w:eastAsia="es-CO"/>
              </w:rPr>
              <w:t>Clinical</w:t>
            </w:r>
            <w:proofErr w:type="spellEnd"/>
            <w:r w:rsidRPr="00A839D3">
              <w:rPr>
                <w:rFonts w:eastAsia="Times New Roman"/>
                <w:b/>
                <w:bCs/>
                <w:kern w:val="24"/>
                <w:sz w:val="22"/>
                <w:lang w:eastAsia="es-CO"/>
              </w:rPr>
              <w:t xml:space="preserve"> </w:t>
            </w:r>
            <w:proofErr w:type="spellStart"/>
            <w:r w:rsidRPr="00A839D3">
              <w:rPr>
                <w:rFonts w:eastAsia="Times New Roman"/>
                <w:b/>
                <w:bCs/>
                <w:kern w:val="24"/>
                <w:sz w:val="22"/>
                <w:lang w:eastAsia="es-CO"/>
              </w:rPr>
              <w:t>form</w:t>
            </w:r>
            <w:proofErr w:type="spellEnd"/>
            <w:r w:rsidRPr="00A839D3">
              <w:rPr>
                <w:rFonts w:eastAsia="Times New Roman"/>
                <w:b/>
                <w:bCs/>
                <w:kern w:val="24"/>
                <w:sz w:val="22"/>
                <w:lang w:eastAsia="es-CO"/>
              </w:rPr>
              <w:t xml:space="preserve"> </w:t>
            </w:r>
          </w:p>
        </w:tc>
        <w:tc>
          <w:tcPr>
            <w:tcW w:w="2468" w:type="dxa"/>
          </w:tcPr>
          <w:p w:rsidR="00AB5BA6" w:rsidRPr="00A839D3" w:rsidRDefault="00AB5BA6" w:rsidP="00A7768B">
            <w:pPr>
              <w:ind w:left="0" w:firstLine="0"/>
              <w:jc w:val="center"/>
              <w:textAlignment w:val="center"/>
              <w:rPr>
                <w:rFonts w:eastAsia="Times New Roman"/>
                <w:sz w:val="22"/>
                <w:lang w:eastAsia="es-CO"/>
              </w:rPr>
            </w:pPr>
            <w:r w:rsidRPr="00A839D3">
              <w:rPr>
                <w:rFonts w:eastAsia="Times New Roman"/>
                <w:b/>
                <w:bCs/>
                <w:kern w:val="24"/>
                <w:sz w:val="22"/>
                <w:lang w:eastAsia="es-CO"/>
              </w:rPr>
              <w:t xml:space="preserve">Vector </w:t>
            </w:r>
            <w:proofErr w:type="spellStart"/>
            <w:r w:rsidRPr="00A839D3">
              <w:rPr>
                <w:rFonts w:eastAsia="Times New Roman"/>
                <w:b/>
                <w:bCs/>
                <w:kern w:val="24"/>
                <w:sz w:val="22"/>
                <w:lang w:eastAsia="es-CO"/>
              </w:rPr>
              <w:t>species</w:t>
            </w:r>
            <w:proofErr w:type="spellEnd"/>
          </w:p>
        </w:tc>
        <w:tc>
          <w:tcPr>
            <w:tcW w:w="3420" w:type="dxa"/>
          </w:tcPr>
          <w:p w:rsidR="00AB5BA6" w:rsidRPr="00A839D3" w:rsidRDefault="00AB5BA6" w:rsidP="00A7768B">
            <w:pPr>
              <w:ind w:left="0" w:firstLine="0"/>
              <w:jc w:val="center"/>
              <w:textAlignment w:val="center"/>
              <w:rPr>
                <w:rFonts w:eastAsia="Times New Roman"/>
                <w:sz w:val="22"/>
                <w:lang w:eastAsia="es-CO"/>
              </w:rPr>
            </w:pPr>
            <w:proofErr w:type="spellStart"/>
            <w:r w:rsidRPr="00A839D3">
              <w:rPr>
                <w:rFonts w:eastAsia="Times New Roman"/>
                <w:b/>
                <w:bCs/>
                <w:kern w:val="24"/>
                <w:sz w:val="22"/>
                <w:lang w:eastAsia="es-CO"/>
              </w:rPr>
              <w:t>Reservoirs</w:t>
            </w:r>
            <w:proofErr w:type="spellEnd"/>
          </w:p>
        </w:tc>
      </w:tr>
      <w:tr w:rsidR="00AB5BA6" w:rsidRPr="000113A6" w:rsidTr="00A7768B">
        <w:trPr>
          <w:trHeight w:val="275"/>
        </w:trPr>
        <w:tc>
          <w:tcPr>
            <w:tcW w:w="2160" w:type="dxa"/>
          </w:tcPr>
          <w:p w:rsidR="00AB5BA6" w:rsidRPr="00A839D3" w:rsidRDefault="00AB5BA6" w:rsidP="00A7768B">
            <w:pPr>
              <w:ind w:left="360" w:hanging="360"/>
              <w:jc w:val="left"/>
              <w:textAlignment w:val="baseline"/>
              <w:rPr>
                <w:rFonts w:eastAsia="Times New Roman"/>
                <w:sz w:val="22"/>
                <w:lang w:eastAsia="es-CO"/>
              </w:rPr>
            </w:pPr>
            <w:r w:rsidRPr="00A839D3">
              <w:rPr>
                <w:rFonts w:eastAsia="SimSun"/>
                <w:i/>
                <w:iCs/>
                <w:kern w:val="24"/>
                <w:sz w:val="22"/>
                <w:lang w:val="en-US" w:eastAsia="es-CO"/>
              </w:rPr>
              <w:t>L. braziliensis</w:t>
            </w:r>
            <w:r w:rsidRPr="00A839D3">
              <w:rPr>
                <w:rFonts w:eastAsia="SimSun"/>
                <w:i/>
                <w:iCs/>
                <w:kern w:val="24"/>
                <w:sz w:val="22"/>
                <w:lang w:eastAsia="es-CO"/>
              </w:rPr>
              <w:t xml:space="preserve"> </w:t>
            </w:r>
          </w:p>
        </w:tc>
        <w:tc>
          <w:tcPr>
            <w:tcW w:w="1420" w:type="dxa"/>
          </w:tcPr>
          <w:p w:rsidR="00AB5BA6" w:rsidRPr="00A839D3" w:rsidRDefault="00AB5BA6" w:rsidP="00A7768B">
            <w:pPr>
              <w:ind w:left="360" w:hanging="360"/>
              <w:jc w:val="left"/>
              <w:textAlignment w:val="baseline"/>
              <w:rPr>
                <w:rFonts w:eastAsia="Times New Roman"/>
                <w:sz w:val="22"/>
                <w:lang w:eastAsia="es-CO"/>
              </w:rPr>
            </w:pPr>
            <w:r w:rsidRPr="00A839D3">
              <w:rPr>
                <w:color w:val="000000"/>
                <w:sz w:val="22"/>
                <w:lang w:val="pt-BR"/>
              </w:rPr>
              <w:t>ZCL, MCL</w:t>
            </w:r>
          </w:p>
        </w:tc>
        <w:tc>
          <w:tcPr>
            <w:tcW w:w="2468" w:type="dxa"/>
          </w:tcPr>
          <w:p w:rsidR="00AB5BA6" w:rsidRPr="00A839D3" w:rsidRDefault="00AB5BA6" w:rsidP="00A7768B">
            <w:pPr>
              <w:autoSpaceDE w:val="0"/>
              <w:autoSpaceDN w:val="0"/>
              <w:adjustRightInd w:val="0"/>
              <w:ind w:left="0" w:firstLine="0"/>
              <w:rPr>
                <w:i/>
                <w:iCs/>
                <w:color w:val="000000"/>
                <w:sz w:val="22"/>
                <w:lang w:val="it-IT"/>
              </w:rPr>
            </w:pPr>
            <w:r w:rsidRPr="00A839D3">
              <w:rPr>
                <w:i/>
                <w:iCs/>
                <w:color w:val="000000"/>
                <w:sz w:val="22"/>
                <w:lang w:val="it-IT"/>
              </w:rPr>
              <w:t xml:space="preserve">Lu. spinicrassa, </w:t>
            </w:r>
          </w:p>
          <w:p w:rsidR="00AB5BA6" w:rsidRDefault="00AB5BA6" w:rsidP="00A7768B">
            <w:pPr>
              <w:autoSpaceDE w:val="0"/>
              <w:autoSpaceDN w:val="0"/>
              <w:adjustRightInd w:val="0"/>
              <w:ind w:left="0" w:firstLine="0"/>
              <w:rPr>
                <w:i/>
                <w:iCs/>
                <w:color w:val="000000"/>
                <w:sz w:val="22"/>
                <w:lang w:val="it-IT"/>
              </w:rPr>
            </w:pPr>
            <w:r w:rsidRPr="00A839D3">
              <w:rPr>
                <w:i/>
                <w:iCs/>
                <w:color w:val="000000"/>
                <w:sz w:val="22"/>
                <w:lang w:val="it-IT"/>
              </w:rPr>
              <w:t xml:space="preserve">Lu. colombiana, </w:t>
            </w:r>
          </w:p>
          <w:p w:rsidR="00AB5BA6" w:rsidRPr="00A839D3" w:rsidRDefault="00AB5BA6" w:rsidP="00A7768B">
            <w:pPr>
              <w:autoSpaceDE w:val="0"/>
              <w:autoSpaceDN w:val="0"/>
              <w:adjustRightInd w:val="0"/>
              <w:ind w:left="0" w:firstLine="0"/>
              <w:rPr>
                <w:i/>
                <w:iCs/>
                <w:color w:val="000000"/>
                <w:sz w:val="22"/>
                <w:lang w:val="it-IT"/>
              </w:rPr>
            </w:pPr>
            <w:r w:rsidRPr="00A839D3">
              <w:rPr>
                <w:i/>
                <w:iCs/>
                <w:color w:val="000000"/>
                <w:sz w:val="22"/>
                <w:lang w:val="it-IT"/>
              </w:rPr>
              <w:t xml:space="preserve">Lu. pia, </w:t>
            </w:r>
          </w:p>
          <w:p w:rsidR="00AB5BA6" w:rsidRPr="00A839D3" w:rsidRDefault="00AB5BA6" w:rsidP="00A7768B">
            <w:pPr>
              <w:ind w:left="0" w:firstLine="0"/>
              <w:jc w:val="left"/>
              <w:textAlignment w:val="baseline"/>
              <w:rPr>
                <w:rFonts w:eastAsia="Times New Roman"/>
                <w:sz w:val="22"/>
                <w:lang w:val="it-IT" w:eastAsia="es-CO"/>
              </w:rPr>
            </w:pPr>
            <w:r w:rsidRPr="00A839D3">
              <w:rPr>
                <w:i/>
                <w:iCs/>
                <w:color w:val="000000"/>
                <w:sz w:val="22"/>
                <w:lang w:val="it-IT"/>
              </w:rPr>
              <w:t>Lu. towsendi</w:t>
            </w:r>
            <w:r w:rsidRPr="00A839D3">
              <w:rPr>
                <w:color w:val="000000"/>
                <w:sz w:val="22"/>
                <w:lang w:val="it-IT"/>
              </w:rPr>
              <w:t xml:space="preserve"> </w:t>
            </w:r>
          </w:p>
        </w:tc>
        <w:tc>
          <w:tcPr>
            <w:tcW w:w="3420" w:type="dxa"/>
          </w:tcPr>
          <w:p w:rsidR="00AB5BA6" w:rsidRPr="00A839D3" w:rsidRDefault="00AB5BA6" w:rsidP="00A7768B">
            <w:pPr>
              <w:ind w:left="0" w:firstLine="0"/>
              <w:jc w:val="left"/>
              <w:textAlignment w:val="baseline"/>
              <w:rPr>
                <w:rFonts w:eastAsia="Times New Roman"/>
                <w:sz w:val="22"/>
                <w:lang w:val="it-IT" w:eastAsia="es-CO"/>
              </w:rPr>
            </w:pPr>
            <w:r w:rsidRPr="00A839D3">
              <w:rPr>
                <w:i/>
                <w:iCs/>
                <w:color w:val="000000"/>
                <w:sz w:val="22"/>
                <w:lang w:val="it-IT"/>
              </w:rPr>
              <w:t>Canis familiaris, Akodon sp., Micoureus demerarae, Melanomys caliginosus, Rattus rattus, Didelphis marsupialis</w:t>
            </w:r>
            <w:r w:rsidRPr="00A839D3">
              <w:rPr>
                <w:color w:val="000000"/>
                <w:sz w:val="22"/>
                <w:lang w:val="it-IT"/>
              </w:rPr>
              <w:t xml:space="preserve"> </w:t>
            </w:r>
          </w:p>
        </w:tc>
      </w:tr>
      <w:tr w:rsidR="00AB5BA6" w:rsidRPr="000113A6" w:rsidTr="00A7768B">
        <w:trPr>
          <w:trHeight w:val="313"/>
        </w:trPr>
        <w:tc>
          <w:tcPr>
            <w:tcW w:w="2160" w:type="dxa"/>
          </w:tcPr>
          <w:p w:rsidR="00AB5BA6" w:rsidRPr="00A839D3" w:rsidRDefault="00AB5BA6" w:rsidP="00A7768B">
            <w:pPr>
              <w:autoSpaceDE w:val="0"/>
              <w:autoSpaceDN w:val="0"/>
              <w:adjustRightInd w:val="0"/>
              <w:ind w:left="360" w:hanging="360"/>
              <w:rPr>
                <w:color w:val="000000"/>
                <w:sz w:val="22"/>
              </w:rPr>
            </w:pPr>
            <w:r w:rsidRPr="00A839D3">
              <w:rPr>
                <w:i/>
                <w:iCs/>
                <w:color w:val="000000"/>
                <w:sz w:val="22"/>
                <w:lang w:val="it-IT"/>
              </w:rPr>
              <w:t>L. panamensis</w:t>
            </w:r>
            <w:r w:rsidRPr="00A839D3">
              <w:rPr>
                <w:color w:val="000000"/>
                <w:sz w:val="22"/>
              </w:rPr>
              <w:t xml:space="preserve"> </w:t>
            </w:r>
          </w:p>
          <w:p w:rsidR="00AB5BA6" w:rsidRPr="00A839D3" w:rsidRDefault="00AB5BA6" w:rsidP="00A7768B">
            <w:pPr>
              <w:ind w:left="360" w:hanging="360"/>
              <w:jc w:val="left"/>
              <w:textAlignment w:val="baseline"/>
              <w:rPr>
                <w:rFonts w:eastAsia="Times New Roman"/>
                <w:sz w:val="22"/>
                <w:lang w:val="it-IT" w:eastAsia="es-CO"/>
              </w:rPr>
            </w:pPr>
          </w:p>
        </w:tc>
        <w:tc>
          <w:tcPr>
            <w:tcW w:w="1420" w:type="dxa"/>
          </w:tcPr>
          <w:p w:rsidR="00AB5BA6" w:rsidRPr="00A839D3" w:rsidRDefault="00AB5BA6" w:rsidP="00A7768B">
            <w:pPr>
              <w:ind w:left="360" w:hanging="360"/>
              <w:jc w:val="left"/>
              <w:textAlignment w:val="baseline"/>
              <w:rPr>
                <w:rFonts w:eastAsia="Times New Roman"/>
                <w:sz w:val="22"/>
                <w:lang w:val="it-IT" w:eastAsia="es-CO"/>
              </w:rPr>
            </w:pPr>
            <w:r w:rsidRPr="00A839D3">
              <w:rPr>
                <w:color w:val="000000"/>
                <w:sz w:val="22"/>
                <w:lang w:val="it-IT"/>
              </w:rPr>
              <w:t>ZCL, MCL</w:t>
            </w:r>
          </w:p>
        </w:tc>
        <w:tc>
          <w:tcPr>
            <w:tcW w:w="2468" w:type="dxa"/>
          </w:tcPr>
          <w:p w:rsidR="00AB5BA6" w:rsidRDefault="00AB5BA6" w:rsidP="00A7768B">
            <w:pPr>
              <w:autoSpaceDE w:val="0"/>
              <w:autoSpaceDN w:val="0"/>
              <w:adjustRightInd w:val="0"/>
              <w:ind w:left="0" w:firstLine="0"/>
              <w:rPr>
                <w:i/>
                <w:iCs/>
                <w:color w:val="000000"/>
                <w:sz w:val="22"/>
                <w:lang w:val="fr-FR"/>
              </w:rPr>
            </w:pPr>
            <w:r w:rsidRPr="00A839D3">
              <w:rPr>
                <w:i/>
                <w:iCs/>
                <w:color w:val="000000"/>
                <w:sz w:val="22"/>
                <w:lang w:val="fr-FR"/>
              </w:rPr>
              <w:t xml:space="preserve">Lu. </w:t>
            </w:r>
            <w:proofErr w:type="spellStart"/>
            <w:r w:rsidRPr="00A839D3">
              <w:rPr>
                <w:i/>
                <w:iCs/>
                <w:color w:val="000000"/>
                <w:sz w:val="22"/>
                <w:lang w:val="fr-FR"/>
              </w:rPr>
              <w:t>trapidoi</w:t>
            </w:r>
            <w:proofErr w:type="spellEnd"/>
            <w:r w:rsidRPr="00A839D3">
              <w:rPr>
                <w:i/>
                <w:iCs/>
                <w:color w:val="000000"/>
                <w:sz w:val="22"/>
                <w:lang w:val="fr-FR"/>
              </w:rPr>
              <w:t xml:space="preserve">, </w:t>
            </w:r>
          </w:p>
          <w:p w:rsidR="00AB5BA6" w:rsidRDefault="00AB5BA6" w:rsidP="00A7768B">
            <w:pPr>
              <w:autoSpaceDE w:val="0"/>
              <w:autoSpaceDN w:val="0"/>
              <w:adjustRightInd w:val="0"/>
              <w:ind w:left="0" w:firstLine="0"/>
              <w:rPr>
                <w:i/>
                <w:iCs/>
                <w:color w:val="000000"/>
                <w:sz w:val="22"/>
                <w:lang w:val="fr-FR"/>
              </w:rPr>
            </w:pPr>
            <w:r w:rsidRPr="00A839D3">
              <w:rPr>
                <w:i/>
                <w:iCs/>
                <w:color w:val="000000"/>
                <w:sz w:val="22"/>
                <w:lang w:val="fr-FR"/>
              </w:rPr>
              <w:t xml:space="preserve">Lu. </w:t>
            </w:r>
            <w:proofErr w:type="spellStart"/>
            <w:r w:rsidRPr="00A839D3">
              <w:rPr>
                <w:i/>
                <w:iCs/>
                <w:color w:val="000000"/>
                <w:sz w:val="22"/>
                <w:lang w:val="fr-FR"/>
              </w:rPr>
              <w:t>gomezi</w:t>
            </w:r>
            <w:proofErr w:type="spellEnd"/>
            <w:r w:rsidRPr="00A839D3">
              <w:rPr>
                <w:i/>
                <w:iCs/>
                <w:color w:val="000000"/>
                <w:sz w:val="22"/>
                <w:lang w:val="fr-FR"/>
              </w:rPr>
              <w:t xml:space="preserve">, </w:t>
            </w:r>
          </w:p>
          <w:p w:rsidR="00AB5BA6" w:rsidRDefault="00AB5BA6" w:rsidP="00A7768B">
            <w:pPr>
              <w:autoSpaceDE w:val="0"/>
              <w:autoSpaceDN w:val="0"/>
              <w:adjustRightInd w:val="0"/>
              <w:ind w:left="0" w:firstLine="0"/>
              <w:rPr>
                <w:i/>
                <w:iCs/>
                <w:color w:val="000000"/>
                <w:sz w:val="22"/>
                <w:lang w:val="fr-FR"/>
              </w:rPr>
            </w:pPr>
            <w:r w:rsidRPr="00A839D3">
              <w:rPr>
                <w:i/>
                <w:iCs/>
                <w:color w:val="000000"/>
                <w:sz w:val="22"/>
                <w:lang w:val="fr-FR"/>
              </w:rPr>
              <w:t xml:space="preserve">Lu. panamensis, </w:t>
            </w:r>
          </w:p>
          <w:p w:rsidR="00AB5BA6" w:rsidRPr="00A839D3" w:rsidRDefault="00AB5BA6" w:rsidP="00A7768B">
            <w:pPr>
              <w:ind w:left="0" w:firstLine="0"/>
              <w:jc w:val="left"/>
              <w:textAlignment w:val="baseline"/>
              <w:rPr>
                <w:rFonts w:eastAsia="Times New Roman"/>
                <w:sz w:val="22"/>
                <w:lang w:val="fr-FR" w:eastAsia="es-CO"/>
              </w:rPr>
            </w:pPr>
            <w:r w:rsidRPr="00A839D3">
              <w:rPr>
                <w:i/>
                <w:iCs/>
                <w:color w:val="000000"/>
                <w:sz w:val="22"/>
                <w:lang w:val="fr-FR"/>
              </w:rPr>
              <w:t xml:space="preserve">Lu. </w:t>
            </w:r>
            <w:proofErr w:type="spellStart"/>
            <w:r w:rsidRPr="00A839D3">
              <w:rPr>
                <w:i/>
                <w:iCs/>
                <w:color w:val="000000"/>
                <w:sz w:val="22"/>
                <w:lang w:val="fr-FR"/>
              </w:rPr>
              <w:t>yuilli</w:t>
            </w:r>
            <w:proofErr w:type="spellEnd"/>
            <w:r w:rsidRPr="00A839D3">
              <w:rPr>
                <w:color w:val="000000"/>
                <w:sz w:val="22"/>
                <w:lang w:val="fr-FR"/>
              </w:rPr>
              <w:t xml:space="preserve"> </w:t>
            </w:r>
          </w:p>
        </w:tc>
        <w:tc>
          <w:tcPr>
            <w:tcW w:w="3420" w:type="dxa"/>
          </w:tcPr>
          <w:p w:rsidR="00AB5BA6" w:rsidRPr="00A839D3" w:rsidRDefault="00AB5BA6" w:rsidP="00A7768B">
            <w:pPr>
              <w:ind w:left="0" w:firstLine="0"/>
              <w:jc w:val="left"/>
              <w:textAlignment w:val="baseline"/>
              <w:rPr>
                <w:rFonts w:eastAsia="Times New Roman"/>
                <w:sz w:val="22"/>
                <w:lang w:val="fr-FR" w:eastAsia="es-CO"/>
              </w:rPr>
            </w:pPr>
            <w:proofErr w:type="spellStart"/>
            <w:r w:rsidRPr="00A839D3">
              <w:rPr>
                <w:i/>
                <w:iCs/>
                <w:color w:val="000000"/>
                <w:sz w:val="22"/>
                <w:lang w:val="fr-FR"/>
              </w:rPr>
              <w:t>Canis</w:t>
            </w:r>
            <w:proofErr w:type="spellEnd"/>
            <w:r w:rsidRPr="00A839D3">
              <w:rPr>
                <w:i/>
                <w:iCs/>
                <w:color w:val="000000"/>
                <w:sz w:val="22"/>
                <w:lang w:val="fr-FR"/>
              </w:rPr>
              <w:t xml:space="preserve"> </w:t>
            </w:r>
            <w:proofErr w:type="spellStart"/>
            <w:r w:rsidRPr="00A839D3">
              <w:rPr>
                <w:i/>
                <w:iCs/>
                <w:color w:val="000000"/>
                <w:sz w:val="22"/>
                <w:lang w:val="fr-FR"/>
              </w:rPr>
              <w:t>familiaris</w:t>
            </w:r>
            <w:proofErr w:type="spellEnd"/>
            <w:r w:rsidRPr="00A839D3">
              <w:rPr>
                <w:i/>
                <w:iCs/>
                <w:color w:val="000000"/>
                <w:sz w:val="22"/>
                <w:lang w:val="fr-FR"/>
              </w:rPr>
              <w:t xml:space="preserve">, </w:t>
            </w:r>
            <w:proofErr w:type="spellStart"/>
            <w:r w:rsidRPr="00A839D3">
              <w:rPr>
                <w:i/>
                <w:iCs/>
                <w:color w:val="000000"/>
                <w:sz w:val="22"/>
                <w:lang w:val="fr-FR"/>
              </w:rPr>
              <w:t>Choloepus</w:t>
            </w:r>
            <w:proofErr w:type="spellEnd"/>
            <w:r w:rsidRPr="00A839D3">
              <w:rPr>
                <w:i/>
                <w:iCs/>
                <w:color w:val="000000"/>
                <w:sz w:val="22"/>
                <w:lang w:val="fr-FR"/>
              </w:rPr>
              <w:t xml:space="preserve"> </w:t>
            </w:r>
            <w:proofErr w:type="spellStart"/>
            <w:r w:rsidRPr="00A839D3">
              <w:rPr>
                <w:i/>
                <w:iCs/>
                <w:color w:val="000000"/>
                <w:sz w:val="22"/>
                <w:lang w:val="fr-FR"/>
              </w:rPr>
              <w:t>hoffmani</w:t>
            </w:r>
            <w:proofErr w:type="spellEnd"/>
            <w:r w:rsidRPr="00A839D3">
              <w:rPr>
                <w:i/>
                <w:iCs/>
                <w:color w:val="000000"/>
                <w:sz w:val="22"/>
                <w:lang w:val="fr-FR"/>
              </w:rPr>
              <w:t xml:space="preserve">, </w:t>
            </w:r>
            <w:proofErr w:type="spellStart"/>
            <w:r w:rsidRPr="00A839D3">
              <w:rPr>
                <w:i/>
                <w:iCs/>
                <w:color w:val="000000"/>
                <w:sz w:val="22"/>
                <w:lang w:val="fr-FR"/>
              </w:rPr>
              <w:t>Metachirus</w:t>
            </w:r>
            <w:proofErr w:type="spellEnd"/>
            <w:r w:rsidRPr="00A839D3">
              <w:rPr>
                <w:i/>
                <w:iCs/>
                <w:color w:val="000000"/>
                <w:sz w:val="22"/>
                <w:lang w:val="fr-FR"/>
              </w:rPr>
              <w:t xml:space="preserve"> </w:t>
            </w:r>
            <w:proofErr w:type="spellStart"/>
            <w:r w:rsidRPr="00A839D3">
              <w:rPr>
                <w:i/>
                <w:iCs/>
                <w:color w:val="000000"/>
                <w:sz w:val="22"/>
                <w:lang w:val="fr-FR"/>
              </w:rPr>
              <w:t>nudicaudatus</w:t>
            </w:r>
            <w:proofErr w:type="spellEnd"/>
            <w:r w:rsidRPr="00A839D3">
              <w:rPr>
                <w:i/>
                <w:iCs/>
                <w:color w:val="000000"/>
                <w:sz w:val="22"/>
                <w:lang w:val="fr-FR"/>
              </w:rPr>
              <w:t xml:space="preserve">, </w:t>
            </w:r>
            <w:proofErr w:type="spellStart"/>
            <w:r w:rsidRPr="00A839D3">
              <w:rPr>
                <w:i/>
                <w:iCs/>
                <w:color w:val="000000"/>
                <w:sz w:val="22"/>
                <w:lang w:val="fr-FR"/>
              </w:rPr>
              <w:t>Didelphis</w:t>
            </w:r>
            <w:proofErr w:type="spellEnd"/>
            <w:r w:rsidRPr="00A839D3">
              <w:rPr>
                <w:i/>
                <w:iCs/>
                <w:color w:val="000000"/>
                <w:sz w:val="22"/>
                <w:lang w:val="fr-FR"/>
              </w:rPr>
              <w:t xml:space="preserve"> </w:t>
            </w:r>
            <w:proofErr w:type="spellStart"/>
            <w:r w:rsidRPr="00A839D3">
              <w:rPr>
                <w:i/>
                <w:iCs/>
                <w:color w:val="000000"/>
                <w:sz w:val="22"/>
                <w:lang w:val="fr-FR"/>
              </w:rPr>
              <w:t>marsupialis</w:t>
            </w:r>
            <w:proofErr w:type="spellEnd"/>
            <w:r w:rsidRPr="00A839D3">
              <w:rPr>
                <w:i/>
                <w:iCs/>
                <w:color w:val="000000"/>
                <w:sz w:val="22"/>
                <w:lang w:val="fr-FR"/>
              </w:rPr>
              <w:t xml:space="preserve">, </w:t>
            </w:r>
            <w:proofErr w:type="spellStart"/>
            <w:r w:rsidRPr="00A839D3">
              <w:rPr>
                <w:i/>
                <w:iCs/>
                <w:color w:val="000000"/>
                <w:sz w:val="22"/>
                <w:lang w:val="fr-FR"/>
              </w:rPr>
              <w:t>Coendou</w:t>
            </w:r>
            <w:proofErr w:type="spellEnd"/>
            <w:r w:rsidRPr="00A839D3">
              <w:rPr>
                <w:i/>
                <w:iCs/>
                <w:color w:val="000000"/>
                <w:sz w:val="22"/>
                <w:lang w:val="fr-FR"/>
              </w:rPr>
              <w:t xml:space="preserve"> </w:t>
            </w:r>
            <w:proofErr w:type="spellStart"/>
            <w:r w:rsidRPr="00A839D3">
              <w:rPr>
                <w:i/>
                <w:iCs/>
                <w:color w:val="000000"/>
                <w:sz w:val="22"/>
                <w:lang w:val="fr-FR"/>
              </w:rPr>
              <w:t>sp</w:t>
            </w:r>
            <w:proofErr w:type="spellEnd"/>
            <w:r w:rsidRPr="00A839D3">
              <w:rPr>
                <w:i/>
                <w:iCs/>
                <w:color w:val="000000"/>
                <w:sz w:val="22"/>
                <w:lang w:val="fr-FR"/>
              </w:rPr>
              <w:t>.</w:t>
            </w:r>
            <w:r w:rsidRPr="00A839D3">
              <w:rPr>
                <w:color w:val="000000"/>
                <w:sz w:val="22"/>
                <w:lang w:val="fr-FR"/>
              </w:rPr>
              <w:t xml:space="preserve"> </w:t>
            </w:r>
          </w:p>
        </w:tc>
      </w:tr>
      <w:tr w:rsidR="00AB5BA6" w:rsidRPr="000113A6" w:rsidTr="00A7768B">
        <w:trPr>
          <w:trHeight w:val="313"/>
        </w:trPr>
        <w:tc>
          <w:tcPr>
            <w:tcW w:w="2160" w:type="dxa"/>
          </w:tcPr>
          <w:p w:rsidR="00AB5BA6" w:rsidRPr="00A839D3" w:rsidRDefault="00AB5BA6" w:rsidP="00A7768B">
            <w:pPr>
              <w:autoSpaceDE w:val="0"/>
              <w:autoSpaceDN w:val="0"/>
              <w:adjustRightInd w:val="0"/>
              <w:ind w:left="360" w:hanging="360"/>
              <w:rPr>
                <w:color w:val="000000"/>
                <w:sz w:val="22"/>
              </w:rPr>
            </w:pPr>
            <w:r w:rsidRPr="00A839D3">
              <w:rPr>
                <w:i/>
                <w:iCs/>
                <w:color w:val="000000"/>
                <w:sz w:val="22"/>
                <w:lang w:val="it-IT"/>
              </w:rPr>
              <w:t>L. guyanensis</w:t>
            </w:r>
            <w:r w:rsidRPr="00A839D3">
              <w:rPr>
                <w:color w:val="000000"/>
                <w:sz w:val="22"/>
              </w:rPr>
              <w:t xml:space="preserve"> </w:t>
            </w:r>
          </w:p>
          <w:p w:rsidR="00AB5BA6" w:rsidRPr="00A839D3" w:rsidRDefault="00AB5BA6" w:rsidP="00A7768B">
            <w:pPr>
              <w:ind w:left="360" w:hanging="360"/>
              <w:jc w:val="left"/>
              <w:textAlignment w:val="baseline"/>
              <w:rPr>
                <w:rFonts w:eastAsia="SimSun"/>
                <w:i/>
                <w:iCs/>
                <w:kern w:val="24"/>
                <w:sz w:val="22"/>
                <w:lang w:val="fr-FR" w:eastAsia="es-CO"/>
              </w:rPr>
            </w:pPr>
          </w:p>
        </w:tc>
        <w:tc>
          <w:tcPr>
            <w:tcW w:w="1420" w:type="dxa"/>
          </w:tcPr>
          <w:p w:rsidR="00AB5BA6" w:rsidRPr="00A839D3" w:rsidRDefault="00AB5BA6" w:rsidP="00A7768B">
            <w:pPr>
              <w:autoSpaceDE w:val="0"/>
              <w:autoSpaceDN w:val="0"/>
              <w:adjustRightInd w:val="0"/>
              <w:ind w:left="360" w:hanging="360"/>
              <w:rPr>
                <w:color w:val="000000"/>
                <w:sz w:val="22"/>
              </w:rPr>
            </w:pPr>
            <w:r w:rsidRPr="00A839D3">
              <w:rPr>
                <w:color w:val="000000"/>
                <w:sz w:val="22"/>
                <w:lang w:val="it-IT"/>
              </w:rPr>
              <w:t>ZCL, MCL</w:t>
            </w:r>
          </w:p>
          <w:p w:rsidR="00AB5BA6" w:rsidRPr="00A839D3" w:rsidRDefault="00AB5BA6" w:rsidP="00A7768B">
            <w:pPr>
              <w:ind w:left="360" w:hanging="360"/>
              <w:jc w:val="left"/>
              <w:textAlignment w:val="baseline"/>
              <w:rPr>
                <w:rFonts w:eastAsia="SimSun"/>
                <w:kern w:val="24"/>
                <w:sz w:val="22"/>
                <w:lang w:val="fr-FR" w:eastAsia="es-CO"/>
              </w:rPr>
            </w:pPr>
          </w:p>
        </w:tc>
        <w:tc>
          <w:tcPr>
            <w:tcW w:w="2468" w:type="dxa"/>
          </w:tcPr>
          <w:p w:rsidR="00AB5BA6" w:rsidRPr="00A839D3" w:rsidRDefault="00AB5BA6" w:rsidP="00A7768B">
            <w:pPr>
              <w:ind w:left="0" w:firstLine="0"/>
              <w:jc w:val="left"/>
              <w:textAlignment w:val="baseline"/>
              <w:rPr>
                <w:i/>
                <w:iCs/>
                <w:color w:val="000000"/>
                <w:sz w:val="22"/>
                <w:lang w:val="it-IT"/>
              </w:rPr>
            </w:pPr>
            <w:r w:rsidRPr="00A839D3">
              <w:rPr>
                <w:i/>
                <w:iCs/>
                <w:color w:val="000000"/>
                <w:sz w:val="22"/>
                <w:lang w:val="it-IT"/>
              </w:rPr>
              <w:t xml:space="preserve">Lu. umbratilis, </w:t>
            </w:r>
          </w:p>
          <w:p w:rsidR="00AB5BA6" w:rsidRPr="00A839D3" w:rsidRDefault="00AB5BA6" w:rsidP="00A7768B">
            <w:pPr>
              <w:ind w:left="0" w:firstLine="0"/>
              <w:jc w:val="left"/>
              <w:textAlignment w:val="baseline"/>
              <w:rPr>
                <w:rFonts w:eastAsia="Cambria"/>
                <w:i/>
                <w:iCs/>
                <w:kern w:val="24"/>
                <w:sz w:val="22"/>
                <w:lang w:val="fr-FR" w:eastAsia="es-CO"/>
              </w:rPr>
            </w:pPr>
            <w:r w:rsidRPr="00A839D3">
              <w:rPr>
                <w:i/>
                <w:iCs/>
                <w:color w:val="000000"/>
                <w:sz w:val="22"/>
                <w:lang w:val="it-IT"/>
              </w:rPr>
              <w:t>Lu. longiflocosa</w:t>
            </w:r>
            <w:r w:rsidRPr="00A839D3">
              <w:rPr>
                <w:color w:val="000000"/>
                <w:sz w:val="22"/>
              </w:rPr>
              <w:t xml:space="preserve"> </w:t>
            </w:r>
          </w:p>
        </w:tc>
        <w:tc>
          <w:tcPr>
            <w:tcW w:w="3420" w:type="dxa"/>
          </w:tcPr>
          <w:p w:rsidR="00AB5BA6" w:rsidRPr="00A839D3" w:rsidRDefault="00AB5BA6" w:rsidP="00A7768B">
            <w:pPr>
              <w:autoSpaceDE w:val="0"/>
              <w:autoSpaceDN w:val="0"/>
              <w:adjustRightInd w:val="0"/>
              <w:ind w:left="0" w:firstLine="0"/>
              <w:rPr>
                <w:color w:val="000000"/>
                <w:sz w:val="22"/>
              </w:rPr>
            </w:pPr>
            <w:r>
              <w:rPr>
                <w:color w:val="000000"/>
                <w:sz w:val="22"/>
                <w:lang w:val="it-IT"/>
              </w:rPr>
              <w:t>U</w:t>
            </w:r>
            <w:r w:rsidRPr="00A839D3">
              <w:rPr>
                <w:color w:val="000000"/>
                <w:sz w:val="22"/>
                <w:lang w:val="it-IT"/>
              </w:rPr>
              <w:t>nknown</w:t>
            </w:r>
            <w:r w:rsidRPr="00A839D3">
              <w:rPr>
                <w:color w:val="000000"/>
                <w:sz w:val="22"/>
              </w:rPr>
              <w:t xml:space="preserve"> </w:t>
            </w:r>
          </w:p>
          <w:p w:rsidR="00AB5BA6" w:rsidRPr="00A839D3" w:rsidRDefault="00AB5BA6" w:rsidP="00A7768B">
            <w:pPr>
              <w:ind w:left="0" w:firstLine="0"/>
              <w:jc w:val="left"/>
              <w:textAlignment w:val="baseline"/>
              <w:rPr>
                <w:rFonts w:eastAsia="Cambria"/>
                <w:i/>
                <w:iCs/>
                <w:kern w:val="24"/>
                <w:sz w:val="22"/>
                <w:lang w:val="fr-FR" w:eastAsia="es-CO"/>
              </w:rPr>
            </w:pPr>
          </w:p>
        </w:tc>
      </w:tr>
      <w:tr w:rsidR="00AB5BA6" w:rsidRPr="000113A6" w:rsidTr="00A7768B">
        <w:trPr>
          <w:trHeight w:val="313"/>
        </w:trPr>
        <w:tc>
          <w:tcPr>
            <w:tcW w:w="2160" w:type="dxa"/>
          </w:tcPr>
          <w:p w:rsidR="00AB5BA6" w:rsidRPr="00A839D3" w:rsidRDefault="00AB5BA6" w:rsidP="00A7768B">
            <w:pPr>
              <w:autoSpaceDE w:val="0"/>
              <w:autoSpaceDN w:val="0"/>
              <w:adjustRightInd w:val="0"/>
              <w:ind w:left="360" w:hanging="360"/>
              <w:rPr>
                <w:color w:val="000000"/>
                <w:sz w:val="22"/>
              </w:rPr>
            </w:pPr>
            <w:r w:rsidRPr="00A839D3">
              <w:rPr>
                <w:i/>
                <w:iCs/>
                <w:color w:val="000000"/>
                <w:sz w:val="22"/>
                <w:lang w:val="it-IT"/>
              </w:rPr>
              <w:t>L. colo</w:t>
            </w:r>
            <w:proofErr w:type="spellStart"/>
            <w:r w:rsidRPr="00A839D3">
              <w:rPr>
                <w:i/>
                <w:iCs/>
                <w:color w:val="000000"/>
                <w:sz w:val="22"/>
                <w:lang w:val="en-US"/>
              </w:rPr>
              <w:t>mbiensis</w:t>
            </w:r>
            <w:proofErr w:type="spellEnd"/>
            <w:r w:rsidRPr="00A839D3">
              <w:rPr>
                <w:color w:val="000000"/>
                <w:sz w:val="22"/>
              </w:rPr>
              <w:t xml:space="preserve"> </w:t>
            </w:r>
          </w:p>
          <w:p w:rsidR="00AB5BA6" w:rsidRPr="00A839D3" w:rsidRDefault="00AB5BA6" w:rsidP="00A7768B">
            <w:pPr>
              <w:ind w:left="360" w:hanging="360"/>
              <w:jc w:val="left"/>
              <w:textAlignment w:val="baseline"/>
              <w:rPr>
                <w:rFonts w:eastAsia="SimSun"/>
                <w:i/>
                <w:iCs/>
                <w:kern w:val="24"/>
                <w:sz w:val="22"/>
                <w:lang w:val="fr-FR" w:eastAsia="es-CO"/>
              </w:rPr>
            </w:pPr>
          </w:p>
        </w:tc>
        <w:tc>
          <w:tcPr>
            <w:tcW w:w="1420" w:type="dxa"/>
          </w:tcPr>
          <w:p w:rsidR="00AB5BA6" w:rsidRPr="00A839D3" w:rsidRDefault="00AB5BA6" w:rsidP="00A7768B">
            <w:pPr>
              <w:autoSpaceDE w:val="0"/>
              <w:autoSpaceDN w:val="0"/>
              <w:adjustRightInd w:val="0"/>
              <w:ind w:left="360" w:hanging="360"/>
              <w:rPr>
                <w:color w:val="000000"/>
                <w:sz w:val="22"/>
              </w:rPr>
            </w:pPr>
            <w:r w:rsidRPr="00A839D3">
              <w:rPr>
                <w:color w:val="000000"/>
                <w:sz w:val="22"/>
                <w:lang w:val="en-US"/>
              </w:rPr>
              <w:t>ZCL</w:t>
            </w:r>
            <w:r w:rsidRPr="00A839D3">
              <w:rPr>
                <w:color w:val="000000"/>
                <w:sz w:val="22"/>
              </w:rPr>
              <w:t xml:space="preserve"> </w:t>
            </w:r>
          </w:p>
          <w:p w:rsidR="00AB5BA6" w:rsidRPr="00A839D3" w:rsidRDefault="00AB5BA6" w:rsidP="00A7768B">
            <w:pPr>
              <w:ind w:left="360" w:hanging="360"/>
              <w:jc w:val="left"/>
              <w:textAlignment w:val="baseline"/>
              <w:rPr>
                <w:rFonts w:eastAsia="SimSun"/>
                <w:kern w:val="24"/>
                <w:sz w:val="22"/>
                <w:lang w:val="fr-FR" w:eastAsia="es-CO"/>
              </w:rPr>
            </w:pPr>
          </w:p>
        </w:tc>
        <w:tc>
          <w:tcPr>
            <w:tcW w:w="2468" w:type="dxa"/>
          </w:tcPr>
          <w:p w:rsidR="00AB5BA6" w:rsidRPr="00A839D3" w:rsidRDefault="00AB5BA6" w:rsidP="00A7768B">
            <w:pPr>
              <w:autoSpaceDE w:val="0"/>
              <w:autoSpaceDN w:val="0"/>
              <w:adjustRightInd w:val="0"/>
              <w:ind w:left="0" w:firstLine="0"/>
              <w:rPr>
                <w:color w:val="000000"/>
                <w:sz w:val="22"/>
              </w:rPr>
            </w:pPr>
            <w:r w:rsidRPr="00A839D3">
              <w:rPr>
                <w:i/>
                <w:iCs/>
                <w:color w:val="000000"/>
                <w:sz w:val="22"/>
                <w:lang w:val="en-US"/>
              </w:rPr>
              <w:t xml:space="preserve">Lu. </w:t>
            </w:r>
            <w:proofErr w:type="spellStart"/>
            <w:r w:rsidRPr="00A839D3">
              <w:rPr>
                <w:i/>
                <w:iCs/>
                <w:color w:val="000000"/>
                <w:sz w:val="22"/>
                <w:lang w:val="en-US"/>
              </w:rPr>
              <w:t>hartmanni</w:t>
            </w:r>
            <w:proofErr w:type="spellEnd"/>
            <w:r w:rsidRPr="00A839D3">
              <w:rPr>
                <w:color w:val="000000"/>
                <w:sz w:val="22"/>
              </w:rPr>
              <w:t xml:space="preserve"> </w:t>
            </w:r>
          </w:p>
          <w:p w:rsidR="00AB5BA6" w:rsidRPr="00A839D3" w:rsidRDefault="00AB5BA6" w:rsidP="00A7768B">
            <w:pPr>
              <w:ind w:left="0" w:firstLine="0"/>
              <w:jc w:val="left"/>
              <w:textAlignment w:val="baseline"/>
              <w:rPr>
                <w:rFonts w:eastAsia="Cambria"/>
                <w:i/>
                <w:iCs/>
                <w:kern w:val="24"/>
                <w:sz w:val="22"/>
                <w:lang w:val="fr-FR" w:eastAsia="es-CO"/>
              </w:rPr>
            </w:pPr>
          </w:p>
        </w:tc>
        <w:tc>
          <w:tcPr>
            <w:tcW w:w="3420" w:type="dxa"/>
          </w:tcPr>
          <w:p w:rsidR="00AB5BA6" w:rsidRPr="00A839D3" w:rsidRDefault="00AB5BA6" w:rsidP="00A7768B">
            <w:pPr>
              <w:autoSpaceDE w:val="0"/>
              <w:autoSpaceDN w:val="0"/>
              <w:adjustRightInd w:val="0"/>
              <w:ind w:left="0" w:firstLine="0"/>
              <w:rPr>
                <w:color w:val="000000"/>
                <w:sz w:val="22"/>
              </w:rPr>
            </w:pPr>
            <w:r>
              <w:rPr>
                <w:color w:val="000000"/>
                <w:sz w:val="22"/>
                <w:lang w:val="it-IT"/>
              </w:rPr>
              <w:t>U</w:t>
            </w:r>
            <w:r w:rsidRPr="00A839D3">
              <w:rPr>
                <w:color w:val="000000"/>
                <w:sz w:val="22"/>
                <w:lang w:val="it-IT"/>
              </w:rPr>
              <w:t>nknown</w:t>
            </w:r>
          </w:p>
          <w:p w:rsidR="00AB5BA6" w:rsidRPr="00A839D3" w:rsidRDefault="00AB5BA6" w:rsidP="00A7768B">
            <w:pPr>
              <w:ind w:left="0" w:firstLine="0"/>
              <w:jc w:val="left"/>
              <w:textAlignment w:val="baseline"/>
              <w:rPr>
                <w:rFonts w:eastAsia="Cambria"/>
                <w:i/>
                <w:iCs/>
                <w:kern w:val="24"/>
                <w:sz w:val="22"/>
                <w:lang w:val="fr-FR" w:eastAsia="es-CO"/>
              </w:rPr>
            </w:pPr>
          </w:p>
        </w:tc>
      </w:tr>
      <w:tr w:rsidR="00AB5BA6" w:rsidRPr="000113A6" w:rsidTr="00A7768B">
        <w:trPr>
          <w:trHeight w:val="313"/>
        </w:trPr>
        <w:tc>
          <w:tcPr>
            <w:tcW w:w="2160" w:type="dxa"/>
          </w:tcPr>
          <w:p w:rsidR="00AB5BA6" w:rsidRPr="00A839D3" w:rsidRDefault="00AB5BA6" w:rsidP="00A7768B">
            <w:pPr>
              <w:autoSpaceDE w:val="0"/>
              <w:autoSpaceDN w:val="0"/>
              <w:adjustRightInd w:val="0"/>
              <w:ind w:left="360" w:hanging="360"/>
              <w:rPr>
                <w:i/>
                <w:iCs/>
                <w:color w:val="000000"/>
                <w:sz w:val="22"/>
              </w:rPr>
            </w:pPr>
            <w:r w:rsidRPr="00A839D3">
              <w:rPr>
                <w:i/>
                <w:iCs/>
                <w:color w:val="000000"/>
                <w:sz w:val="22"/>
              </w:rPr>
              <w:t>L. amazonensis</w:t>
            </w:r>
          </w:p>
          <w:p w:rsidR="00AB5BA6" w:rsidRPr="00A839D3" w:rsidRDefault="00AB5BA6" w:rsidP="00A7768B">
            <w:pPr>
              <w:ind w:left="360" w:hanging="360"/>
              <w:jc w:val="left"/>
              <w:textAlignment w:val="baseline"/>
              <w:rPr>
                <w:rFonts w:eastAsia="SimSun"/>
                <w:i/>
                <w:iCs/>
                <w:kern w:val="24"/>
                <w:sz w:val="22"/>
                <w:lang w:val="fr-FR" w:eastAsia="es-CO"/>
              </w:rPr>
            </w:pPr>
          </w:p>
        </w:tc>
        <w:tc>
          <w:tcPr>
            <w:tcW w:w="1420" w:type="dxa"/>
          </w:tcPr>
          <w:p w:rsidR="00AB5BA6" w:rsidRPr="00A839D3" w:rsidRDefault="00AB5BA6" w:rsidP="00A7768B">
            <w:pPr>
              <w:autoSpaceDE w:val="0"/>
              <w:autoSpaceDN w:val="0"/>
              <w:adjustRightInd w:val="0"/>
              <w:ind w:left="360" w:hanging="360"/>
              <w:rPr>
                <w:color w:val="000000"/>
                <w:sz w:val="22"/>
              </w:rPr>
            </w:pPr>
            <w:r w:rsidRPr="00A839D3">
              <w:rPr>
                <w:color w:val="000000"/>
                <w:sz w:val="22"/>
              </w:rPr>
              <w:t>ZCL, DCL</w:t>
            </w:r>
          </w:p>
          <w:p w:rsidR="00AB5BA6" w:rsidRPr="00A839D3" w:rsidRDefault="00AB5BA6" w:rsidP="00A7768B">
            <w:pPr>
              <w:ind w:left="360" w:hanging="360"/>
              <w:jc w:val="left"/>
              <w:textAlignment w:val="baseline"/>
              <w:rPr>
                <w:rFonts w:eastAsia="SimSun"/>
                <w:kern w:val="24"/>
                <w:sz w:val="22"/>
                <w:lang w:val="fr-FR" w:eastAsia="es-CO"/>
              </w:rPr>
            </w:pPr>
          </w:p>
        </w:tc>
        <w:tc>
          <w:tcPr>
            <w:tcW w:w="2468" w:type="dxa"/>
          </w:tcPr>
          <w:p w:rsidR="00AB5BA6" w:rsidRPr="00A839D3" w:rsidRDefault="00AB5BA6" w:rsidP="00A7768B">
            <w:pPr>
              <w:autoSpaceDE w:val="0"/>
              <w:autoSpaceDN w:val="0"/>
              <w:adjustRightInd w:val="0"/>
              <w:ind w:left="0" w:firstLine="0"/>
              <w:rPr>
                <w:i/>
                <w:iCs/>
                <w:color w:val="000000"/>
                <w:sz w:val="22"/>
              </w:rPr>
            </w:pPr>
            <w:r w:rsidRPr="00A839D3">
              <w:rPr>
                <w:i/>
                <w:iCs/>
                <w:color w:val="000000"/>
                <w:sz w:val="22"/>
              </w:rPr>
              <w:t xml:space="preserve">Lu. </w:t>
            </w:r>
            <w:proofErr w:type="spellStart"/>
            <w:r w:rsidRPr="00A839D3">
              <w:rPr>
                <w:i/>
                <w:iCs/>
                <w:color w:val="000000"/>
                <w:sz w:val="22"/>
              </w:rPr>
              <w:t>flaviscutellata</w:t>
            </w:r>
            <w:proofErr w:type="spellEnd"/>
          </w:p>
          <w:p w:rsidR="00AB5BA6" w:rsidRPr="00A839D3" w:rsidRDefault="00AB5BA6" w:rsidP="00A7768B">
            <w:pPr>
              <w:ind w:left="0" w:firstLine="0"/>
              <w:jc w:val="left"/>
              <w:textAlignment w:val="baseline"/>
              <w:rPr>
                <w:rFonts w:eastAsia="Cambria"/>
                <w:i/>
                <w:iCs/>
                <w:kern w:val="24"/>
                <w:sz w:val="22"/>
                <w:lang w:val="fr-FR" w:eastAsia="es-CO"/>
              </w:rPr>
            </w:pPr>
          </w:p>
        </w:tc>
        <w:tc>
          <w:tcPr>
            <w:tcW w:w="3420" w:type="dxa"/>
          </w:tcPr>
          <w:p w:rsidR="00AB5BA6" w:rsidRPr="00A839D3" w:rsidRDefault="00AB5BA6" w:rsidP="00A7768B">
            <w:pPr>
              <w:autoSpaceDE w:val="0"/>
              <w:autoSpaceDN w:val="0"/>
              <w:adjustRightInd w:val="0"/>
              <w:ind w:left="0" w:firstLine="0"/>
              <w:rPr>
                <w:color w:val="000000"/>
                <w:sz w:val="22"/>
              </w:rPr>
            </w:pPr>
            <w:proofErr w:type="spellStart"/>
            <w:r>
              <w:rPr>
                <w:color w:val="000000"/>
                <w:sz w:val="22"/>
              </w:rPr>
              <w:t>U</w:t>
            </w:r>
            <w:r w:rsidRPr="00A839D3">
              <w:rPr>
                <w:color w:val="000000"/>
                <w:sz w:val="22"/>
              </w:rPr>
              <w:t>nknown</w:t>
            </w:r>
            <w:proofErr w:type="spellEnd"/>
          </w:p>
          <w:p w:rsidR="00AB5BA6" w:rsidRPr="00A839D3" w:rsidRDefault="00AB5BA6" w:rsidP="00A7768B">
            <w:pPr>
              <w:ind w:left="0" w:firstLine="0"/>
              <w:jc w:val="left"/>
              <w:textAlignment w:val="baseline"/>
              <w:rPr>
                <w:rFonts w:eastAsia="Cambria"/>
                <w:i/>
                <w:iCs/>
                <w:kern w:val="24"/>
                <w:sz w:val="22"/>
                <w:lang w:val="fr-FR" w:eastAsia="es-CO"/>
              </w:rPr>
            </w:pPr>
          </w:p>
        </w:tc>
      </w:tr>
      <w:tr w:rsidR="00AB5BA6" w:rsidRPr="000113A6" w:rsidTr="00A7768B">
        <w:trPr>
          <w:trHeight w:val="313"/>
        </w:trPr>
        <w:tc>
          <w:tcPr>
            <w:tcW w:w="2160" w:type="dxa"/>
          </w:tcPr>
          <w:p w:rsidR="00AB5BA6" w:rsidRPr="00A839D3" w:rsidRDefault="00AB5BA6" w:rsidP="00A7768B">
            <w:pPr>
              <w:autoSpaceDE w:val="0"/>
              <w:autoSpaceDN w:val="0"/>
              <w:adjustRightInd w:val="0"/>
              <w:ind w:left="360" w:hanging="360"/>
              <w:rPr>
                <w:i/>
                <w:iCs/>
                <w:color w:val="000000"/>
                <w:sz w:val="22"/>
              </w:rPr>
            </w:pPr>
            <w:r w:rsidRPr="00A839D3">
              <w:rPr>
                <w:i/>
                <w:iCs/>
                <w:color w:val="000000"/>
                <w:sz w:val="22"/>
              </w:rPr>
              <w:t>L. mexicana</w:t>
            </w:r>
          </w:p>
          <w:p w:rsidR="00AB5BA6" w:rsidRPr="00A839D3" w:rsidRDefault="00AB5BA6" w:rsidP="00A7768B">
            <w:pPr>
              <w:ind w:left="360" w:hanging="360"/>
              <w:jc w:val="left"/>
              <w:textAlignment w:val="baseline"/>
              <w:rPr>
                <w:rFonts w:eastAsia="SimSun"/>
                <w:i/>
                <w:iCs/>
                <w:kern w:val="24"/>
                <w:sz w:val="22"/>
                <w:lang w:val="fr-FR" w:eastAsia="es-CO"/>
              </w:rPr>
            </w:pPr>
          </w:p>
        </w:tc>
        <w:tc>
          <w:tcPr>
            <w:tcW w:w="1420" w:type="dxa"/>
          </w:tcPr>
          <w:p w:rsidR="00AB5BA6" w:rsidRPr="00A839D3" w:rsidRDefault="00AB5BA6" w:rsidP="00A7768B">
            <w:pPr>
              <w:autoSpaceDE w:val="0"/>
              <w:autoSpaceDN w:val="0"/>
              <w:adjustRightInd w:val="0"/>
              <w:ind w:left="360" w:hanging="360"/>
              <w:rPr>
                <w:color w:val="000000"/>
                <w:sz w:val="22"/>
              </w:rPr>
            </w:pPr>
            <w:r w:rsidRPr="00A839D3">
              <w:rPr>
                <w:color w:val="000000"/>
                <w:sz w:val="22"/>
              </w:rPr>
              <w:t>ZCL</w:t>
            </w:r>
          </w:p>
          <w:p w:rsidR="00AB5BA6" w:rsidRPr="00A839D3" w:rsidRDefault="00AB5BA6" w:rsidP="00A7768B">
            <w:pPr>
              <w:ind w:left="360" w:hanging="360"/>
              <w:jc w:val="left"/>
              <w:textAlignment w:val="baseline"/>
              <w:rPr>
                <w:rFonts w:eastAsia="SimSun"/>
                <w:kern w:val="24"/>
                <w:sz w:val="22"/>
                <w:lang w:val="fr-FR" w:eastAsia="es-CO"/>
              </w:rPr>
            </w:pPr>
          </w:p>
        </w:tc>
        <w:tc>
          <w:tcPr>
            <w:tcW w:w="2468" w:type="dxa"/>
          </w:tcPr>
          <w:p w:rsidR="00AB5BA6" w:rsidRPr="00A839D3" w:rsidRDefault="00AB5BA6" w:rsidP="00A7768B">
            <w:pPr>
              <w:autoSpaceDE w:val="0"/>
              <w:autoSpaceDN w:val="0"/>
              <w:adjustRightInd w:val="0"/>
              <w:ind w:left="0" w:firstLine="0"/>
              <w:rPr>
                <w:i/>
                <w:iCs/>
                <w:color w:val="000000"/>
                <w:sz w:val="22"/>
              </w:rPr>
            </w:pPr>
            <w:r w:rsidRPr="00A839D3">
              <w:rPr>
                <w:i/>
                <w:iCs/>
                <w:color w:val="000000"/>
                <w:sz w:val="22"/>
              </w:rPr>
              <w:t xml:space="preserve">Lu. </w:t>
            </w:r>
            <w:proofErr w:type="spellStart"/>
            <w:r w:rsidRPr="00A839D3">
              <w:rPr>
                <w:i/>
                <w:iCs/>
                <w:color w:val="000000"/>
                <w:sz w:val="22"/>
              </w:rPr>
              <w:t>columbiana</w:t>
            </w:r>
            <w:proofErr w:type="spellEnd"/>
          </w:p>
          <w:p w:rsidR="00AB5BA6" w:rsidRPr="00A839D3" w:rsidRDefault="00AB5BA6" w:rsidP="00A7768B">
            <w:pPr>
              <w:ind w:left="0" w:firstLine="0"/>
              <w:jc w:val="left"/>
              <w:textAlignment w:val="baseline"/>
              <w:rPr>
                <w:rFonts w:eastAsia="Cambria"/>
                <w:i/>
                <w:iCs/>
                <w:kern w:val="24"/>
                <w:sz w:val="22"/>
                <w:lang w:val="fr-FR" w:eastAsia="es-CO"/>
              </w:rPr>
            </w:pPr>
          </w:p>
        </w:tc>
        <w:tc>
          <w:tcPr>
            <w:tcW w:w="3420" w:type="dxa"/>
          </w:tcPr>
          <w:p w:rsidR="00AB5BA6" w:rsidRPr="00A839D3" w:rsidRDefault="00AB5BA6" w:rsidP="00A7768B">
            <w:pPr>
              <w:autoSpaceDE w:val="0"/>
              <w:autoSpaceDN w:val="0"/>
              <w:adjustRightInd w:val="0"/>
              <w:ind w:left="0" w:firstLine="0"/>
              <w:rPr>
                <w:i/>
                <w:iCs/>
                <w:color w:val="000000"/>
                <w:sz w:val="22"/>
              </w:rPr>
            </w:pPr>
            <w:r w:rsidRPr="00A839D3">
              <w:rPr>
                <w:i/>
                <w:iCs/>
                <w:color w:val="000000"/>
                <w:sz w:val="22"/>
                <w:lang w:val="it-IT"/>
              </w:rPr>
              <w:t>Didelphis marsupialis</w:t>
            </w:r>
          </w:p>
          <w:p w:rsidR="00AB5BA6" w:rsidRPr="00A839D3" w:rsidRDefault="00AB5BA6" w:rsidP="00A7768B">
            <w:pPr>
              <w:ind w:left="0" w:firstLine="0"/>
              <w:jc w:val="left"/>
              <w:textAlignment w:val="baseline"/>
              <w:rPr>
                <w:rFonts w:eastAsia="Cambria"/>
                <w:i/>
                <w:iCs/>
                <w:kern w:val="24"/>
                <w:sz w:val="22"/>
                <w:lang w:val="fr-FR" w:eastAsia="es-CO"/>
              </w:rPr>
            </w:pPr>
          </w:p>
        </w:tc>
      </w:tr>
      <w:tr w:rsidR="00AB5BA6" w:rsidRPr="000113A6" w:rsidTr="00A7768B">
        <w:trPr>
          <w:trHeight w:val="538"/>
        </w:trPr>
        <w:tc>
          <w:tcPr>
            <w:tcW w:w="2160" w:type="dxa"/>
          </w:tcPr>
          <w:p w:rsidR="00AB5BA6" w:rsidRPr="00A839D3" w:rsidRDefault="00AB5BA6" w:rsidP="00A7768B">
            <w:pPr>
              <w:autoSpaceDE w:val="0"/>
              <w:autoSpaceDN w:val="0"/>
              <w:adjustRightInd w:val="0"/>
              <w:ind w:left="360" w:hanging="360"/>
              <w:rPr>
                <w:i/>
                <w:iCs/>
                <w:color w:val="000000"/>
                <w:sz w:val="22"/>
              </w:rPr>
            </w:pPr>
            <w:r w:rsidRPr="00A839D3">
              <w:rPr>
                <w:i/>
                <w:iCs/>
                <w:color w:val="000000"/>
                <w:sz w:val="22"/>
              </w:rPr>
              <w:t>L. infantum</w:t>
            </w:r>
          </w:p>
          <w:p w:rsidR="00AB5BA6" w:rsidRPr="00A839D3" w:rsidRDefault="00AB5BA6" w:rsidP="00A7768B">
            <w:pPr>
              <w:ind w:left="360" w:hanging="360"/>
              <w:jc w:val="left"/>
              <w:textAlignment w:val="baseline"/>
              <w:rPr>
                <w:rFonts w:eastAsia="SimSun"/>
                <w:i/>
                <w:iCs/>
                <w:kern w:val="24"/>
                <w:sz w:val="22"/>
                <w:lang w:val="fr-FR" w:eastAsia="es-CO"/>
              </w:rPr>
            </w:pPr>
          </w:p>
        </w:tc>
        <w:tc>
          <w:tcPr>
            <w:tcW w:w="1420" w:type="dxa"/>
          </w:tcPr>
          <w:p w:rsidR="00AB5BA6" w:rsidRPr="00A839D3" w:rsidRDefault="00AB5BA6" w:rsidP="00A7768B">
            <w:pPr>
              <w:autoSpaceDE w:val="0"/>
              <w:autoSpaceDN w:val="0"/>
              <w:adjustRightInd w:val="0"/>
              <w:ind w:left="360" w:hanging="360"/>
              <w:rPr>
                <w:color w:val="000000"/>
                <w:sz w:val="22"/>
              </w:rPr>
            </w:pPr>
            <w:r w:rsidRPr="00A839D3">
              <w:rPr>
                <w:color w:val="000000"/>
                <w:sz w:val="22"/>
              </w:rPr>
              <w:t>ZVL</w:t>
            </w:r>
          </w:p>
          <w:p w:rsidR="00AB5BA6" w:rsidRPr="00A839D3" w:rsidRDefault="00AB5BA6" w:rsidP="00A7768B">
            <w:pPr>
              <w:ind w:left="360" w:hanging="360"/>
              <w:jc w:val="left"/>
              <w:textAlignment w:val="baseline"/>
              <w:rPr>
                <w:rFonts w:eastAsia="SimSun"/>
                <w:kern w:val="24"/>
                <w:sz w:val="22"/>
                <w:lang w:val="fr-FR" w:eastAsia="es-CO"/>
              </w:rPr>
            </w:pPr>
          </w:p>
        </w:tc>
        <w:tc>
          <w:tcPr>
            <w:tcW w:w="2468" w:type="dxa"/>
          </w:tcPr>
          <w:p w:rsidR="00AB5BA6" w:rsidRPr="00A839D3" w:rsidRDefault="00AB5BA6" w:rsidP="00A7768B">
            <w:pPr>
              <w:autoSpaceDE w:val="0"/>
              <w:autoSpaceDN w:val="0"/>
              <w:adjustRightInd w:val="0"/>
              <w:ind w:left="0" w:firstLine="0"/>
              <w:rPr>
                <w:i/>
                <w:iCs/>
                <w:color w:val="000000"/>
                <w:sz w:val="22"/>
                <w:lang w:val="en-US"/>
              </w:rPr>
            </w:pPr>
            <w:r w:rsidRPr="00A839D3">
              <w:rPr>
                <w:i/>
                <w:iCs/>
                <w:color w:val="000000"/>
                <w:sz w:val="22"/>
                <w:lang w:val="en-US"/>
              </w:rPr>
              <w:t xml:space="preserve">Lu. </w:t>
            </w:r>
            <w:proofErr w:type="spellStart"/>
            <w:r w:rsidRPr="00A839D3">
              <w:rPr>
                <w:i/>
                <w:iCs/>
                <w:color w:val="000000"/>
                <w:sz w:val="22"/>
                <w:lang w:val="en-US"/>
              </w:rPr>
              <w:t>longipalpis</w:t>
            </w:r>
            <w:proofErr w:type="spellEnd"/>
            <w:r w:rsidRPr="00A839D3">
              <w:rPr>
                <w:i/>
                <w:iCs/>
                <w:color w:val="000000"/>
                <w:sz w:val="22"/>
                <w:lang w:val="en-US"/>
              </w:rPr>
              <w:t xml:space="preserve">, </w:t>
            </w:r>
          </w:p>
          <w:p w:rsidR="00AB5BA6" w:rsidRPr="00A839D3" w:rsidRDefault="00AB5BA6" w:rsidP="00A7768B">
            <w:pPr>
              <w:ind w:left="0" w:firstLine="0"/>
              <w:jc w:val="left"/>
              <w:textAlignment w:val="baseline"/>
              <w:rPr>
                <w:rFonts w:eastAsia="Cambria"/>
                <w:i/>
                <w:iCs/>
                <w:kern w:val="24"/>
                <w:sz w:val="22"/>
                <w:lang w:val="fr-FR" w:eastAsia="es-CO"/>
              </w:rPr>
            </w:pPr>
            <w:r w:rsidRPr="00A839D3">
              <w:rPr>
                <w:i/>
                <w:iCs/>
                <w:color w:val="000000"/>
                <w:sz w:val="22"/>
                <w:lang w:val="en-US"/>
              </w:rPr>
              <w:t xml:space="preserve">Lu. </w:t>
            </w:r>
            <w:proofErr w:type="spellStart"/>
            <w:r w:rsidRPr="00A839D3">
              <w:rPr>
                <w:i/>
                <w:iCs/>
                <w:color w:val="000000"/>
                <w:sz w:val="22"/>
                <w:lang w:val="en-US"/>
              </w:rPr>
              <w:t>evansi</w:t>
            </w:r>
            <w:proofErr w:type="spellEnd"/>
          </w:p>
        </w:tc>
        <w:tc>
          <w:tcPr>
            <w:tcW w:w="3420" w:type="dxa"/>
          </w:tcPr>
          <w:p w:rsidR="00AB5BA6" w:rsidRPr="00A839D3" w:rsidRDefault="00AB5BA6" w:rsidP="00A7768B">
            <w:pPr>
              <w:autoSpaceDE w:val="0"/>
              <w:autoSpaceDN w:val="0"/>
              <w:adjustRightInd w:val="0"/>
              <w:ind w:left="0" w:firstLine="0"/>
              <w:rPr>
                <w:i/>
                <w:iCs/>
                <w:color w:val="000000"/>
                <w:sz w:val="22"/>
                <w:lang w:val="en-US"/>
              </w:rPr>
            </w:pPr>
            <w:r w:rsidRPr="00A839D3">
              <w:rPr>
                <w:i/>
                <w:iCs/>
                <w:color w:val="000000"/>
                <w:sz w:val="22"/>
                <w:lang w:val="it-IT"/>
              </w:rPr>
              <w:t>Canis familiaris</w:t>
            </w:r>
            <w:r w:rsidRPr="00A839D3">
              <w:rPr>
                <w:i/>
                <w:iCs/>
                <w:color w:val="000000"/>
                <w:sz w:val="22"/>
                <w:lang w:val="en-US"/>
              </w:rPr>
              <w:t xml:space="preserve">, </w:t>
            </w:r>
          </w:p>
          <w:p w:rsidR="00AB5BA6" w:rsidRPr="00A839D3" w:rsidRDefault="00AB5BA6" w:rsidP="00A7768B">
            <w:pPr>
              <w:ind w:left="0" w:firstLine="0"/>
              <w:jc w:val="left"/>
              <w:textAlignment w:val="baseline"/>
              <w:rPr>
                <w:rFonts w:eastAsia="Cambria"/>
                <w:i/>
                <w:iCs/>
                <w:kern w:val="24"/>
                <w:sz w:val="22"/>
                <w:lang w:val="fr-FR" w:eastAsia="es-CO"/>
              </w:rPr>
            </w:pPr>
            <w:proofErr w:type="spellStart"/>
            <w:r w:rsidRPr="00A839D3">
              <w:rPr>
                <w:i/>
                <w:iCs/>
                <w:color w:val="000000"/>
                <w:sz w:val="22"/>
                <w:lang w:val="en-US"/>
              </w:rPr>
              <w:t>Didelphis</w:t>
            </w:r>
            <w:proofErr w:type="spellEnd"/>
            <w:r w:rsidRPr="00A839D3">
              <w:rPr>
                <w:i/>
                <w:iCs/>
                <w:color w:val="000000"/>
                <w:sz w:val="22"/>
                <w:lang w:val="en-US"/>
              </w:rPr>
              <w:t xml:space="preserve"> </w:t>
            </w:r>
            <w:proofErr w:type="spellStart"/>
            <w:r w:rsidRPr="00A839D3">
              <w:rPr>
                <w:i/>
                <w:iCs/>
                <w:color w:val="000000"/>
                <w:sz w:val="22"/>
                <w:lang w:val="en-US"/>
              </w:rPr>
              <w:t>marsupialis</w:t>
            </w:r>
            <w:proofErr w:type="spellEnd"/>
          </w:p>
        </w:tc>
      </w:tr>
    </w:tbl>
    <w:p w:rsidR="00AB5BA6" w:rsidRPr="00B21A09" w:rsidRDefault="00AB5BA6" w:rsidP="00AB5BA6">
      <w:pPr>
        <w:ind w:left="0" w:firstLine="0"/>
        <w:rPr>
          <w:sz w:val="22"/>
          <w:lang w:val="en-GB"/>
        </w:rPr>
      </w:pPr>
    </w:p>
    <w:p w:rsidR="00AB5BA6" w:rsidRDefault="00AB5BA6" w:rsidP="00AB5BA6">
      <w:pPr>
        <w:ind w:left="0" w:firstLine="0"/>
        <w:rPr>
          <w:sz w:val="22"/>
          <w:lang w:val="en-GB"/>
        </w:rPr>
      </w:pPr>
    </w:p>
    <w:p w:rsidR="00AB5BA6" w:rsidRDefault="00AB5BA6" w:rsidP="00AB5BA6">
      <w:pPr>
        <w:ind w:left="0" w:firstLine="0"/>
        <w:rPr>
          <w:sz w:val="22"/>
          <w:lang w:val="en-GB"/>
        </w:rPr>
      </w:pPr>
    </w:p>
    <w:p w:rsidR="00AB5BA6" w:rsidRDefault="00AB5BA6" w:rsidP="00AB5BA6">
      <w:pPr>
        <w:ind w:left="0" w:firstLine="0"/>
        <w:rPr>
          <w:sz w:val="22"/>
          <w:lang w:val="en-GB"/>
        </w:rPr>
      </w:pPr>
    </w:p>
    <w:p w:rsidR="00AB5BA6" w:rsidRDefault="00AB5BA6" w:rsidP="00AB5BA6">
      <w:pPr>
        <w:ind w:left="0" w:firstLine="0"/>
        <w:rPr>
          <w:sz w:val="22"/>
          <w:lang w:val="en-GB"/>
        </w:rPr>
      </w:pPr>
    </w:p>
    <w:p w:rsidR="00AB5BA6" w:rsidRDefault="00AB5BA6" w:rsidP="00AB5BA6">
      <w:pPr>
        <w:ind w:left="0" w:firstLine="0"/>
        <w:rPr>
          <w:sz w:val="22"/>
          <w:lang w:val="en-GB"/>
        </w:rPr>
      </w:pPr>
    </w:p>
    <w:p w:rsidR="00AB5BA6" w:rsidRDefault="00AB5BA6" w:rsidP="00AB5BA6">
      <w:pPr>
        <w:ind w:left="0" w:firstLine="0"/>
        <w:rPr>
          <w:sz w:val="22"/>
          <w:lang w:val="en-GB"/>
        </w:rPr>
      </w:pPr>
    </w:p>
    <w:p w:rsidR="00AB5BA6" w:rsidRDefault="00AB5BA6" w:rsidP="00AB5BA6">
      <w:pPr>
        <w:ind w:left="0" w:firstLine="0"/>
        <w:rPr>
          <w:sz w:val="22"/>
          <w:lang w:val="en-GB"/>
        </w:rPr>
      </w:pPr>
    </w:p>
    <w:p w:rsidR="00AB5BA6" w:rsidRDefault="00AB5BA6" w:rsidP="00AB5BA6">
      <w:pPr>
        <w:ind w:left="0" w:firstLine="0"/>
        <w:rPr>
          <w:sz w:val="22"/>
          <w:lang w:val="en-GB"/>
        </w:rPr>
      </w:pPr>
    </w:p>
    <w:p w:rsidR="00AB5BA6" w:rsidRDefault="00AB5BA6" w:rsidP="00AB5BA6">
      <w:pPr>
        <w:ind w:left="0" w:firstLine="0"/>
        <w:rPr>
          <w:sz w:val="22"/>
          <w:lang w:val="en-GB"/>
        </w:rPr>
      </w:pPr>
    </w:p>
    <w:p w:rsidR="00AB5BA6" w:rsidRDefault="00AB5BA6" w:rsidP="00AB5BA6">
      <w:pPr>
        <w:ind w:left="0" w:firstLine="0"/>
        <w:rPr>
          <w:sz w:val="22"/>
          <w:lang w:val="en-GB"/>
        </w:rPr>
      </w:pPr>
    </w:p>
    <w:p w:rsidR="00AB5BA6" w:rsidRDefault="00AB5BA6" w:rsidP="00AB5BA6">
      <w:pPr>
        <w:ind w:left="0" w:firstLine="0"/>
        <w:rPr>
          <w:sz w:val="22"/>
          <w:lang w:val="en-GB"/>
        </w:rPr>
      </w:pPr>
    </w:p>
    <w:p w:rsidR="00AB5BA6" w:rsidRDefault="00AB5BA6" w:rsidP="00AB5BA6">
      <w:pPr>
        <w:ind w:left="0" w:firstLine="0"/>
        <w:rPr>
          <w:sz w:val="22"/>
          <w:lang w:val="en-GB"/>
        </w:rPr>
      </w:pPr>
    </w:p>
    <w:p w:rsidR="00AB5BA6" w:rsidRDefault="00AB5BA6" w:rsidP="00AB5BA6">
      <w:pPr>
        <w:ind w:left="0" w:firstLine="0"/>
        <w:rPr>
          <w:b/>
          <w:bCs/>
          <w:sz w:val="22"/>
          <w:lang w:val="en-GB"/>
        </w:rPr>
      </w:pPr>
    </w:p>
    <w:p w:rsidR="00AB5BA6" w:rsidRPr="003A3FD4" w:rsidRDefault="00AB5BA6" w:rsidP="00AB5BA6">
      <w:pPr>
        <w:ind w:left="0" w:firstLine="0"/>
        <w:rPr>
          <w:b/>
          <w:bCs/>
          <w:sz w:val="22"/>
          <w:lang w:val="en-GB"/>
        </w:rPr>
      </w:pPr>
      <w:r w:rsidRPr="003A3FD4">
        <w:rPr>
          <w:b/>
          <w:bCs/>
          <w:sz w:val="22"/>
          <w:lang w:val="en-GB"/>
        </w:rPr>
        <w:lastRenderedPageBreak/>
        <w:t>MAPS AND TRENDS</w:t>
      </w:r>
    </w:p>
    <w:p w:rsidR="00AB5BA6" w:rsidRPr="003A3FD4" w:rsidRDefault="00AB5BA6" w:rsidP="00AB5BA6">
      <w:pPr>
        <w:ind w:left="0" w:firstLine="0"/>
        <w:rPr>
          <w:b/>
          <w:bCs/>
          <w:sz w:val="22"/>
          <w:lang w:val="en-GB"/>
        </w:rPr>
      </w:pPr>
    </w:p>
    <w:p w:rsidR="00AB5BA6" w:rsidRPr="003A3FD4" w:rsidRDefault="00AB5BA6" w:rsidP="00AB5BA6">
      <w:pPr>
        <w:ind w:left="0" w:firstLine="0"/>
        <w:rPr>
          <w:b/>
          <w:bCs/>
          <w:sz w:val="22"/>
          <w:lang w:val="en-GB"/>
        </w:rPr>
      </w:pPr>
      <w:r w:rsidRPr="003A3FD4">
        <w:rPr>
          <w:b/>
          <w:bCs/>
          <w:sz w:val="22"/>
          <w:lang w:val="en-GB"/>
        </w:rPr>
        <w:t>Visceral leishmaniasis</w:t>
      </w:r>
    </w:p>
    <w:p w:rsidR="00AB5BA6" w:rsidRPr="003A3FD4" w:rsidRDefault="00AB5BA6" w:rsidP="00AB5BA6">
      <w:pPr>
        <w:ind w:left="0" w:firstLine="0"/>
        <w:rPr>
          <w:b/>
          <w:bCs/>
          <w:sz w:val="22"/>
          <w:lang w:val="en-GB"/>
        </w:rPr>
      </w:pPr>
      <w:r>
        <w:rPr>
          <w:noProof/>
          <w:sz w:val="22"/>
          <w:lang w:val="en-US"/>
        </w:rPr>
        <w:drawing>
          <wp:anchor distT="0" distB="0" distL="114300" distR="114300" simplePos="0" relativeHeight="251664384" behindDoc="0" locked="0" layoutInCell="1" allowOverlap="1">
            <wp:simplePos x="0" y="0"/>
            <wp:positionH relativeFrom="column">
              <wp:posOffset>2857500</wp:posOffset>
            </wp:positionH>
            <wp:positionV relativeFrom="paragraph">
              <wp:posOffset>89535</wp:posOffset>
            </wp:positionV>
            <wp:extent cx="2559050" cy="36214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559050" cy="3621405"/>
                    </a:xfrm>
                    <a:prstGeom prst="rect">
                      <a:avLst/>
                    </a:prstGeom>
                    <a:noFill/>
                    <a:ln w="9525">
                      <a:noFill/>
                      <a:miter lim="800000"/>
                      <a:headEnd/>
                      <a:tailEnd/>
                    </a:ln>
                  </pic:spPr>
                </pic:pic>
              </a:graphicData>
            </a:graphic>
          </wp:anchor>
        </w:drawing>
      </w:r>
      <w:r>
        <w:rPr>
          <w:noProof/>
          <w:sz w:val="22"/>
          <w:lang w:val="en-US"/>
        </w:rPr>
        <w:drawing>
          <wp:anchor distT="0" distB="0" distL="114300" distR="114300" simplePos="0" relativeHeight="251663360" behindDoc="0" locked="0" layoutInCell="1" allowOverlap="1">
            <wp:simplePos x="0" y="0"/>
            <wp:positionH relativeFrom="column">
              <wp:posOffset>-130175</wp:posOffset>
            </wp:positionH>
            <wp:positionV relativeFrom="paragraph">
              <wp:posOffset>74930</wp:posOffset>
            </wp:positionV>
            <wp:extent cx="2519680" cy="356489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519680" cy="3564890"/>
                    </a:xfrm>
                    <a:prstGeom prst="rect">
                      <a:avLst/>
                    </a:prstGeom>
                    <a:noFill/>
                    <a:ln w="9525">
                      <a:noFill/>
                      <a:miter lim="800000"/>
                      <a:headEnd/>
                      <a:tailEnd/>
                    </a:ln>
                  </pic:spPr>
                </pic:pic>
              </a:graphicData>
            </a:graphic>
          </wp:anchor>
        </w:drawing>
      </w: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sz w:val="22"/>
          <w:lang w:val="en-GB"/>
        </w:rPr>
      </w:pPr>
    </w:p>
    <w:p w:rsidR="00AB5BA6" w:rsidRPr="003A3FD4" w:rsidRDefault="00AB5BA6" w:rsidP="00AB5BA6">
      <w:pPr>
        <w:ind w:left="0" w:firstLine="0"/>
        <w:rPr>
          <w:b/>
          <w:bCs/>
          <w:sz w:val="22"/>
          <w:lang w:val="en-GB"/>
        </w:rPr>
      </w:pPr>
      <w:r w:rsidRPr="003A3FD4">
        <w:rPr>
          <w:b/>
          <w:bCs/>
          <w:sz w:val="22"/>
          <w:lang w:val="en-GB"/>
        </w:rPr>
        <w:t>Cutaneous leishmaniasis</w:t>
      </w:r>
    </w:p>
    <w:p w:rsidR="00AB5BA6" w:rsidRDefault="00AB5BA6" w:rsidP="00AB5BA6">
      <w:pPr>
        <w:ind w:left="0" w:firstLine="0"/>
        <w:rPr>
          <w:sz w:val="22"/>
          <w:lang w:val="en-GB"/>
        </w:rPr>
      </w:pPr>
      <w:r>
        <w:rPr>
          <w:noProof/>
          <w:sz w:val="22"/>
          <w:lang w:val="en-US"/>
        </w:rPr>
        <w:drawing>
          <wp:anchor distT="0" distB="0" distL="114300" distR="114300" simplePos="0" relativeHeight="251665408" behindDoc="0" locked="0" layoutInCell="1" allowOverlap="1">
            <wp:simplePos x="0" y="0"/>
            <wp:positionH relativeFrom="column">
              <wp:posOffset>3005455</wp:posOffset>
            </wp:positionH>
            <wp:positionV relativeFrom="paragraph">
              <wp:posOffset>136525</wp:posOffset>
            </wp:positionV>
            <wp:extent cx="2574925" cy="364172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574925" cy="3641725"/>
                    </a:xfrm>
                    <a:prstGeom prst="rect">
                      <a:avLst/>
                    </a:prstGeom>
                    <a:noFill/>
                    <a:ln w="9525">
                      <a:noFill/>
                      <a:miter lim="800000"/>
                      <a:headEnd/>
                      <a:tailEnd/>
                    </a:ln>
                  </pic:spPr>
                </pic:pic>
              </a:graphicData>
            </a:graphic>
          </wp:anchor>
        </w:drawing>
      </w:r>
      <w:r>
        <w:rPr>
          <w:noProof/>
          <w:sz w:val="22"/>
          <w:lang w:val="en-US"/>
        </w:rPr>
        <w:drawing>
          <wp:inline distT="0" distB="0" distL="0" distR="0">
            <wp:extent cx="2667000" cy="3771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67000" cy="3771900"/>
                    </a:xfrm>
                    <a:prstGeom prst="rect">
                      <a:avLst/>
                    </a:prstGeom>
                    <a:noFill/>
                    <a:ln w="9525">
                      <a:noFill/>
                      <a:miter lim="800000"/>
                      <a:headEnd/>
                      <a:tailEnd/>
                    </a:ln>
                  </pic:spPr>
                </pic:pic>
              </a:graphicData>
            </a:graphic>
          </wp:inline>
        </w:drawing>
      </w:r>
    </w:p>
    <w:p w:rsidR="00AB5BA6" w:rsidRPr="00B02CD0" w:rsidRDefault="00AB5BA6" w:rsidP="00AB5BA6">
      <w:pPr>
        <w:ind w:left="0" w:firstLine="0"/>
        <w:rPr>
          <w:rFonts w:eastAsia="Times New Roman"/>
          <w:b/>
          <w:bCs/>
          <w:sz w:val="22"/>
          <w:lang w:val="en-GB" w:eastAsia="es-ES"/>
        </w:rPr>
      </w:pPr>
      <w:r>
        <w:rPr>
          <w:rFonts w:eastAsia="Times New Roman"/>
          <w:noProof/>
          <w:sz w:val="22"/>
          <w:lang w:val="en-US"/>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4848225" cy="2169160"/>
            <wp:effectExtent l="0" t="0" r="0" b="0"/>
            <wp:wrapNone/>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B02CD0">
        <w:rPr>
          <w:rFonts w:eastAsia="Times New Roman"/>
          <w:b/>
          <w:bCs/>
          <w:sz w:val="22"/>
          <w:lang w:val="en-GB" w:eastAsia="es-ES"/>
        </w:rPr>
        <w:t>Visceral leishmaniasis trend</w:t>
      </w: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sz w:val="22"/>
          <w:lang w:val="en-GB" w:eastAsia="es-ES"/>
        </w:rPr>
      </w:pPr>
    </w:p>
    <w:p w:rsidR="00AB5BA6" w:rsidRPr="00D41455" w:rsidRDefault="00AB5BA6" w:rsidP="00AB5BA6">
      <w:pPr>
        <w:ind w:left="0" w:firstLine="0"/>
        <w:rPr>
          <w:rFonts w:eastAsia="Times New Roman"/>
          <w:b/>
          <w:bCs/>
          <w:sz w:val="22"/>
          <w:highlight w:val="yellow"/>
          <w:lang w:val="en-GB" w:eastAsia="es-ES"/>
        </w:rPr>
      </w:pPr>
      <w:r w:rsidRPr="00B02CD0">
        <w:rPr>
          <w:rFonts w:eastAsia="Times New Roman"/>
          <w:b/>
          <w:bCs/>
          <w:sz w:val="22"/>
          <w:lang w:val="en-GB" w:eastAsia="es-ES"/>
        </w:rPr>
        <w:t>Cutaneous leishmaniasis trend</w:t>
      </w:r>
    </w:p>
    <w:p w:rsidR="00AB5BA6" w:rsidRPr="002C75B8" w:rsidRDefault="00AB5BA6" w:rsidP="00AB5BA6">
      <w:pPr>
        <w:ind w:left="0" w:firstLine="0"/>
        <w:rPr>
          <w:rFonts w:eastAsia="Times New Roman"/>
          <w:sz w:val="22"/>
          <w:lang w:val="en-GB" w:eastAsia="es-ES"/>
        </w:rPr>
      </w:pPr>
      <w:r>
        <w:rPr>
          <w:rFonts w:eastAsia="Times New Roman"/>
          <w:noProof/>
          <w:sz w:val="22"/>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5600700" cy="2523490"/>
            <wp:effectExtent l="0" t="0" r="0" b="0"/>
            <wp:wrapNone/>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B5BA6" w:rsidRPr="002C75B8" w:rsidRDefault="00AB5BA6" w:rsidP="00AB5BA6">
      <w:pPr>
        <w:ind w:left="0" w:firstLine="0"/>
        <w:rPr>
          <w:rFonts w:eastAsia="Times New Roman"/>
          <w:sz w:val="22"/>
          <w:lang w:val="en-GB" w:eastAsia="es-ES"/>
        </w:rPr>
      </w:pPr>
    </w:p>
    <w:p w:rsidR="00AB5BA6" w:rsidRPr="002C75B8" w:rsidRDefault="00AB5BA6" w:rsidP="00AB5BA6">
      <w:pPr>
        <w:ind w:left="0" w:firstLine="0"/>
        <w:rPr>
          <w:rFonts w:eastAsia="Times New Roman"/>
          <w:b/>
          <w:bCs/>
          <w:sz w:val="22"/>
          <w:lang w:val="en-GB" w:eastAsia="es-ES"/>
        </w:rPr>
      </w:pPr>
    </w:p>
    <w:p w:rsidR="00AB5BA6" w:rsidRPr="002C75B8" w:rsidRDefault="00AB5BA6" w:rsidP="00AB5BA6">
      <w:pPr>
        <w:ind w:left="0" w:firstLine="0"/>
        <w:rPr>
          <w:rFonts w:eastAsia="Times New Roman"/>
          <w:b/>
          <w:bCs/>
          <w:sz w:val="22"/>
          <w:lang w:val="en-GB" w:eastAsia="es-ES"/>
        </w:rPr>
      </w:pPr>
    </w:p>
    <w:p w:rsidR="00AB5BA6" w:rsidRPr="002C75B8" w:rsidRDefault="00AB5BA6" w:rsidP="00AB5BA6">
      <w:pPr>
        <w:ind w:left="0" w:firstLine="0"/>
        <w:rPr>
          <w:rFonts w:eastAsia="Times New Roman"/>
          <w:b/>
          <w:bCs/>
          <w:sz w:val="22"/>
          <w:lang w:val="en-GB" w:eastAsia="es-ES"/>
        </w:rPr>
      </w:pPr>
    </w:p>
    <w:p w:rsidR="00AB5BA6" w:rsidRPr="002C75B8" w:rsidRDefault="00AB5BA6" w:rsidP="00AB5BA6">
      <w:pPr>
        <w:ind w:left="0" w:firstLine="0"/>
        <w:rPr>
          <w:rFonts w:eastAsia="Times New Roman"/>
          <w:b/>
          <w:bCs/>
          <w:sz w:val="22"/>
          <w:lang w:val="en-GB" w:eastAsia="es-ES"/>
        </w:rPr>
      </w:pPr>
    </w:p>
    <w:p w:rsidR="00AB5BA6" w:rsidRPr="002C75B8" w:rsidRDefault="00AB5BA6" w:rsidP="00AB5BA6">
      <w:pPr>
        <w:ind w:left="0" w:firstLine="0"/>
        <w:rPr>
          <w:rFonts w:eastAsia="Times New Roman"/>
          <w:b/>
          <w:bCs/>
          <w:sz w:val="22"/>
          <w:lang w:val="en-GB" w:eastAsia="es-ES"/>
        </w:rPr>
      </w:pPr>
    </w:p>
    <w:p w:rsidR="00AB5BA6" w:rsidRPr="002C75B8" w:rsidRDefault="00AB5BA6" w:rsidP="00AB5BA6">
      <w:pPr>
        <w:ind w:left="0" w:firstLine="0"/>
        <w:rPr>
          <w:rFonts w:eastAsia="Times New Roman"/>
          <w:b/>
          <w:bCs/>
          <w:sz w:val="22"/>
          <w:lang w:val="en-GB" w:eastAsia="es-ES"/>
        </w:rPr>
      </w:pPr>
    </w:p>
    <w:p w:rsidR="00AB5BA6" w:rsidRPr="002C75B8" w:rsidRDefault="00AB5BA6" w:rsidP="00AB5BA6">
      <w:pPr>
        <w:ind w:left="0" w:firstLine="0"/>
        <w:rPr>
          <w:rFonts w:eastAsia="Times New Roman"/>
          <w:b/>
          <w:bCs/>
          <w:sz w:val="22"/>
          <w:lang w:val="en-GB" w:eastAsia="es-ES"/>
        </w:rPr>
      </w:pPr>
    </w:p>
    <w:p w:rsidR="00AB5BA6" w:rsidRPr="002C75B8" w:rsidRDefault="00AB5BA6" w:rsidP="00AB5BA6">
      <w:pPr>
        <w:ind w:left="0" w:firstLine="0"/>
        <w:rPr>
          <w:rFonts w:eastAsia="Times New Roman"/>
          <w:b/>
          <w:bCs/>
          <w:sz w:val="22"/>
          <w:lang w:val="en-GB" w:eastAsia="es-ES"/>
        </w:rPr>
      </w:pPr>
    </w:p>
    <w:p w:rsidR="00AB5BA6" w:rsidRPr="002C75B8" w:rsidRDefault="00AB5BA6" w:rsidP="00AB5BA6">
      <w:pPr>
        <w:ind w:left="0" w:firstLine="0"/>
        <w:rPr>
          <w:rFonts w:eastAsia="Times New Roman"/>
          <w:b/>
          <w:bCs/>
          <w:sz w:val="22"/>
          <w:lang w:val="en-GB" w:eastAsia="es-ES"/>
        </w:rPr>
      </w:pPr>
    </w:p>
    <w:p w:rsidR="00AB5BA6" w:rsidRPr="002C75B8" w:rsidRDefault="00AB5BA6" w:rsidP="00AB5BA6">
      <w:pPr>
        <w:ind w:left="0" w:firstLine="0"/>
        <w:rPr>
          <w:rFonts w:eastAsia="Times New Roman"/>
          <w:b/>
          <w:bCs/>
          <w:sz w:val="22"/>
          <w:lang w:val="en-GB" w:eastAsia="es-ES"/>
        </w:rPr>
      </w:pPr>
    </w:p>
    <w:p w:rsidR="00AB5BA6" w:rsidRPr="002C75B8" w:rsidRDefault="00AB5BA6" w:rsidP="00AB5BA6">
      <w:pPr>
        <w:ind w:left="0" w:firstLine="0"/>
        <w:rPr>
          <w:rFonts w:eastAsia="Times New Roman"/>
          <w:b/>
          <w:bCs/>
          <w:sz w:val="22"/>
          <w:lang w:val="en-GB" w:eastAsia="es-ES"/>
        </w:rPr>
      </w:pPr>
    </w:p>
    <w:p w:rsidR="00AB5BA6" w:rsidRPr="002C75B8" w:rsidRDefault="00AB5BA6" w:rsidP="00AB5BA6">
      <w:pPr>
        <w:ind w:left="0" w:firstLine="0"/>
        <w:rPr>
          <w:rFonts w:eastAsia="Times New Roman"/>
          <w:b/>
          <w:bCs/>
          <w:sz w:val="22"/>
          <w:lang w:val="en-GB" w:eastAsia="es-ES"/>
        </w:rPr>
      </w:pPr>
    </w:p>
    <w:p w:rsidR="00AB5BA6" w:rsidRPr="002C75B8"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r>
        <w:rPr>
          <w:rFonts w:eastAsia="Times New Roman"/>
          <w:b/>
          <w:bCs/>
          <w:sz w:val="22"/>
          <w:lang w:val="en-GB" w:eastAsia="es-ES"/>
        </w:rPr>
        <w:t>Mucocutaneous leishmaniasis trend</w:t>
      </w:r>
    </w:p>
    <w:p w:rsidR="00AB5BA6" w:rsidRPr="002C75B8" w:rsidRDefault="00AB5BA6" w:rsidP="00AB5BA6">
      <w:pPr>
        <w:ind w:left="0" w:firstLine="0"/>
        <w:rPr>
          <w:rFonts w:eastAsia="Times New Roman"/>
          <w:b/>
          <w:bCs/>
          <w:sz w:val="22"/>
          <w:lang w:val="en-GB" w:eastAsia="es-ES"/>
        </w:rPr>
      </w:pPr>
      <w:r>
        <w:rPr>
          <w:rFonts w:eastAsia="Times New Roman"/>
          <w:b/>
          <w:bCs/>
          <w:noProof/>
          <w:sz w:val="22"/>
          <w:lang w:val="en-US"/>
        </w:rPr>
        <w:drawing>
          <wp:anchor distT="0" distB="0" distL="114300" distR="114300" simplePos="0" relativeHeight="251662336" behindDoc="0" locked="0" layoutInCell="1" allowOverlap="1">
            <wp:simplePos x="0" y="0"/>
            <wp:positionH relativeFrom="column">
              <wp:posOffset>45720</wp:posOffset>
            </wp:positionH>
            <wp:positionV relativeFrom="paragraph">
              <wp:posOffset>7620</wp:posOffset>
            </wp:positionV>
            <wp:extent cx="4000500" cy="2169795"/>
            <wp:effectExtent l="0" t="0" r="0" b="0"/>
            <wp:wrapNone/>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Default="00AB5BA6" w:rsidP="00AB5BA6">
      <w:pPr>
        <w:ind w:left="0" w:firstLine="0"/>
        <w:rPr>
          <w:rFonts w:eastAsia="Times New Roman"/>
          <w:b/>
          <w:bCs/>
          <w:sz w:val="22"/>
          <w:lang w:val="en-GB" w:eastAsia="es-ES"/>
        </w:rPr>
      </w:pPr>
    </w:p>
    <w:p w:rsidR="00AB5BA6" w:rsidRPr="00B37375" w:rsidRDefault="00AB5BA6" w:rsidP="00AB5BA6">
      <w:pPr>
        <w:ind w:left="0" w:firstLine="0"/>
        <w:rPr>
          <w:rFonts w:eastAsia="Times New Roman"/>
          <w:b/>
          <w:bCs/>
          <w:sz w:val="22"/>
          <w:lang w:val="en-GB" w:eastAsia="es-ES"/>
        </w:rPr>
      </w:pPr>
      <w:r w:rsidRPr="00B37375">
        <w:rPr>
          <w:rFonts w:eastAsia="Times New Roman"/>
          <w:b/>
          <w:bCs/>
          <w:sz w:val="22"/>
          <w:lang w:val="en-GB" w:eastAsia="es-ES"/>
        </w:rPr>
        <w:lastRenderedPageBreak/>
        <w:t>CONTROL</w:t>
      </w:r>
    </w:p>
    <w:p w:rsidR="00AB5BA6" w:rsidRPr="00B37375" w:rsidRDefault="00AB5BA6" w:rsidP="00AB5BA6">
      <w:pPr>
        <w:ind w:left="0" w:firstLine="0"/>
        <w:rPr>
          <w:rFonts w:eastAsia="Times New Roman"/>
          <w:sz w:val="22"/>
          <w:lang w:val="en-GB" w:eastAsia="es-ES"/>
        </w:rPr>
      </w:pPr>
    </w:p>
    <w:p w:rsidR="00AB5BA6" w:rsidRPr="002C75B8" w:rsidRDefault="00AB5BA6" w:rsidP="00AB5BA6">
      <w:pPr>
        <w:ind w:left="0" w:firstLine="0"/>
        <w:rPr>
          <w:sz w:val="22"/>
          <w:lang w:val="en-US"/>
        </w:rPr>
      </w:pPr>
      <w:r w:rsidRPr="002C75B8">
        <w:rPr>
          <w:rFonts w:eastAsia="Times New Roman"/>
          <w:sz w:val="22"/>
          <w:lang w:val="en-US" w:eastAsia="es-ES"/>
        </w:rPr>
        <w:t xml:space="preserve">Leishmaniasis has been a notifiable disease since 1983 and the National Leishmaniasis Program was set up in </w:t>
      </w:r>
      <w:r w:rsidRPr="002C75B8">
        <w:rPr>
          <w:bCs/>
          <w:sz w:val="22"/>
          <w:lang w:val="en-GB"/>
        </w:rPr>
        <w:t xml:space="preserve">1998. Case detection is passive. </w:t>
      </w:r>
      <w:r w:rsidRPr="002C75B8">
        <w:rPr>
          <w:sz w:val="22"/>
          <w:lang w:val="en-US"/>
        </w:rPr>
        <w:t>There is a vector control program</w:t>
      </w:r>
      <w:r>
        <w:rPr>
          <w:sz w:val="22"/>
          <w:lang w:val="en-US"/>
        </w:rPr>
        <w:t>,</w:t>
      </w:r>
      <w:r w:rsidRPr="002C75B8">
        <w:rPr>
          <w:sz w:val="22"/>
          <w:lang w:val="en-US"/>
        </w:rPr>
        <w:t xml:space="preserve"> with regular insecticide </w:t>
      </w:r>
      <w:r>
        <w:rPr>
          <w:sz w:val="22"/>
          <w:lang w:val="en-US"/>
        </w:rPr>
        <w:t>s</w:t>
      </w:r>
      <w:r w:rsidRPr="002C75B8">
        <w:rPr>
          <w:sz w:val="22"/>
          <w:lang w:val="en-US"/>
        </w:rPr>
        <w:t xml:space="preserve">praying and </w:t>
      </w:r>
      <w:proofErr w:type="spellStart"/>
      <w:r w:rsidRPr="002C75B8">
        <w:rPr>
          <w:sz w:val="22"/>
          <w:lang w:val="en-US"/>
        </w:rPr>
        <w:t>bednet</w:t>
      </w:r>
      <w:proofErr w:type="spellEnd"/>
      <w:r w:rsidRPr="002C75B8">
        <w:rPr>
          <w:sz w:val="22"/>
          <w:lang w:val="en-US"/>
        </w:rPr>
        <w:t xml:space="preserve"> distribution. There is a reservoir control program, where positive dogs are sacrificed and rodent control is performed.  </w:t>
      </w:r>
    </w:p>
    <w:p w:rsidR="00AB5BA6" w:rsidRPr="002C75B8" w:rsidRDefault="00AB5BA6" w:rsidP="00AB5BA6">
      <w:pPr>
        <w:ind w:left="0" w:firstLine="0"/>
        <w:rPr>
          <w:sz w:val="22"/>
          <w:lang w:val="en-US"/>
        </w:rPr>
      </w:pPr>
    </w:p>
    <w:p w:rsidR="00AB5BA6" w:rsidRPr="002C75B8" w:rsidRDefault="00AB5BA6" w:rsidP="00AB5BA6">
      <w:pPr>
        <w:ind w:left="0" w:firstLine="0"/>
        <w:rPr>
          <w:rFonts w:eastAsia="Times New Roman"/>
          <w:sz w:val="22"/>
          <w:lang w:val="en-US" w:eastAsia="es-ES"/>
        </w:rPr>
      </w:pPr>
      <w:r w:rsidRPr="002C75B8">
        <w:rPr>
          <w:rFonts w:eastAsia="Times New Roman"/>
          <w:sz w:val="22"/>
          <w:lang w:val="en-US" w:eastAsia="es-ES"/>
        </w:rPr>
        <w:t xml:space="preserve">The program suffers from the following limitations: under-reporting of cases (failure to identify them), inaccessibility of diagnosis, lack of human resources to provide diagnosis and treatment (rural communities), high turnover of medical and paramedical personnel in the municipalities, competition with other vector-borne diseases of high importance (malaria) and urban diseases (dengue). </w:t>
      </w:r>
    </w:p>
    <w:p w:rsidR="00AB5BA6" w:rsidRPr="002C75B8" w:rsidRDefault="00AB5BA6" w:rsidP="00AB5BA6">
      <w:pPr>
        <w:ind w:left="0" w:firstLine="0"/>
        <w:rPr>
          <w:rFonts w:eastAsia="Times New Roman"/>
          <w:sz w:val="22"/>
          <w:lang w:val="en-US" w:eastAsia="es-ES"/>
        </w:rPr>
      </w:pPr>
    </w:p>
    <w:p w:rsidR="00AB5BA6" w:rsidRPr="002C75B8" w:rsidRDefault="00AB5BA6" w:rsidP="00AB5BA6">
      <w:pPr>
        <w:ind w:left="0" w:firstLine="0"/>
        <w:rPr>
          <w:rFonts w:eastAsia="Times New Roman"/>
          <w:sz w:val="22"/>
          <w:lang w:val="en-US" w:eastAsia="es-ES"/>
        </w:rPr>
      </w:pPr>
    </w:p>
    <w:p w:rsidR="00AB5BA6" w:rsidRPr="002C75B8" w:rsidRDefault="00AB5BA6" w:rsidP="00AB5BA6">
      <w:pPr>
        <w:ind w:left="0" w:firstLine="0"/>
        <w:rPr>
          <w:b/>
          <w:sz w:val="22"/>
          <w:lang w:val="en-US"/>
        </w:rPr>
      </w:pPr>
      <w:r w:rsidRPr="002C75B8">
        <w:rPr>
          <w:b/>
          <w:sz w:val="22"/>
          <w:lang w:val="en-US"/>
        </w:rPr>
        <w:t xml:space="preserve">DIAGNOSIS, TREATMENT </w:t>
      </w:r>
    </w:p>
    <w:p w:rsidR="00AB5BA6" w:rsidRPr="002C75B8" w:rsidRDefault="00AB5BA6" w:rsidP="00AB5BA6">
      <w:pPr>
        <w:ind w:left="0" w:firstLine="0"/>
        <w:rPr>
          <w:b/>
          <w:sz w:val="22"/>
          <w:lang w:val="en-US"/>
        </w:rPr>
      </w:pPr>
    </w:p>
    <w:p w:rsidR="00AB5BA6" w:rsidRPr="002C75B8" w:rsidRDefault="00AB5BA6" w:rsidP="00AB5BA6">
      <w:pPr>
        <w:ind w:left="0" w:firstLine="0"/>
        <w:rPr>
          <w:sz w:val="22"/>
          <w:lang w:val="en-US"/>
        </w:rPr>
      </w:pPr>
      <w:r w:rsidRPr="002C75B8">
        <w:rPr>
          <w:b/>
          <w:bCs/>
          <w:sz w:val="22"/>
          <w:lang w:val="en-US"/>
        </w:rPr>
        <w:t>Diagnosis</w:t>
      </w:r>
    </w:p>
    <w:p w:rsidR="00AB5BA6" w:rsidRPr="00EF6EC8" w:rsidRDefault="00AB5BA6" w:rsidP="00AB5BA6">
      <w:pPr>
        <w:ind w:left="0" w:firstLine="0"/>
        <w:rPr>
          <w:sz w:val="22"/>
        </w:rPr>
      </w:pPr>
      <w:r w:rsidRPr="00EF6EC8">
        <w:rPr>
          <w:sz w:val="22"/>
        </w:rPr>
        <w:t xml:space="preserve">CL: </w:t>
      </w:r>
      <w:proofErr w:type="spellStart"/>
      <w:r w:rsidRPr="00EF6EC8">
        <w:rPr>
          <w:sz w:val="22"/>
        </w:rPr>
        <w:t>confirmation</w:t>
      </w:r>
      <w:proofErr w:type="spellEnd"/>
      <w:r w:rsidRPr="00EF6EC8">
        <w:rPr>
          <w:sz w:val="22"/>
        </w:rPr>
        <w:t xml:space="preserve"> </w:t>
      </w:r>
      <w:proofErr w:type="spellStart"/>
      <w:r w:rsidRPr="00EF6EC8">
        <w:rPr>
          <w:sz w:val="22"/>
        </w:rPr>
        <w:t>by</w:t>
      </w:r>
      <w:proofErr w:type="spellEnd"/>
      <w:r w:rsidRPr="00EF6EC8">
        <w:rPr>
          <w:sz w:val="22"/>
        </w:rPr>
        <w:t xml:space="preserve"> </w:t>
      </w:r>
      <w:proofErr w:type="spellStart"/>
      <w:r w:rsidRPr="00EF6EC8">
        <w:rPr>
          <w:sz w:val="22"/>
        </w:rPr>
        <w:t>microscopic</w:t>
      </w:r>
      <w:proofErr w:type="spellEnd"/>
      <w:r w:rsidRPr="00EF6EC8">
        <w:rPr>
          <w:sz w:val="22"/>
        </w:rPr>
        <w:t xml:space="preserve"> </w:t>
      </w:r>
      <w:proofErr w:type="spellStart"/>
      <w:r w:rsidRPr="00EF6EC8">
        <w:rPr>
          <w:sz w:val="22"/>
        </w:rPr>
        <w:t>examination</w:t>
      </w:r>
      <w:proofErr w:type="spellEnd"/>
      <w:r w:rsidRPr="00EF6EC8">
        <w:rPr>
          <w:sz w:val="22"/>
        </w:rPr>
        <w:t xml:space="preserve"> of </w:t>
      </w:r>
      <w:proofErr w:type="spellStart"/>
      <w:r w:rsidRPr="00EF6EC8">
        <w:rPr>
          <w:sz w:val="22"/>
        </w:rPr>
        <w:t>skin</w:t>
      </w:r>
      <w:proofErr w:type="spellEnd"/>
      <w:r w:rsidRPr="00EF6EC8">
        <w:rPr>
          <w:sz w:val="22"/>
        </w:rPr>
        <w:t xml:space="preserve"> </w:t>
      </w:r>
      <w:proofErr w:type="spellStart"/>
      <w:r w:rsidRPr="00EF6EC8">
        <w:rPr>
          <w:sz w:val="22"/>
        </w:rPr>
        <w:t>lesion</w:t>
      </w:r>
      <w:proofErr w:type="spellEnd"/>
      <w:r w:rsidRPr="00EF6EC8">
        <w:rPr>
          <w:sz w:val="22"/>
        </w:rPr>
        <w:t xml:space="preserve"> </w:t>
      </w:r>
      <w:proofErr w:type="spellStart"/>
      <w:r w:rsidRPr="00EF6EC8">
        <w:rPr>
          <w:sz w:val="22"/>
        </w:rPr>
        <w:t>sample</w:t>
      </w:r>
      <w:proofErr w:type="spellEnd"/>
      <w:r w:rsidRPr="00EF6EC8">
        <w:rPr>
          <w:sz w:val="22"/>
        </w:rPr>
        <w:t xml:space="preserve"> and IFAT. </w:t>
      </w:r>
      <w:proofErr w:type="spellStart"/>
      <w:r w:rsidRPr="00EF6EC8">
        <w:rPr>
          <w:sz w:val="22"/>
        </w:rPr>
        <w:t>Sometimes</w:t>
      </w:r>
      <w:proofErr w:type="spellEnd"/>
      <w:r w:rsidRPr="00EF6EC8">
        <w:rPr>
          <w:sz w:val="22"/>
        </w:rPr>
        <w:t xml:space="preserve">, ELISA </w:t>
      </w:r>
      <w:proofErr w:type="spellStart"/>
      <w:r w:rsidRPr="00EF6EC8">
        <w:rPr>
          <w:sz w:val="22"/>
        </w:rPr>
        <w:t>is</w:t>
      </w:r>
      <w:proofErr w:type="spellEnd"/>
      <w:r w:rsidRPr="00EF6EC8">
        <w:rPr>
          <w:sz w:val="22"/>
        </w:rPr>
        <w:t xml:space="preserve"> </w:t>
      </w:r>
      <w:proofErr w:type="spellStart"/>
      <w:r w:rsidRPr="00EF6EC8">
        <w:rPr>
          <w:sz w:val="22"/>
        </w:rPr>
        <w:t>used</w:t>
      </w:r>
      <w:proofErr w:type="spellEnd"/>
      <w:r w:rsidRPr="00EF6EC8">
        <w:rPr>
          <w:sz w:val="22"/>
        </w:rPr>
        <w:t xml:space="preserve">. </w:t>
      </w:r>
    </w:p>
    <w:p w:rsidR="00AB5BA6" w:rsidRDefault="00AB5BA6" w:rsidP="00AB5BA6">
      <w:pPr>
        <w:ind w:left="0" w:firstLine="0"/>
        <w:rPr>
          <w:sz w:val="22"/>
        </w:rPr>
      </w:pPr>
    </w:p>
    <w:p w:rsidR="00AB5BA6" w:rsidRPr="00EF6EC8" w:rsidRDefault="00AB5BA6" w:rsidP="00AB5BA6">
      <w:pPr>
        <w:ind w:left="0" w:firstLine="0"/>
        <w:rPr>
          <w:sz w:val="22"/>
        </w:rPr>
      </w:pPr>
      <w:r w:rsidRPr="00EF6EC8">
        <w:rPr>
          <w:sz w:val="22"/>
        </w:rPr>
        <w:t>VL: IFAT.</w:t>
      </w:r>
    </w:p>
    <w:p w:rsidR="00AB5BA6" w:rsidRPr="002C75B8" w:rsidRDefault="00AB5BA6" w:rsidP="00AB5BA6">
      <w:pPr>
        <w:ind w:left="0" w:firstLine="0"/>
        <w:rPr>
          <w:sz w:val="22"/>
          <w:lang w:val="en-GB"/>
        </w:rPr>
      </w:pPr>
    </w:p>
    <w:p w:rsidR="00AB5BA6" w:rsidRPr="002C75B8" w:rsidRDefault="00AB5BA6" w:rsidP="00AB5BA6">
      <w:pPr>
        <w:ind w:left="0" w:firstLine="0"/>
        <w:rPr>
          <w:sz w:val="22"/>
          <w:lang w:val="en-US"/>
        </w:rPr>
      </w:pPr>
      <w:r w:rsidRPr="002C75B8">
        <w:rPr>
          <w:b/>
          <w:bCs/>
          <w:sz w:val="22"/>
          <w:lang w:val="en-US"/>
        </w:rPr>
        <w:t xml:space="preserve">Treatment </w:t>
      </w:r>
    </w:p>
    <w:p w:rsidR="00AB5BA6" w:rsidRPr="00EF6EC8" w:rsidRDefault="00AB5BA6" w:rsidP="00AB5BA6">
      <w:pPr>
        <w:ind w:left="0" w:firstLine="0"/>
        <w:rPr>
          <w:sz w:val="22"/>
        </w:rPr>
      </w:pPr>
      <w:r w:rsidRPr="00EF6EC8">
        <w:rPr>
          <w:sz w:val="22"/>
        </w:rPr>
        <w:t xml:space="preserve">VL: antimonials, 20 mg </w:t>
      </w:r>
      <w:proofErr w:type="spellStart"/>
      <w:r w:rsidRPr="00EF6EC8">
        <w:rPr>
          <w:sz w:val="22"/>
        </w:rPr>
        <w:t>Sb</w:t>
      </w:r>
      <w:r w:rsidRPr="001905E8">
        <w:rPr>
          <w:sz w:val="22"/>
          <w:vertAlign w:val="superscript"/>
        </w:rPr>
        <w:t>v</w:t>
      </w:r>
      <w:proofErr w:type="spellEnd"/>
      <w:r w:rsidRPr="00EF6EC8">
        <w:rPr>
          <w:sz w:val="22"/>
        </w:rPr>
        <w:t>/kg/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28 </w:t>
      </w:r>
      <w:proofErr w:type="spellStart"/>
      <w:r w:rsidRPr="00EF6EC8">
        <w:rPr>
          <w:sz w:val="22"/>
        </w:rPr>
        <w:t>days</w:t>
      </w:r>
      <w:proofErr w:type="spellEnd"/>
      <w:r w:rsidRPr="00EF6EC8">
        <w:rPr>
          <w:sz w:val="22"/>
        </w:rPr>
        <w:t xml:space="preserve">. </w:t>
      </w:r>
      <w:proofErr w:type="spellStart"/>
      <w:r w:rsidRPr="00EF6EC8">
        <w:rPr>
          <w:sz w:val="22"/>
        </w:rPr>
        <w:t>Second</w:t>
      </w:r>
      <w:proofErr w:type="spellEnd"/>
      <w:r w:rsidRPr="00EF6EC8">
        <w:rPr>
          <w:sz w:val="22"/>
        </w:rPr>
        <w:t xml:space="preserve"> line </w:t>
      </w:r>
      <w:proofErr w:type="spellStart"/>
      <w:r w:rsidRPr="00EF6EC8">
        <w:rPr>
          <w:sz w:val="22"/>
        </w:rPr>
        <w:t>treatment</w:t>
      </w:r>
      <w:proofErr w:type="spellEnd"/>
      <w:r w:rsidRPr="00EF6EC8">
        <w:rPr>
          <w:sz w:val="22"/>
        </w:rPr>
        <w:t xml:space="preserve"> </w:t>
      </w:r>
      <w:proofErr w:type="spellStart"/>
      <w:r w:rsidRPr="00EF6EC8">
        <w:rPr>
          <w:sz w:val="22"/>
        </w:rPr>
        <w:t>is</w:t>
      </w:r>
      <w:proofErr w:type="spellEnd"/>
      <w:r w:rsidRPr="00EF6EC8">
        <w:rPr>
          <w:sz w:val="22"/>
        </w:rPr>
        <w:t xml:space="preserve"> </w:t>
      </w:r>
      <w:proofErr w:type="spellStart"/>
      <w:r w:rsidRPr="00EF6EC8">
        <w:rPr>
          <w:sz w:val="22"/>
        </w:rPr>
        <w:t>with</w:t>
      </w:r>
      <w:proofErr w:type="spellEnd"/>
      <w:r w:rsidRPr="00EF6EC8">
        <w:rPr>
          <w:sz w:val="22"/>
        </w:rPr>
        <w:t xml:space="preserve"> miltefosine. 11 </w:t>
      </w:r>
      <w:proofErr w:type="spellStart"/>
      <w:r w:rsidRPr="00EF6EC8">
        <w:rPr>
          <w:sz w:val="22"/>
        </w:rPr>
        <w:t>deaths</w:t>
      </w:r>
      <w:proofErr w:type="spellEnd"/>
      <w:r w:rsidRPr="00EF6EC8">
        <w:rPr>
          <w:sz w:val="22"/>
        </w:rPr>
        <w:t xml:space="preserve"> </w:t>
      </w:r>
      <w:proofErr w:type="spellStart"/>
      <w:r w:rsidRPr="00EF6EC8">
        <w:rPr>
          <w:sz w:val="22"/>
        </w:rPr>
        <w:t>were</w:t>
      </w:r>
      <w:proofErr w:type="spellEnd"/>
      <w:r w:rsidRPr="00EF6EC8">
        <w:rPr>
          <w:sz w:val="22"/>
        </w:rPr>
        <w:t xml:space="preserve"> </w:t>
      </w:r>
      <w:proofErr w:type="spellStart"/>
      <w:r w:rsidRPr="00EF6EC8">
        <w:rPr>
          <w:sz w:val="22"/>
        </w:rPr>
        <w:t>reported</w:t>
      </w:r>
      <w:proofErr w:type="spellEnd"/>
      <w:r w:rsidRPr="00EF6EC8">
        <w:rPr>
          <w:sz w:val="22"/>
        </w:rPr>
        <w:t xml:space="preserve"> in the </w:t>
      </w:r>
      <w:proofErr w:type="spellStart"/>
      <w:r w:rsidRPr="00EF6EC8">
        <w:rPr>
          <w:sz w:val="22"/>
        </w:rPr>
        <w:t>last</w:t>
      </w:r>
      <w:proofErr w:type="spellEnd"/>
      <w:r w:rsidRPr="00EF6EC8">
        <w:rPr>
          <w:sz w:val="22"/>
        </w:rPr>
        <w:t xml:space="preserve"> </w:t>
      </w:r>
      <w:proofErr w:type="spellStart"/>
      <w:r w:rsidRPr="00EF6EC8">
        <w:rPr>
          <w:sz w:val="22"/>
        </w:rPr>
        <w:t>five</w:t>
      </w:r>
      <w:proofErr w:type="spellEnd"/>
      <w:r w:rsidRPr="00EF6EC8">
        <w:rPr>
          <w:sz w:val="22"/>
        </w:rPr>
        <w:t xml:space="preserve"> </w:t>
      </w:r>
      <w:proofErr w:type="spellStart"/>
      <w:r w:rsidRPr="00EF6EC8">
        <w:rPr>
          <w:sz w:val="22"/>
        </w:rPr>
        <w:t>years</w:t>
      </w:r>
      <w:proofErr w:type="spellEnd"/>
      <w:r w:rsidRPr="00EF6EC8">
        <w:rPr>
          <w:sz w:val="22"/>
        </w:rPr>
        <w:t xml:space="preserve">. </w:t>
      </w:r>
    </w:p>
    <w:p w:rsidR="00AB5BA6" w:rsidRDefault="00AB5BA6" w:rsidP="00AB5BA6">
      <w:pPr>
        <w:ind w:left="0" w:firstLine="0"/>
        <w:rPr>
          <w:sz w:val="22"/>
        </w:rPr>
      </w:pPr>
    </w:p>
    <w:p w:rsidR="00AB5BA6" w:rsidRPr="00EF6EC8" w:rsidRDefault="00AB5BA6" w:rsidP="00AB5BA6">
      <w:pPr>
        <w:ind w:left="0" w:firstLine="0"/>
        <w:rPr>
          <w:sz w:val="22"/>
        </w:rPr>
      </w:pPr>
      <w:r w:rsidRPr="00EF6EC8">
        <w:rPr>
          <w:sz w:val="22"/>
        </w:rPr>
        <w:t xml:space="preserve">CL: antimonials, 20 mg </w:t>
      </w:r>
      <w:proofErr w:type="spellStart"/>
      <w:r w:rsidRPr="00EF6EC8">
        <w:rPr>
          <w:sz w:val="22"/>
        </w:rPr>
        <w:t>Sb</w:t>
      </w:r>
      <w:r w:rsidRPr="001905E8">
        <w:rPr>
          <w:sz w:val="22"/>
          <w:vertAlign w:val="superscript"/>
        </w:rPr>
        <w:t>v</w:t>
      </w:r>
      <w:proofErr w:type="spellEnd"/>
      <w:r w:rsidRPr="00EF6EC8">
        <w:rPr>
          <w:sz w:val="22"/>
        </w:rPr>
        <w:t>/kg/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20 </w:t>
      </w:r>
      <w:proofErr w:type="spellStart"/>
      <w:r w:rsidRPr="00EF6EC8">
        <w:rPr>
          <w:sz w:val="22"/>
        </w:rPr>
        <w:t>days</w:t>
      </w:r>
      <w:proofErr w:type="spellEnd"/>
      <w:r w:rsidRPr="00EF6EC8">
        <w:rPr>
          <w:sz w:val="22"/>
        </w:rPr>
        <w:t xml:space="preserve">. In the </w:t>
      </w:r>
      <w:proofErr w:type="spellStart"/>
      <w:r w:rsidRPr="00EF6EC8">
        <w:rPr>
          <w:sz w:val="22"/>
        </w:rPr>
        <w:t>last</w:t>
      </w:r>
      <w:proofErr w:type="spellEnd"/>
      <w:r w:rsidRPr="00EF6EC8">
        <w:rPr>
          <w:sz w:val="22"/>
        </w:rPr>
        <w:t xml:space="preserve"> </w:t>
      </w:r>
      <w:proofErr w:type="spellStart"/>
      <w:r w:rsidRPr="00EF6EC8">
        <w:rPr>
          <w:sz w:val="22"/>
        </w:rPr>
        <w:t>five</w:t>
      </w:r>
      <w:proofErr w:type="spellEnd"/>
      <w:r w:rsidRPr="00EF6EC8">
        <w:rPr>
          <w:sz w:val="22"/>
        </w:rPr>
        <w:t xml:space="preserve"> </w:t>
      </w:r>
      <w:proofErr w:type="spellStart"/>
      <w:r w:rsidRPr="00EF6EC8">
        <w:rPr>
          <w:sz w:val="22"/>
        </w:rPr>
        <w:t>years</w:t>
      </w:r>
      <w:proofErr w:type="spellEnd"/>
      <w:r w:rsidRPr="00EF6EC8">
        <w:rPr>
          <w:sz w:val="22"/>
        </w:rPr>
        <w:t xml:space="preserve">, </w:t>
      </w:r>
      <w:proofErr w:type="spellStart"/>
      <w:r w:rsidRPr="00EF6EC8">
        <w:rPr>
          <w:sz w:val="22"/>
        </w:rPr>
        <w:t>there</w:t>
      </w:r>
      <w:proofErr w:type="spellEnd"/>
      <w:r w:rsidRPr="00EF6EC8">
        <w:rPr>
          <w:sz w:val="22"/>
        </w:rPr>
        <w:t xml:space="preserve"> </w:t>
      </w:r>
      <w:proofErr w:type="spellStart"/>
      <w:r w:rsidRPr="00EF6EC8">
        <w:rPr>
          <w:sz w:val="22"/>
        </w:rPr>
        <w:t>have</w:t>
      </w:r>
      <w:proofErr w:type="spellEnd"/>
      <w:r w:rsidRPr="00EF6EC8">
        <w:rPr>
          <w:sz w:val="22"/>
        </w:rPr>
        <w:t xml:space="preserve"> </w:t>
      </w:r>
      <w:proofErr w:type="spellStart"/>
      <w:r w:rsidRPr="00EF6EC8">
        <w:rPr>
          <w:sz w:val="22"/>
        </w:rPr>
        <w:t>been</w:t>
      </w:r>
      <w:proofErr w:type="spellEnd"/>
      <w:r w:rsidRPr="00EF6EC8">
        <w:rPr>
          <w:sz w:val="22"/>
        </w:rPr>
        <w:t xml:space="preserve"> at </w:t>
      </w:r>
      <w:proofErr w:type="spellStart"/>
      <w:r w:rsidRPr="00EF6EC8">
        <w:rPr>
          <w:sz w:val="22"/>
        </w:rPr>
        <w:t>least</w:t>
      </w:r>
      <w:proofErr w:type="spellEnd"/>
      <w:r w:rsidRPr="00EF6EC8">
        <w:rPr>
          <w:sz w:val="22"/>
        </w:rPr>
        <w:t xml:space="preserve"> 5 </w:t>
      </w:r>
      <w:proofErr w:type="spellStart"/>
      <w:r w:rsidRPr="00EF6EC8">
        <w:rPr>
          <w:sz w:val="22"/>
        </w:rPr>
        <w:t>deaths</w:t>
      </w:r>
      <w:proofErr w:type="spellEnd"/>
      <w:r w:rsidRPr="00EF6EC8">
        <w:rPr>
          <w:sz w:val="22"/>
        </w:rPr>
        <w:t xml:space="preserve"> </w:t>
      </w:r>
      <w:proofErr w:type="spellStart"/>
      <w:r w:rsidRPr="00EF6EC8">
        <w:rPr>
          <w:sz w:val="22"/>
        </w:rPr>
        <w:t>from</w:t>
      </w:r>
      <w:proofErr w:type="spellEnd"/>
      <w:r w:rsidRPr="00EF6EC8">
        <w:rPr>
          <w:sz w:val="22"/>
        </w:rPr>
        <w:t xml:space="preserve"> CL, </w:t>
      </w:r>
      <w:proofErr w:type="spellStart"/>
      <w:r w:rsidRPr="00EF6EC8">
        <w:rPr>
          <w:sz w:val="22"/>
        </w:rPr>
        <w:t>which</w:t>
      </w:r>
      <w:proofErr w:type="spellEnd"/>
      <w:r w:rsidRPr="00EF6EC8">
        <w:rPr>
          <w:sz w:val="22"/>
        </w:rPr>
        <w:t xml:space="preserve"> </w:t>
      </w:r>
      <w:proofErr w:type="spellStart"/>
      <w:r w:rsidRPr="00EF6EC8">
        <w:rPr>
          <w:sz w:val="22"/>
        </w:rPr>
        <w:t>were</w:t>
      </w:r>
      <w:proofErr w:type="spellEnd"/>
      <w:r w:rsidRPr="00EF6EC8">
        <w:rPr>
          <w:sz w:val="22"/>
        </w:rPr>
        <w:t xml:space="preserve"> </w:t>
      </w:r>
      <w:proofErr w:type="spellStart"/>
      <w:r w:rsidRPr="00EF6EC8">
        <w:rPr>
          <w:sz w:val="22"/>
        </w:rPr>
        <w:t>directly</w:t>
      </w:r>
      <w:proofErr w:type="spellEnd"/>
      <w:r w:rsidRPr="00EF6EC8">
        <w:rPr>
          <w:sz w:val="22"/>
        </w:rPr>
        <w:t xml:space="preserve"> </w:t>
      </w:r>
      <w:proofErr w:type="spellStart"/>
      <w:r w:rsidRPr="00EF6EC8">
        <w:rPr>
          <w:sz w:val="22"/>
        </w:rPr>
        <w:t>related</w:t>
      </w:r>
      <w:proofErr w:type="spellEnd"/>
      <w:r w:rsidRPr="00EF6EC8">
        <w:rPr>
          <w:sz w:val="22"/>
        </w:rPr>
        <w:t xml:space="preserve"> </w:t>
      </w:r>
      <w:proofErr w:type="spellStart"/>
      <w:r w:rsidRPr="00EF6EC8">
        <w:rPr>
          <w:sz w:val="22"/>
        </w:rPr>
        <w:t>to</w:t>
      </w:r>
      <w:proofErr w:type="spellEnd"/>
      <w:r w:rsidRPr="00EF6EC8">
        <w:rPr>
          <w:sz w:val="22"/>
        </w:rPr>
        <w:t xml:space="preserve"> the </w:t>
      </w:r>
      <w:proofErr w:type="spellStart"/>
      <w:r w:rsidRPr="00EF6EC8">
        <w:rPr>
          <w:sz w:val="22"/>
        </w:rPr>
        <w:t>toxicity</w:t>
      </w:r>
      <w:proofErr w:type="spellEnd"/>
      <w:r w:rsidRPr="00EF6EC8">
        <w:rPr>
          <w:sz w:val="22"/>
        </w:rPr>
        <w:t xml:space="preserve"> of the antimonials. </w:t>
      </w:r>
      <w:proofErr w:type="spellStart"/>
      <w:r w:rsidRPr="00EF6EC8">
        <w:rPr>
          <w:sz w:val="22"/>
        </w:rPr>
        <w:t>Second</w:t>
      </w:r>
      <w:proofErr w:type="spellEnd"/>
      <w:r w:rsidRPr="00EF6EC8">
        <w:rPr>
          <w:sz w:val="22"/>
        </w:rPr>
        <w:t xml:space="preserve"> line </w:t>
      </w:r>
      <w:proofErr w:type="spellStart"/>
      <w:r w:rsidRPr="00EF6EC8">
        <w:rPr>
          <w:sz w:val="22"/>
        </w:rPr>
        <w:t>treatment</w:t>
      </w:r>
      <w:proofErr w:type="spellEnd"/>
      <w:r w:rsidRPr="00EF6EC8">
        <w:rPr>
          <w:sz w:val="22"/>
        </w:rPr>
        <w:t xml:space="preserve"> </w:t>
      </w:r>
      <w:proofErr w:type="spellStart"/>
      <w:r w:rsidRPr="00EF6EC8">
        <w:rPr>
          <w:sz w:val="22"/>
        </w:rPr>
        <w:t>is</w:t>
      </w:r>
      <w:proofErr w:type="spellEnd"/>
      <w:r w:rsidRPr="00EF6EC8">
        <w:rPr>
          <w:sz w:val="22"/>
        </w:rPr>
        <w:t xml:space="preserve"> </w:t>
      </w:r>
      <w:proofErr w:type="spellStart"/>
      <w:r w:rsidRPr="00EF6EC8">
        <w:rPr>
          <w:sz w:val="22"/>
        </w:rPr>
        <w:t>with</w:t>
      </w:r>
      <w:proofErr w:type="spellEnd"/>
      <w:r w:rsidRPr="00EF6EC8">
        <w:rPr>
          <w:sz w:val="22"/>
        </w:rPr>
        <w:t xml:space="preserve"> miltefosine, 2.5 mg/kg/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28-40 </w:t>
      </w:r>
      <w:proofErr w:type="spellStart"/>
      <w:r w:rsidRPr="00EF6EC8">
        <w:rPr>
          <w:sz w:val="22"/>
        </w:rPr>
        <w:t>days</w:t>
      </w:r>
      <w:proofErr w:type="spellEnd"/>
      <w:r w:rsidRPr="00EF6EC8">
        <w:rPr>
          <w:sz w:val="22"/>
        </w:rPr>
        <w:t xml:space="preserve">. The cure </w:t>
      </w:r>
      <w:proofErr w:type="spellStart"/>
      <w:r w:rsidRPr="00EF6EC8">
        <w:rPr>
          <w:sz w:val="22"/>
        </w:rPr>
        <w:t>rate</w:t>
      </w:r>
      <w:proofErr w:type="spellEnd"/>
      <w:r w:rsidRPr="00EF6EC8">
        <w:rPr>
          <w:sz w:val="22"/>
        </w:rPr>
        <w:t xml:space="preserve"> of miltefosine </w:t>
      </w:r>
      <w:proofErr w:type="spellStart"/>
      <w:r w:rsidRPr="00EF6EC8">
        <w:rPr>
          <w:sz w:val="22"/>
        </w:rPr>
        <w:t>is</w:t>
      </w:r>
      <w:proofErr w:type="spellEnd"/>
      <w:r w:rsidRPr="00EF6EC8">
        <w:rPr>
          <w:sz w:val="22"/>
        </w:rPr>
        <w:t xml:space="preserve"> 90%. </w:t>
      </w:r>
    </w:p>
    <w:p w:rsidR="00AB5BA6" w:rsidRDefault="00AB5BA6" w:rsidP="00AB5BA6">
      <w:pPr>
        <w:ind w:left="0" w:firstLine="0"/>
        <w:rPr>
          <w:sz w:val="22"/>
        </w:rPr>
      </w:pPr>
    </w:p>
    <w:p w:rsidR="00AB5BA6" w:rsidRPr="00EF6EC8" w:rsidRDefault="00AB5BA6" w:rsidP="00AB5BA6">
      <w:pPr>
        <w:ind w:left="0" w:firstLine="0"/>
        <w:rPr>
          <w:sz w:val="22"/>
        </w:rPr>
      </w:pPr>
      <w:r w:rsidRPr="00EF6EC8">
        <w:rPr>
          <w:sz w:val="22"/>
        </w:rPr>
        <w:t xml:space="preserve">MCL: antimonials, 20 mg </w:t>
      </w:r>
      <w:proofErr w:type="spellStart"/>
      <w:r w:rsidRPr="00EF6EC8">
        <w:rPr>
          <w:sz w:val="22"/>
        </w:rPr>
        <w:t>Sb</w:t>
      </w:r>
      <w:r w:rsidRPr="001905E8">
        <w:rPr>
          <w:sz w:val="22"/>
          <w:vertAlign w:val="superscript"/>
        </w:rPr>
        <w:t>v</w:t>
      </w:r>
      <w:proofErr w:type="spellEnd"/>
      <w:r w:rsidRPr="00EF6EC8">
        <w:rPr>
          <w:sz w:val="22"/>
        </w:rPr>
        <w:t>/kg/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28 </w:t>
      </w:r>
      <w:proofErr w:type="spellStart"/>
      <w:r w:rsidRPr="00EF6EC8">
        <w:rPr>
          <w:sz w:val="22"/>
        </w:rPr>
        <w:t>days</w:t>
      </w:r>
      <w:proofErr w:type="spellEnd"/>
      <w:r w:rsidRPr="00EF6EC8">
        <w:rPr>
          <w:sz w:val="22"/>
        </w:rPr>
        <w:t xml:space="preserve">. </w:t>
      </w:r>
      <w:proofErr w:type="spellStart"/>
      <w:r w:rsidRPr="00EF6EC8">
        <w:rPr>
          <w:sz w:val="22"/>
        </w:rPr>
        <w:t>One</w:t>
      </w:r>
      <w:proofErr w:type="spellEnd"/>
      <w:r w:rsidRPr="00EF6EC8">
        <w:rPr>
          <w:sz w:val="22"/>
        </w:rPr>
        <w:t xml:space="preserve"> </w:t>
      </w:r>
      <w:proofErr w:type="spellStart"/>
      <w:r w:rsidRPr="00EF6EC8">
        <w:rPr>
          <w:sz w:val="22"/>
        </w:rPr>
        <w:t>death</w:t>
      </w:r>
      <w:proofErr w:type="spellEnd"/>
      <w:r w:rsidRPr="00EF6EC8">
        <w:rPr>
          <w:sz w:val="22"/>
        </w:rPr>
        <w:t xml:space="preserve"> </w:t>
      </w:r>
      <w:proofErr w:type="spellStart"/>
      <w:r w:rsidRPr="00EF6EC8">
        <w:rPr>
          <w:sz w:val="22"/>
        </w:rPr>
        <w:t>was</w:t>
      </w:r>
      <w:proofErr w:type="spellEnd"/>
      <w:r w:rsidRPr="00EF6EC8">
        <w:rPr>
          <w:sz w:val="22"/>
        </w:rPr>
        <w:t xml:space="preserve"> </w:t>
      </w:r>
      <w:proofErr w:type="spellStart"/>
      <w:r w:rsidRPr="00EF6EC8">
        <w:rPr>
          <w:sz w:val="22"/>
        </w:rPr>
        <w:t>reported</w:t>
      </w:r>
      <w:proofErr w:type="spellEnd"/>
      <w:r w:rsidRPr="00EF6EC8">
        <w:rPr>
          <w:sz w:val="22"/>
        </w:rPr>
        <w:t xml:space="preserve"> </w:t>
      </w:r>
      <w:proofErr w:type="spellStart"/>
      <w:r w:rsidRPr="00EF6EC8">
        <w:rPr>
          <w:sz w:val="22"/>
        </w:rPr>
        <w:t>due</w:t>
      </w:r>
      <w:proofErr w:type="spellEnd"/>
      <w:r w:rsidRPr="00EF6EC8">
        <w:rPr>
          <w:sz w:val="22"/>
        </w:rPr>
        <w:t xml:space="preserve"> </w:t>
      </w:r>
      <w:proofErr w:type="spellStart"/>
      <w:r w:rsidRPr="00EF6EC8">
        <w:rPr>
          <w:sz w:val="22"/>
        </w:rPr>
        <w:t>to</w:t>
      </w:r>
      <w:proofErr w:type="spellEnd"/>
      <w:r w:rsidRPr="00EF6EC8">
        <w:rPr>
          <w:sz w:val="22"/>
        </w:rPr>
        <w:t xml:space="preserve"> </w:t>
      </w:r>
      <w:proofErr w:type="spellStart"/>
      <w:r w:rsidRPr="00EF6EC8">
        <w:rPr>
          <w:sz w:val="22"/>
        </w:rPr>
        <w:t>complications</w:t>
      </w:r>
      <w:proofErr w:type="spellEnd"/>
      <w:r w:rsidRPr="00EF6EC8">
        <w:rPr>
          <w:sz w:val="22"/>
        </w:rPr>
        <w:t xml:space="preserve"> of MCL. </w:t>
      </w:r>
      <w:proofErr w:type="spellStart"/>
      <w:r w:rsidRPr="00EF6EC8">
        <w:rPr>
          <w:sz w:val="22"/>
        </w:rPr>
        <w:t>Second</w:t>
      </w:r>
      <w:proofErr w:type="spellEnd"/>
      <w:r w:rsidRPr="00EF6EC8">
        <w:rPr>
          <w:sz w:val="22"/>
        </w:rPr>
        <w:t xml:space="preserve"> line </w:t>
      </w:r>
      <w:proofErr w:type="spellStart"/>
      <w:r w:rsidRPr="00EF6EC8">
        <w:rPr>
          <w:sz w:val="22"/>
        </w:rPr>
        <w:t>treatment</w:t>
      </w:r>
      <w:proofErr w:type="spellEnd"/>
      <w:r w:rsidRPr="00EF6EC8">
        <w:rPr>
          <w:sz w:val="22"/>
        </w:rPr>
        <w:t xml:space="preserve"> </w:t>
      </w:r>
      <w:proofErr w:type="spellStart"/>
      <w:r w:rsidRPr="00EF6EC8">
        <w:rPr>
          <w:sz w:val="22"/>
        </w:rPr>
        <w:t>is</w:t>
      </w:r>
      <w:proofErr w:type="spellEnd"/>
      <w:r w:rsidRPr="00EF6EC8">
        <w:rPr>
          <w:sz w:val="22"/>
        </w:rPr>
        <w:t xml:space="preserve"> </w:t>
      </w:r>
      <w:proofErr w:type="spellStart"/>
      <w:r w:rsidRPr="00EF6EC8">
        <w:rPr>
          <w:sz w:val="22"/>
        </w:rPr>
        <w:t>with</w:t>
      </w:r>
      <w:proofErr w:type="spellEnd"/>
      <w:r w:rsidRPr="00EF6EC8">
        <w:rPr>
          <w:sz w:val="22"/>
        </w:rPr>
        <w:t xml:space="preserve"> miltefosine, 2.5 mg/kg/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28-40 </w:t>
      </w:r>
      <w:proofErr w:type="spellStart"/>
      <w:r w:rsidRPr="00EF6EC8">
        <w:rPr>
          <w:sz w:val="22"/>
        </w:rPr>
        <w:t>days</w:t>
      </w:r>
      <w:proofErr w:type="spellEnd"/>
      <w:r w:rsidRPr="00EF6EC8">
        <w:rPr>
          <w:sz w:val="22"/>
        </w:rPr>
        <w:t xml:space="preserve">. </w:t>
      </w:r>
      <w:proofErr w:type="spellStart"/>
      <w:r w:rsidRPr="00EF6EC8">
        <w:rPr>
          <w:sz w:val="22"/>
        </w:rPr>
        <w:t>Third</w:t>
      </w:r>
      <w:proofErr w:type="spellEnd"/>
      <w:r w:rsidRPr="00EF6EC8">
        <w:rPr>
          <w:sz w:val="22"/>
        </w:rPr>
        <w:t xml:space="preserve"> </w:t>
      </w:r>
      <w:proofErr w:type="spellStart"/>
      <w:r w:rsidRPr="00EF6EC8">
        <w:rPr>
          <w:sz w:val="22"/>
        </w:rPr>
        <w:t>treatment</w:t>
      </w:r>
      <w:proofErr w:type="spellEnd"/>
      <w:r w:rsidRPr="00EF6EC8">
        <w:rPr>
          <w:sz w:val="22"/>
        </w:rPr>
        <w:t xml:space="preserve"> </w:t>
      </w:r>
      <w:proofErr w:type="spellStart"/>
      <w:r w:rsidRPr="00EF6EC8">
        <w:rPr>
          <w:sz w:val="22"/>
        </w:rPr>
        <w:t>is</w:t>
      </w:r>
      <w:proofErr w:type="spellEnd"/>
      <w:r w:rsidRPr="00EF6EC8">
        <w:rPr>
          <w:sz w:val="22"/>
        </w:rPr>
        <w:t xml:space="preserve"> </w:t>
      </w:r>
      <w:proofErr w:type="spellStart"/>
      <w:r w:rsidRPr="00EF6EC8">
        <w:rPr>
          <w:sz w:val="22"/>
        </w:rPr>
        <w:t>with</w:t>
      </w:r>
      <w:proofErr w:type="spellEnd"/>
      <w:r w:rsidRPr="00EF6EC8">
        <w:rPr>
          <w:sz w:val="22"/>
        </w:rPr>
        <w:t xml:space="preserve"> </w:t>
      </w:r>
      <w:proofErr w:type="spellStart"/>
      <w:r w:rsidRPr="00EF6EC8">
        <w:rPr>
          <w:sz w:val="22"/>
        </w:rPr>
        <w:t>pentamidine</w:t>
      </w:r>
      <w:proofErr w:type="spellEnd"/>
      <w:r w:rsidRPr="00EF6EC8">
        <w:rPr>
          <w:sz w:val="22"/>
        </w:rPr>
        <w:t>, 3 mg/kg/</w:t>
      </w:r>
      <w:proofErr w:type="spellStart"/>
      <w:r w:rsidRPr="00EF6EC8">
        <w:rPr>
          <w:sz w:val="22"/>
        </w:rPr>
        <w:t>day</w:t>
      </w:r>
      <w:proofErr w:type="spellEnd"/>
      <w:r w:rsidRPr="00EF6EC8">
        <w:rPr>
          <w:sz w:val="22"/>
        </w:rPr>
        <w:t xml:space="preserve">, 4 </w:t>
      </w:r>
      <w:proofErr w:type="spellStart"/>
      <w:r w:rsidRPr="00EF6EC8">
        <w:rPr>
          <w:sz w:val="22"/>
        </w:rPr>
        <w:t>to</w:t>
      </w:r>
      <w:proofErr w:type="spellEnd"/>
      <w:r w:rsidRPr="00EF6EC8">
        <w:rPr>
          <w:sz w:val="22"/>
        </w:rPr>
        <w:t xml:space="preserve"> 7 doses. The cure </w:t>
      </w:r>
      <w:proofErr w:type="spellStart"/>
      <w:r w:rsidRPr="00EF6EC8">
        <w:rPr>
          <w:sz w:val="22"/>
        </w:rPr>
        <w:t>rate</w:t>
      </w:r>
      <w:proofErr w:type="spellEnd"/>
      <w:r w:rsidRPr="00EF6EC8">
        <w:rPr>
          <w:sz w:val="22"/>
        </w:rPr>
        <w:t xml:space="preserve"> </w:t>
      </w:r>
      <w:proofErr w:type="spellStart"/>
      <w:r w:rsidRPr="00EF6EC8">
        <w:rPr>
          <w:sz w:val="22"/>
        </w:rPr>
        <w:t>for</w:t>
      </w:r>
      <w:proofErr w:type="spellEnd"/>
      <w:r w:rsidRPr="00EF6EC8">
        <w:rPr>
          <w:sz w:val="22"/>
        </w:rPr>
        <w:t xml:space="preserve"> </w:t>
      </w:r>
      <w:proofErr w:type="spellStart"/>
      <w:r w:rsidRPr="00EF6EC8">
        <w:rPr>
          <w:sz w:val="22"/>
        </w:rPr>
        <w:t>pentamidine</w:t>
      </w:r>
      <w:proofErr w:type="spellEnd"/>
      <w:r w:rsidRPr="00EF6EC8">
        <w:rPr>
          <w:sz w:val="22"/>
        </w:rPr>
        <w:t xml:space="preserve"> </w:t>
      </w:r>
      <w:proofErr w:type="spellStart"/>
      <w:r w:rsidRPr="00EF6EC8">
        <w:rPr>
          <w:sz w:val="22"/>
        </w:rPr>
        <w:t>is</w:t>
      </w:r>
      <w:proofErr w:type="spellEnd"/>
      <w:r w:rsidRPr="00EF6EC8">
        <w:rPr>
          <w:sz w:val="22"/>
        </w:rPr>
        <w:t xml:space="preserve"> 90%.  </w:t>
      </w:r>
    </w:p>
    <w:p w:rsidR="00AB5BA6" w:rsidRDefault="00AB5BA6" w:rsidP="00AB5BA6">
      <w:pPr>
        <w:pStyle w:val="BodyText"/>
        <w:jc w:val="both"/>
        <w:rPr>
          <w:rFonts w:ascii="Arial" w:eastAsia="Calibri" w:hAnsi="Arial" w:cs="Arial"/>
          <w:bCs/>
          <w:sz w:val="22"/>
          <w:szCs w:val="22"/>
          <w:lang w:val="en-GB"/>
        </w:rPr>
      </w:pPr>
    </w:p>
    <w:p w:rsidR="00AB5BA6" w:rsidRPr="002C75B8" w:rsidRDefault="00AB5BA6" w:rsidP="00AB5BA6">
      <w:pPr>
        <w:pStyle w:val="BodyText"/>
        <w:jc w:val="both"/>
        <w:rPr>
          <w:rFonts w:ascii="Arial" w:eastAsia="Calibri" w:hAnsi="Arial" w:cs="Arial"/>
          <w:bCs/>
          <w:sz w:val="22"/>
          <w:szCs w:val="22"/>
          <w:lang w:val="en-GB"/>
        </w:rPr>
      </w:pPr>
      <w:r w:rsidRPr="002C75B8">
        <w:rPr>
          <w:rFonts w:ascii="Arial" w:eastAsia="Calibri" w:hAnsi="Arial" w:cs="Arial"/>
          <w:bCs/>
          <w:sz w:val="22"/>
          <w:szCs w:val="22"/>
          <w:lang w:val="en-GB"/>
        </w:rPr>
        <w:t xml:space="preserve">The overall cure rate for antimonials is 90-95%. </w:t>
      </w:r>
    </w:p>
    <w:p w:rsidR="00AB5BA6" w:rsidRPr="002C75B8" w:rsidRDefault="00AB5BA6" w:rsidP="00AB5BA6">
      <w:pPr>
        <w:ind w:left="0" w:firstLine="0"/>
        <w:rPr>
          <w:sz w:val="22"/>
          <w:lang w:val="en-US"/>
        </w:rPr>
      </w:pPr>
    </w:p>
    <w:p w:rsidR="00AB5BA6" w:rsidRPr="002C75B8" w:rsidRDefault="00AB5BA6" w:rsidP="00AB5BA6">
      <w:pPr>
        <w:ind w:left="0" w:firstLine="0"/>
        <w:rPr>
          <w:b/>
          <w:bCs/>
          <w:sz w:val="22"/>
          <w:lang w:val="en-US"/>
        </w:rPr>
      </w:pPr>
      <w:r w:rsidRPr="002C75B8">
        <w:rPr>
          <w:b/>
          <w:bCs/>
          <w:sz w:val="22"/>
          <w:lang w:val="en-US"/>
        </w:rPr>
        <w:t xml:space="preserve">ACCESS TO CARE </w:t>
      </w:r>
    </w:p>
    <w:p w:rsidR="00AB5BA6" w:rsidRPr="002C75B8" w:rsidRDefault="00AB5BA6" w:rsidP="00AB5BA6">
      <w:pPr>
        <w:ind w:left="0" w:firstLine="0"/>
        <w:rPr>
          <w:b/>
          <w:bCs/>
          <w:sz w:val="22"/>
          <w:lang w:val="en-US"/>
        </w:rPr>
      </w:pPr>
    </w:p>
    <w:p w:rsidR="00AB5BA6" w:rsidRPr="002C75B8" w:rsidRDefault="00AB5BA6" w:rsidP="00AB5BA6">
      <w:pPr>
        <w:ind w:left="0" w:firstLine="0"/>
        <w:rPr>
          <w:b/>
          <w:sz w:val="22"/>
          <w:lang w:val="en-GB"/>
        </w:rPr>
      </w:pPr>
      <w:r w:rsidRPr="002C75B8">
        <w:rPr>
          <w:sz w:val="22"/>
          <w:lang w:val="en-US"/>
        </w:rPr>
        <w:t xml:space="preserve">Treatment is acquired by the Ministry of Social Protection and provided free of charge to all patients with confirmed diagnosis of the disease. </w:t>
      </w:r>
      <w:r>
        <w:rPr>
          <w:sz w:val="22"/>
          <w:lang w:val="en-US"/>
        </w:rPr>
        <w:t>S</w:t>
      </w:r>
      <w:r w:rsidRPr="002C75B8">
        <w:rPr>
          <w:sz w:val="22"/>
          <w:lang w:val="en-US"/>
        </w:rPr>
        <w:t xml:space="preserve">ufficient drugs </w:t>
      </w:r>
      <w:r>
        <w:rPr>
          <w:sz w:val="22"/>
          <w:lang w:val="en-US"/>
        </w:rPr>
        <w:t xml:space="preserve">were </w:t>
      </w:r>
      <w:r w:rsidRPr="002C75B8">
        <w:rPr>
          <w:sz w:val="22"/>
          <w:lang w:val="en-US"/>
        </w:rPr>
        <w:t xml:space="preserve">obtained </w:t>
      </w:r>
      <w:r>
        <w:rPr>
          <w:sz w:val="22"/>
          <w:lang w:val="en-US"/>
        </w:rPr>
        <w:t xml:space="preserve">in order </w:t>
      </w:r>
      <w:r w:rsidRPr="002C75B8">
        <w:rPr>
          <w:sz w:val="22"/>
          <w:lang w:val="en-US"/>
        </w:rPr>
        <w:t>to treat all patients. Diagnosis for VL and (M</w:t>
      </w:r>
      <w:proofErr w:type="gramStart"/>
      <w:r w:rsidRPr="002C75B8">
        <w:rPr>
          <w:sz w:val="22"/>
          <w:lang w:val="en-US"/>
        </w:rPr>
        <w:t>)CL</w:t>
      </w:r>
      <w:proofErr w:type="gramEnd"/>
      <w:r w:rsidRPr="002C75B8">
        <w:rPr>
          <w:sz w:val="22"/>
          <w:lang w:val="en-US"/>
        </w:rPr>
        <w:t xml:space="preserve"> is possible at outreach level: blood samples are taken and sent for analysis by IFAT. Treatment with antimonials, miltefosine and </w:t>
      </w:r>
      <w:proofErr w:type="spellStart"/>
      <w:r w:rsidRPr="002C75B8">
        <w:rPr>
          <w:sz w:val="22"/>
          <w:lang w:val="en-US"/>
        </w:rPr>
        <w:t>pentamidine</w:t>
      </w:r>
      <w:proofErr w:type="spellEnd"/>
      <w:r w:rsidRPr="002C75B8">
        <w:rPr>
          <w:sz w:val="22"/>
          <w:lang w:val="en-US"/>
        </w:rPr>
        <w:t xml:space="preserve"> is possible at health cente</w:t>
      </w:r>
      <w:r>
        <w:rPr>
          <w:sz w:val="22"/>
          <w:lang w:val="en-US"/>
        </w:rPr>
        <w:t>r</w:t>
      </w:r>
      <w:r w:rsidRPr="002C75B8">
        <w:rPr>
          <w:sz w:val="22"/>
          <w:lang w:val="en-US"/>
        </w:rPr>
        <w:t xml:space="preserve"> level. All patients are thought to have access to treatment. </w:t>
      </w:r>
    </w:p>
    <w:p w:rsidR="00AB5BA6" w:rsidRPr="002C75B8" w:rsidRDefault="00AB5BA6" w:rsidP="00AB5BA6">
      <w:pPr>
        <w:ind w:left="0" w:firstLine="0"/>
        <w:rPr>
          <w:sz w:val="22"/>
          <w:lang w:val="en-GB"/>
        </w:rPr>
      </w:pPr>
    </w:p>
    <w:p w:rsidR="00AB5BA6" w:rsidRPr="002C75B8" w:rsidRDefault="00AB5BA6" w:rsidP="00AB5BA6">
      <w:pPr>
        <w:ind w:left="0" w:firstLine="0"/>
        <w:rPr>
          <w:sz w:val="22"/>
          <w:lang w:val="en-GB"/>
        </w:rPr>
      </w:pPr>
    </w:p>
    <w:p w:rsidR="00AB5BA6" w:rsidRPr="002C75B8" w:rsidRDefault="00AB5BA6" w:rsidP="00AB5BA6">
      <w:pPr>
        <w:ind w:left="0" w:firstLine="0"/>
        <w:rPr>
          <w:sz w:val="22"/>
          <w:lang w:val="en-GB"/>
        </w:rPr>
      </w:pPr>
      <w:r w:rsidRPr="002C75B8">
        <w:rPr>
          <w:b/>
          <w:sz w:val="22"/>
          <w:lang w:val="en-GB"/>
        </w:rPr>
        <w:t>ACCESS TO DRUGS</w:t>
      </w:r>
      <w:r w:rsidRPr="002C75B8">
        <w:rPr>
          <w:sz w:val="22"/>
          <w:lang w:val="en-GB"/>
        </w:rPr>
        <w:t xml:space="preserve"> </w:t>
      </w:r>
    </w:p>
    <w:p w:rsidR="00AB5BA6" w:rsidRPr="002C75B8" w:rsidRDefault="00AB5BA6" w:rsidP="00AB5BA6">
      <w:pPr>
        <w:ind w:left="0" w:firstLine="0"/>
        <w:rPr>
          <w:sz w:val="22"/>
          <w:lang w:val="en-GB"/>
        </w:rPr>
      </w:pPr>
    </w:p>
    <w:p w:rsidR="00AB5BA6" w:rsidRPr="002C75B8" w:rsidRDefault="00AB5BA6" w:rsidP="00AB5BA6">
      <w:pPr>
        <w:ind w:left="0" w:firstLine="0"/>
        <w:rPr>
          <w:sz w:val="22"/>
          <w:lang w:val="en-US"/>
        </w:rPr>
      </w:pPr>
      <w:r w:rsidRPr="002C75B8">
        <w:rPr>
          <w:sz w:val="22"/>
          <w:lang w:val="en-US"/>
        </w:rPr>
        <w:t>The drugs provided by the government are meglumi</w:t>
      </w:r>
      <w:r>
        <w:rPr>
          <w:sz w:val="22"/>
          <w:lang w:val="en-US"/>
        </w:rPr>
        <w:t xml:space="preserve">ne antimoniate (Glucantime, </w:t>
      </w:r>
      <w:proofErr w:type="spellStart"/>
      <w:r>
        <w:rPr>
          <w:sz w:val="22"/>
          <w:lang w:val="en-US"/>
        </w:rPr>
        <w:t>Sanofi</w:t>
      </w:r>
      <w:proofErr w:type="spellEnd"/>
      <w:r w:rsidRPr="002C75B8">
        <w:rPr>
          <w:sz w:val="22"/>
          <w:lang w:val="en-US"/>
        </w:rPr>
        <w:t xml:space="preserve">), sodium stibogluconate (GR </w:t>
      </w:r>
      <w:proofErr w:type="spellStart"/>
      <w:r w:rsidRPr="002C75B8">
        <w:rPr>
          <w:sz w:val="22"/>
          <w:lang w:val="en-US"/>
        </w:rPr>
        <w:t>Intercomerce</w:t>
      </w:r>
      <w:proofErr w:type="spellEnd"/>
      <w:r w:rsidRPr="002C75B8">
        <w:rPr>
          <w:sz w:val="22"/>
          <w:lang w:val="en-US"/>
        </w:rPr>
        <w:t>) and miltefosine (</w:t>
      </w:r>
      <w:proofErr w:type="spellStart"/>
      <w:r w:rsidRPr="002C75B8">
        <w:rPr>
          <w:sz w:val="22"/>
          <w:lang w:val="en-US"/>
        </w:rPr>
        <w:t>Tecnopharma</w:t>
      </w:r>
      <w:proofErr w:type="spellEnd"/>
      <w:r w:rsidRPr="002C75B8">
        <w:rPr>
          <w:sz w:val="22"/>
          <w:lang w:val="en-US"/>
        </w:rPr>
        <w:t xml:space="preserve">). </w:t>
      </w:r>
    </w:p>
    <w:p w:rsidR="00AB5BA6" w:rsidRPr="002C75B8" w:rsidRDefault="00AB5BA6" w:rsidP="00AB5BA6">
      <w:pPr>
        <w:ind w:left="0" w:firstLine="0"/>
        <w:rPr>
          <w:b/>
          <w:sz w:val="22"/>
          <w:lang w:val="en-GB"/>
        </w:rPr>
      </w:pPr>
    </w:p>
    <w:p w:rsidR="00AB5BA6" w:rsidRPr="002C75B8" w:rsidRDefault="00AB5BA6" w:rsidP="00AB5BA6">
      <w:pPr>
        <w:ind w:left="0" w:firstLine="0"/>
        <w:rPr>
          <w:sz w:val="22"/>
          <w:lang w:val="en-US"/>
        </w:rPr>
      </w:pPr>
      <w:r w:rsidRPr="002C75B8">
        <w:rPr>
          <w:sz w:val="22"/>
          <w:lang w:val="en-US"/>
        </w:rPr>
        <w:lastRenderedPageBreak/>
        <w:t xml:space="preserve">Meglumine antimoniate is included in the national Essential Drug List for leishmaniasis. The list will soon be updated with sodium stibogluconate, miltefosine and </w:t>
      </w:r>
      <w:proofErr w:type="spellStart"/>
      <w:r w:rsidRPr="002C75B8">
        <w:rPr>
          <w:sz w:val="22"/>
          <w:lang w:val="en-US"/>
        </w:rPr>
        <w:t>pentamidine</w:t>
      </w:r>
      <w:proofErr w:type="spellEnd"/>
      <w:r w:rsidRPr="002C75B8">
        <w:rPr>
          <w:sz w:val="22"/>
          <w:lang w:val="en-US"/>
        </w:rPr>
        <w:t xml:space="preserve">. Drugs for leishmaniasis are not sold in private pharmacies </w:t>
      </w:r>
      <w:r>
        <w:rPr>
          <w:sz w:val="22"/>
          <w:lang w:val="en-US"/>
        </w:rPr>
        <w:t xml:space="preserve">in order </w:t>
      </w:r>
      <w:r w:rsidRPr="002C75B8">
        <w:rPr>
          <w:sz w:val="22"/>
          <w:lang w:val="en-US"/>
        </w:rPr>
        <w:t xml:space="preserve">to prevent misuse. Sodium stibogluconate (Pentostam, GSK), meglumine antimoniate (Glucantime, </w:t>
      </w:r>
      <w:proofErr w:type="spellStart"/>
      <w:r>
        <w:rPr>
          <w:sz w:val="22"/>
          <w:lang w:val="en-US"/>
        </w:rPr>
        <w:t>Sanofi</w:t>
      </w:r>
      <w:proofErr w:type="spellEnd"/>
      <w:r w:rsidRPr="002C75B8">
        <w:rPr>
          <w:sz w:val="22"/>
          <w:lang w:val="en-US"/>
        </w:rPr>
        <w:t xml:space="preserve">) and miltefosine (Paladin, Canada) are registered in Colombia, as well as generic forms of miltefosine and SSG. </w:t>
      </w:r>
    </w:p>
    <w:p w:rsidR="00AB5BA6" w:rsidRDefault="00AB5BA6" w:rsidP="00AB5BA6">
      <w:pPr>
        <w:spacing w:line="276" w:lineRule="auto"/>
        <w:ind w:left="0" w:firstLine="0"/>
        <w:rPr>
          <w:b/>
          <w:sz w:val="22"/>
          <w:lang w:val="en-US"/>
        </w:rPr>
      </w:pPr>
    </w:p>
    <w:p w:rsidR="00AB5BA6" w:rsidRPr="002C75B8" w:rsidRDefault="00AB5BA6" w:rsidP="00AB5BA6">
      <w:pPr>
        <w:spacing w:line="276" w:lineRule="auto"/>
        <w:ind w:left="0" w:firstLine="0"/>
        <w:rPr>
          <w:b/>
          <w:sz w:val="22"/>
          <w:lang w:val="en-US"/>
        </w:rPr>
      </w:pPr>
    </w:p>
    <w:p w:rsidR="00AB5BA6" w:rsidRPr="002C75B8" w:rsidRDefault="00AB5BA6" w:rsidP="00AB5BA6">
      <w:pPr>
        <w:ind w:left="0" w:firstLine="0"/>
        <w:rPr>
          <w:b/>
          <w:sz w:val="22"/>
          <w:lang w:val="en-GB"/>
        </w:rPr>
      </w:pPr>
      <w:r w:rsidRPr="002C75B8">
        <w:rPr>
          <w:b/>
          <w:sz w:val="22"/>
          <w:lang w:val="en-GB"/>
        </w:rPr>
        <w:t>SOURCES OF INFORMATION</w:t>
      </w:r>
    </w:p>
    <w:p w:rsidR="00AB5BA6" w:rsidRPr="002C75B8" w:rsidRDefault="00AB5BA6" w:rsidP="00AB5BA6">
      <w:pPr>
        <w:ind w:left="0" w:firstLine="0"/>
        <w:rPr>
          <w:sz w:val="22"/>
          <w:lang w:val="en-GB"/>
        </w:rPr>
      </w:pPr>
    </w:p>
    <w:p w:rsidR="00AB5BA6" w:rsidRDefault="00AB5BA6" w:rsidP="00AB5BA6">
      <w:pPr>
        <w:numPr>
          <w:ilvl w:val="0"/>
          <w:numId w:val="5"/>
        </w:numPr>
        <w:rPr>
          <w:bCs/>
          <w:i/>
          <w:iCs/>
          <w:sz w:val="22"/>
          <w:lang w:val="es-ES"/>
        </w:rPr>
      </w:pPr>
      <w:r w:rsidRPr="002C75B8">
        <w:rPr>
          <w:bCs/>
          <w:sz w:val="22"/>
          <w:lang w:val="en-US"/>
        </w:rPr>
        <w:t xml:space="preserve">Dr </w:t>
      </w:r>
      <w:proofErr w:type="spellStart"/>
      <w:r w:rsidRPr="002C75B8">
        <w:rPr>
          <w:bCs/>
          <w:sz w:val="22"/>
          <w:lang w:val="en-US"/>
        </w:rPr>
        <w:t>Pilar</w:t>
      </w:r>
      <w:proofErr w:type="spellEnd"/>
      <w:r w:rsidRPr="002C75B8">
        <w:rPr>
          <w:bCs/>
          <w:sz w:val="22"/>
          <w:lang w:val="en-US"/>
        </w:rPr>
        <w:t xml:space="preserve"> </w:t>
      </w:r>
      <w:proofErr w:type="spellStart"/>
      <w:r w:rsidRPr="002C75B8">
        <w:rPr>
          <w:bCs/>
          <w:sz w:val="22"/>
          <w:lang w:val="en-US"/>
        </w:rPr>
        <w:t>Zambrano</w:t>
      </w:r>
      <w:proofErr w:type="spellEnd"/>
      <w:r w:rsidRPr="002C75B8">
        <w:rPr>
          <w:bCs/>
          <w:sz w:val="22"/>
          <w:lang w:val="en-US"/>
        </w:rPr>
        <w:t xml:space="preserve"> H. - National Health Institute</w:t>
      </w:r>
      <w:r>
        <w:rPr>
          <w:bCs/>
          <w:sz w:val="22"/>
          <w:lang w:val="en-US"/>
        </w:rPr>
        <w:t>.</w:t>
      </w:r>
      <w:r w:rsidRPr="002C75B8">
        <w:rPr>
          <w:bCs/>
          <w:sz w:val="22"/>
          <w:lang w:val="en-US"/>
        </w:rPr>
        <w:t xml:space="preserve"> </w:t>
      </w:r>
      <w:r w:rsidRPr="00C16214">
        <w:rPr>
          <w:bCs/>
          <w:i/>
          <w:iCs/>
          <w:color w:val="000000"/>
          <w:sz w:val="22"/>
          <w:lang w:val="es-ES"/>
        </w:rPr>
        <w:t>Leishmaniasis en la Región de</w:t>
      </w:r>
      <w:r>
        <w:rPr>
          <w:bCs/>
          <w:i/>
          <w:iCs/>
          <w:color w:val="000000"/>
          <w:sz w:val="22"/>
          <w:lang w:val="es-ES"/>
        </w:rPr>
        <w:t xml:space="preserve"> las </w:t>
      </w:r>
      <w:r w:rsidRPr="00C16214">
        <w:rPr>
          <w:bCs/>
          <w:i/>
          <w:iCs/>
          <w:color w:val="000000"/>
          <w:sz w:val="22"/>
          <w:lang w:val="es-ES"/>
        </w:rPr>
        <w:t xml:space="preserve"> América</w:t>
      </w:r>
      <w:r>
        <w:rPr>
          <w:bCs/>
          <w:i/>
          <w:iCs/>
          <w:color w:val="000000"/>
          <w:sz w:val="22"/>
          <w:lang w:val="es-ES"/>
        </w:rPr>
        <w:t>s</w:t>
      </w:r>
      <w:r w:rsidRPr="00C16214">
        <w:rPr>
          <w:bCs/>
          <w:i/>
          <w:iCs/>
          <w:color w:val="000000"/>
          <w:sz w:val="22"/>
          <w:lang w:val="es-ES"/>
        </w:rPr>
        <w:t xml:space="preserve">. </w:t>
      </w:r>
      <w:r w:rsidRPr="00697466">
        <w:rPr>
          <w:bCs/>
          <w:i/>
          <w:iCs/>
          <w:sz w:val="22"/>
          <w:lang w:val="es-ES"/>
        </w:rPr>
        <w:t>Reuni</w:t>
      </w:r>
      <w:r w:rsidRPr="00697466">
        <w:rPr>
          <w:bCs/>
          <w:i/>
          <w:iCs/>
          <w:color w:val="000000"/>
          <w:sz w:val="22"/>
          <w:lang w:val="es-ES"/>
        </w:rPr>
        <w:t>ó</w:t>
      </w:r>
      <w:r w:rsidRPr="00697466">
        <w:rPr>
          <w:bCs/>
          <w:i/>
          <w:iCs/>
          <w:sz w:val="22"/>
          <w:lang w:val="es-ES"/>
        </w:rPr>
        <w:t>n de coordinadores de Programa Nacional de Leishmaniasis.</w:t>
      </w:r>
      <w:r>
        <w:rPr>
          <w:bCs/>
          <w:i/>
          <w:iCs/>
          <w:sz w:val="22"/>
          <w:lang w:val="es-ES"/>
        </w:rPr>
        <w:t xml:space="preserve"> OPS/OMS.</w:t>
      </w:r>
      <w:r w:rsidRPr="00697466">
        <w:rPr>
          <w:bCs/>
          <w:i/>
          <w:iCs/>
          <w:sz w:val="22"/>
          <w:lang w:val="es-ES"/>
        </w:rPr>
        <w:t xml:space="preserve"> Medell</w:t>
      </w:r>
      <w:r w:rsidRPr="00697466">
        <w:rPr>
          <w:bCs/>
          <w:i/>
          <w:iCs/>
          <w:color w:val="000000"/>
          <w:sz w:val="22"/>
          <w:lang w:val="es-ES"/>
        </w:rPr>
        <w:t>í</w:t>
      </w:r>
      <w:r w:rsidRPr="00697466">
        <w:rPr>
          <w:bCs/>
          <w:i/>
          <w:iCs/>
          <w:sz w:val="22"/>
          <w:lang w:val="es-ES"/>
        </w:rPr>
        <w:t>n, Colombia</w:t>
      </w:r>
      <w:r>
        <w:rPr>
          <w:bCs/>
          <w:i/>
          <w:iCs/>
          <w:sz w:val="22"/>
          <w:lang w:val="es-ES"/>
        </w:rPr>
        <w:t>.</w:t>
      </w:r>
      <w:r w:rsidRPr="00697466">
        <w:rPr>
          <w:bCs/>
          <w:i/>
          <w:iCs/>
          <w:sz w:val="22"/>
          <w:lang w:val="es-ES"/>
        </w:rPr>
        <w:t xml:space="preserve"> 4-6 junio 2008</w:t>
      </w:r>
      <w:r>
        <w:rPr>
          <w:bCs/>
          <w:i/>
          <w:iCs/>
          <w:sz w:val="22"/>
          <w:lang w:val="es-ES"/>
        </w:rPr>
        <w:t>.</w:t>
      </w:r>
    </w:p>
    <w:p w:rsidR="00AB5BA6" w:rsidRPr="008C195B" w:rsidRDefault="00AB5BA6" w:rsidP="00AB5BA6">
      <w:pPr>
        <w:numPr>
          <w:ilvl w:val="0"/>
          <w:numId w:val="5"/>
        </w:numPr>
        <w:rPr>
          <w:sz w:val="20"/>
          <w:lang w:val="es-ES"/>
        </w:rPr>
      </w:pPr>
      <w:proofErr w:type="spellStart"/>
      <w:r w:rsidRPr="00545799">
        <w:rPr>
          <w:bCs/>
          <w:sz w:val="22"/>
          <w:lang w:val="es-ES"/>
        </w:rPr>
        <w:t>Drs</w:t>
      </w:r>
      <w:proofErr w:type="spellEnd"/>
      <w:r w:rsidRPr="00545799">
        <w:rPr>
          <w:bCs/>
          <w:sz w:val="22"/>
          <w:lang w:val="es-ES"/>
        </w:rPr>
        <w:t xml:space="preserve"> Julio Cesar Padilla</w:t>
      </w:r>
      <w:r>
        <w:rPr>
          <w:bCs/>
          <w:sz w:val="22"/>
          <w:lang w:val="es-ES"/>
        </w:rPr>
        <w:t xml:space="preserve"> and</w:t>
      </w:r>
      <w:r w:rsidRPr="00545799">
        <w:rPr>
          <w:bCs/>
          <w:sz w:val="22"/>
          <w:lang w:val="es-ES"/>
        </w:rPr>
        <w:t xml:space="preserve"> </w:t>
      </w:r>
      <w:proofErr w:type="spellStart"/>
      <w:r w:rsidRPr="00545799">
        <w:rPr>
          <w:bCs/>
          <w:sz w:val="22"/>
          <w:lang w:val="es-ES"/>
        </w:rPr>
        <w:t>Maria</w:t>
      </w:r>
      <w:proofErr w:type="spellEnd"/>
      <w:r w:rsidRPr="00545799">
        <w:rPr>
          <w:bCs/>
          <w:sz w:val="22"/>
          <w:lang w:val="es-ES"/>
        </w:rPr>
        <w:t xml:space="preserve"> Cristina Carrasquilla, </w:t>
      </w:r>
      <w:proofErr w:type="spellStart"/>
      <w:r w:rsidRPr="00545799">
        <w:rPr>
          <w:color w:val="000000"/>
          <w:sz w:val="22"/>
          <w:lang w:val="es-ES"/>
        </w:rPr>
        <w:t>National</w:t>
      </w:r>
      <w:proofErr w:type="spellEnd"/>
      <w:r w:rsidRPr="00545799">
        <w:rPr>
          <w:color w:val="000000"/>
          <w:sz w:val="22"/>
          <w:lang w:val="es-ES"/>
        </w:rPr>
        <w:t xml:space="preserve"> </w:t>
      </w:r>
      <w:proofErr w:type="spellStart"/>
      <w:r w:rsidRPr="00545799">
        <w:rPr>
          <w:color w:val="000000"/>
          <w:sz w:val="22"/>
          <w:lang w:val="es-ES"/>
        </w:rPr>
        <w:t>Program</w:t>
      </w:r>
      <w:proofErr w:type="spellEnd"/>
      <w:r w:rsidRPr="00545799">
        <w:rPr>
          <w:color w:val="000000"/>
          <w:sz w:val="22"/>
          <w:lang w:val="es-ES"/>
        </w:rPr>
        <w:t xml:space="preserve"> of Vector Borne </w:t>
      </w:r>
      <w:proofErr w:type="spellStart"/>
      <w:r w:rsidRPr="00545799">
        <w:rPr>
          <w:color w:val="000000"/>
          <w:sz w:val="22"/>
          <w:lang w:val="es-ES"/>
        </w:rPr>
        <w:t>Diseases</w:t>
      </w:r>
      <w:proofErr w:type="spellEnd"/>
      <w:r w:rsidRPr="00545799">
        <w:rPr>
          <w:color w:val="000000"/>
          <w:sz w:val="22"/>
          <w:lang w:val="es-ES"/>
        </w:rPr>
        <w:t xml:space="preserve">, Ministerio de </w:t>
      </w:r>
      <w:smartTag w:uri="urn:schemas-microsoft-com:office:smarttags" w:element="PersonName">
        <w:smartTagPr>
          <w:attr w:name="ProductID" w:val="la Protecci￳n Social"/>
        </w:smartTagPr>
        <w:r w:rsidRPr="00545799">
          <w:rPr>
            <w:color w:val="000000"/>
            <w:sz w:val="22"/>
            <w:lang w:val="es-ES"/>
          </w:rPr>
          <w:t>la Protección So</w:t>
        </w:r>
        <w:r w:rsidRPr="00D41455">
          <w:rPr>
            <w:color w:val="000000"/>
            <w:sz w:val="22"/>
            <w:lang w:val="es-ES"/>
          </w:rPr>
          <w:t>cial</w:t>
        </w:r>
      </w:smartTag>
      <w:r w:rsidRPr="00D41455">
        <w:rPr>
          <w:color w:val="000000"/>
          <w:sz w:val="22"/>
          <w:lang w:val="es-ES"/>
        </w:rPr>
        <w:t>, Colombia</w:t>
      </w:r>
      <w:r>
        <w:rPr>
          <w:color w:val="000000"/>
          <w:sz w:val="22"/>
          <w:lang w:val="es-ES"/>
        </w:rPr>
        <w:t xml:space="preserve">. </w:t>
      </w:r>
      <w:r w:rsidRPr="00C16214">
        <w:rPr>
          <w:bCs/>
          <w:i/>
          <w:iCs/>
          <w:color w:val="000000"/>
          <w:sz w:val="22"/>
          <w:lang w:val="es-ES"/>
        </w:rPr>
        <w:t>Leishmaniasis en la Región de</w:t>
      </w:r>
      <w:r>
        <w:rPr>
          <w:bCs/>
          <w:i/>
          <w:iCs/>
          <w:color w:val="000000"/>
          <w:sz w:val="22"/>
          <w:lang w:val="es-ES"/>
        </w:rPr>
        <w:t xml:space="preserve"> las </w:t>
      </w:r>
      <w:r w:rsidRPr="00C16214">
        <w:rPr>
          <w:bCs/>
          <w:i/>
          <w:iCs/>
          <w:color w:val="000000"/>
          <w:sz w:val="22"/>
          <w:lang w:val="es-ES"/>
        </w:rPr>
        <w:t>América</w:t>
      </w:r>
      <w:r>
        <w:rPr>
          <w:bCs/>
          <w:i/>
          <w:iCs/>
          <w:color w:val="000000"/>
          <w:sz w:val="22"/>
          <w:lang w:val="es-ES"/>
        </w:rPr>
        <w:t>s</w:t>
      </w:r>
      <w:r w:rsidRPr="00C16214">
        <w:rPr>
          <w:bCs/>
          <w:i/>
          <w:iCs/>
          <w:color w:val="000000"/>
          <w:sz w:val="22"/>
          <w:lang w:val="es-ES"/>
        </w:rPr>
        <w:t xml:space="preserve">. </w:t>
      </w:r>
      <w:r w:rsidRPr="00697466">
        <w:rPr>
          <w:bCs/>
          <w:i/>
          <w:iCs/>
          <w:sz w:val="22"/>
          <w:lang w:val="es-ES"/>
        </w:rPr>
        <w:t>Reuni</w:t>
      </w:r>
      <w:r w:rsidRPr="00697466">
        <w:rPr>
          <w:bCs/>
          <w:i/>
          <w:iCs/>
          <w:color w:val="000000"/>
          <w:sz w:val="22"/>
          <w:lang w:val="es-ES"/>
        </w:rPr>
        <w:t>ó</w:t>
      </w:r>
      <w:r w:rsidRPr="00697466">
        <w:rPr>
          <w:bCs/>
          <w:i/>
          <w:iCs/>
          <w:sz w:val="22"/>
          <w:lang w:val="es-ES"/>
        </w:rPr>
        <w:t>n de coordinadores de Programa Nacional de Leishmaniasis.</w:t>
      </w:r>
      <w:r>
        <w:rPr>
          <w:bCs/>
          <w:i/>
          <w:iCs/>
          <w:sz w:val="22"/>
          <w:lang w:val="es-ES"/>
        </w:rPr>
        <w:t xml:space="preserve"> OPS/OMS.</w:t>
      </w:r>
      <w:r w:rsidRPr="00697466">
        <w:rPr>
          <w:bCs/>
          <w:i/>
          <w:iCs/>
          <w:sz w:val="22"/>
          <w:lang w:val="es-ES"/>
        </w:rPr>
        <w:t xml:space="preserve"> Medell</w:t>
      </w:r>
      <w:r w:rsidRPr="00697466">
        <w:rPr>
          <w:bCs/>
          <w:i/>
          <w:iCs/>
          <w:color w:val="000000"/>
          <w:sz w:val="22"/>
          <w:lang w:val="es-ES"/>
        </w:rPr>
        <w:t>í</w:t>
      </w:r>
      <w:r w:rsidRPr="00697466">
        <w:rPr>
          <w:bCs/>
          <w:i/>
          <w:iCs/>
          <w:sz w:val="22"/>
          <w:lang w:val="es-ES"/>
        </w:rPr>
        <w:t>n, Colombia</w:t>
      </w:r>
      <w:r>
        <w:rPr>
          <w:bCs/>
          <w:i/>
          <w:iCs/>
          <w:sz w:val="22"/>
          <w:lang w:val="es-ES"/>
        </w:rPr>
        <w:t>.</w:t>
      </w:r>
      <w:r w:rsidRPr="00697466">
        <w:rPr>
          <w:bCs/>
          <w:i/>
          <w:iCs/>
          <w:sz w:val="22"/>
          <w:lang w:val="es-ES"/>
        </w:rPr>
        <w:t xml:space="preserve"> 4-6 junio 2008</w:t>
      </w:r>
      <w:r>
        <w:rPr>
          <w:bCs/>
          <w:i/>
          <w:iCs/>
          <w:sz w:val="22"/>
          <w:lang w:val="es-ES"/>
        </w:rPr>
        <w:t>.</w:t>
      </w:r>
    </w:p>
    <w:p w:rsidR="00AB5BA6" w:rsidRPr="008C195B" w:rsidRDefault="00AB5BA6" w:rsidP="00AB5BA6">
      <w:pPr>
        <w:ind w:left="0" w:firstLine="0"/>
        <w:rPr>
          <w:sz w:val="22"/>
          <w:lang w:val="es-ES"/>
        </w:rPr>
      </w:pPr>
    </w:p>
    <w:p w:rsidR="00AB5BA6" w:rsidRPr="002C75B8" w:rsidRDefault="00AB5BA6" w:rsidP="00AB5BA6">
      <w:pPr>
        <w:pStyle w:val="title1"/>
        <w:shd w:val="clear" w:color="auto" w:fill="FFFFFF"/>
        <w:jc w:val="both"/>
        <w:rPr>
          <w:rFonts w:ascii="Arial" w:hAnsi="Arial" w:cs="Arial"/>
          <w:sz w:val="22"/>
          <w:szCs w:val="22"/>
        </w:rPr>
      </w:pPr>
      <w:r>
        <w:rPr>
          <w:rFonts w:ascii="Arial" w:hAnsi="Arial" w:cs="Arial"/>
          <w:sz w:val="22"/>
          <w:szCs w:val="22"/>
        </w:rPr>
        <w:t xml:space="preserve">1. </w:t>
      </w:r>
      <w:proofErr w:type="spellStart"/>
      <w:r w:rsidRPr="002C75B8">
        <w:rPr>
          <w:rFonts w:ascii="Arial" w:hAnsi="Arial" w:cs="Arial"/>
          <w:sz w:val="22"/>
          <w:szCs w:val="22"/>
        </w:rPr>
        <w:t>Corredor</w:t>
      </w:r>
      <w:proofErr w:type="spellEnd"/>
      <w:r w:rsidRPr="002C75B8">
        <w:rPr>
          <w:rFonts w:ascii="Arial" w:hAnsi="Arial" w:cs="Arial"/>
          <w:sz w:val="22"/>
          <w:szCs w:val="22"/>
        </w:rPr>
        <w:t xml:space="preserve"> A, </w:t>
      </w:r>
      <w:proofErr w:type="spellStart"/>
      <w:r w:rsidRPr="002C75B8">
        <w:rPr>
          <w:rFonts w:ascii="Arial" w:hAnsi="Arial" w:cs="Arial"/>
          <w:sz w:val="22"/>
          <w:szCs w:val="22"/>
        </w:rPr>
        <w:t>Gallego</w:t>
      </w:r>
      <w:proofErr w:type="spellEnd"/>
      <w:r w:rsidRPr="002C75B8">
        <w:rPr>
          <w:rFonts w:ascii="Arial" w:hAnsi="Arial" w:cs="Arial"/>
          <w:sz w:val="22"/>
          <w:szCs w:val="22"/>
        </w:rPr>
        <w:t xml:space="preserve"> J, </w:t>
      </w:r>
      <w:proofErr w:type="spellStart"/>
      <w:r w:rsidRPr="002C75B8">
        <w:rPr>
          <w:rFonts w:ascii="Arial" w:hAnsi="Arial" w:cs="Arial"/>
          <w:sz w:val="22"/>
          <w:szCs w:val="22"/>
        </w:rPr>
        <w:t>Tesh</w:t>
      </w:r>
      <w:proofErr w:type="spellEnd"/>
      <w:r w:rsidRPr="002C75B8">
        <w:rPr>
          <w:rFonts w:ascii="Arial" w:hAnsi="Arial" w:cs="Arial"/>
          <w:sz w:val="22"/>
          <w:szCs w:val="22"/>
        </w:rPr>
        <w:t xml:space="preserve"> RB, Morales A, Ferro C </w:t>
      </w:r>
      <w:r>
        <w:rPr>
          <w:rFonts w:ascii="Arial" w:hAnsi="Arial" w:cs="Arial"/>
          <w:sz w:val="22"/>
          <w:szCs w:val="22"/>
        </w:rPr>
        <w:t>et al (1989)</w:t>
      </w:r>
      <w:r w:rsidRPr="002C75B8">
        <w:rPr>
          <w:rFonts w:ascii="Arial" w:hAnsi="Arial" w:cs="Arial"/>
          <w:sz w:val="22"/>
          <w:szCs w:val="22"/>
        </w:rPr>
        <w:t xml:space="preserve"> Epidemiology of visceral leishmaniasis in Colombia. Am J </w:t>
      </w:r>
      <w:proofErr w:type="spellStart"/>
      <w:r w:rsidRPr="002C75B8">
        <w:rPr>
          <w:rFonts w:ascii="Arial" w:hAnsi="Arial" w:cs="Arial"/>
          <w:sz w:val="22"/>
          <w:szCs w:val="22"/>
        </w:rPr>
        <w:t>Trop</w:t>
      </w:r>
      <w:proofErr w:type="spellEnd"/>
      <w:r w:rsidRPr="002C75B8">
        <w:rPr>
          <w:rFonts w:ascii="Arial" w:hAnsi="Arial" w:cs="Arial"/>
          <w:sz w:val="22"/>
          <w:szCs w:val="22"/>
        </w:rPr>
        <w:t xml:space="preserve"> Med </w:t>
      </w:r>
      <w:proofErr w:type="spellStart"/>
      <w:r w:rsidRPr="002C75B8">
        <w:rPr>
          <w:rFonts w:ascii="Arial" w:hAnsi="Arial" w:cs="Arial"/>
          <w:sz w:val="22"/>
          <w:szCs w:val="22"/>
        </w:rPr>
        <w:t>Hyg</w:t>
      </w:r>
      <w:proofErr w:type="spellEnd"/>
      <w:r>
        <w:rPr>
          <w:rFonts w:ascii="Arial" w:hAnsi="Arial" w:cs="Arial"/>
          <w:sz w:val="22"/>
          <w:szCs w:val="22"/>
        </w:rPr>
        <w:t xml:space="preserve"> </w:t>
      </w:r>
      <w:r w:rsidRPr="002C75B8">
        <w:rPr>
          <w:rFonts w:ascii="Arial" w:hAnsi="Arial" w:cs="Arial"/>
          <w:sz w:val="22"/>
          <w:szCs w:val="22"/>
        </w:rPr>
        <w:t>5:480-</w:t>
      </w:r>
      <w:proofErr w:type="gramStart"/>
      <w:r w:rsidRPr="002C75B8">
        <w:rPr>
          <w:rFonts w:ascii="Arial" w:hAnsi="Arial" w:cs="Arial"/>
          <w:sz w:val="22"/>
          <w:szCs w:val="22"/>
        </w:rPr>
        <w:t>486</w:t>
      </w:r>
      <w:r>
        <w:rPr>
          <w:rFonts w:ascii="Arial" w:hAnsi="Arial" w:cs="Arial"/>
          <w:sz w:val="22"/>
          <w:szCs w:val="22"/>
        </w:rPr>
        <w:t>.</w:t>
      </w:r>
      <w:proofErr w:type="gramEnd"/>
    </w:p>
    <w:p w:rsidR="00AB5BA6" w:rsidRPr="002C75B8" w:rsidRDefault="00AB5BA6" w:rsidP="00AB5BA6">
      <w:pPr>
        <w:pStyle w:val="title1"/>
        <w:shd w:val="clear" w:color="auto" w:fill="FFFFFF"/>
        <w:jc w:val="both"/>
        <w:rPr>
          <w:rFonts w:ascii="Arial" w:hAnsi="Arial" w:cs="Arial"/>
          <w:sz w:val="22"/>
          <w:szCs w:val="22"/>
        </w:rPr>
      </w:pPr>
    </w:p>
    <w:p w:rsidR="00AB5BA6" w:rsidRPr="00262C9B" w:rsidRDefault="00AB5BA6" w:rsidP="00AB5BA6">
      <w:pPr>
        <w:pStyle w:val="rprtbody1"/>
        <w:shd w:val="clear" w:color="auto" w:fill="FFFFFF"/>
        <w:spacing w:before="0" w:after="0"/>
        <w:jc w:val="both"/>
        <w:rPr>
          <w:rFonts w:ascii="Arial" w:hAnsi="Arial" w:cs="Arial"/>
          <w:color w:val="000000"/>
          <w:sz w:val="22"/>
          <w:szCs w:val="22"/>
          <w:lang w:val="en-GB"/>
        </w:rPr>
      </w:pPr>
      <w:r w:rsidRPr="00262C9B">
        <w:rPr>
          <w:rFonts w:ascii="Arial" w:hAnsi="Arial" w:cs="Arial"/>
          <w:sz w:val="22"/>
          <w:szCs w:val="22"/>
          <w:lang w:val="en-GB"/>
        </w:rPr>
        <w:t xml:space="preserve">2. </w:t>
      </w:r>
      <w:proofErr w:type="spellStart"/>
      <w:r w:rsidRPr="00262C9B">
        <w:rPr>
          <w:rFonts w:ascii="Arial" w:hAnsi="Arial" w:cs="Arial"/>
          <w:sz w:val="22"/>
          <w:szCs w:val="22"/>
          <w:lang w:val="en-GB"/>
        </w:rPr>
        <w:t>Weigle</w:t>
      </w:r>
      <w:proofErr w:type="spellEnd"/>
      <w:r w:rsidRPr="00262C9B">
        <w:rPr>
          <w:rFonts w:ascii="Arial" w:hAnsi="Arial" w:cs="Arial"/>
          <w:sz w:val="22"/>
          <w:szCs w:val="22"/>
          <w:lang w:val="en-GB"/>
        </w:rPr>
        <w:t xml:space="preserve"> KA, </w:t>
      </w:r>
      <w:proofErr w:type="spellStart"/>
      <w:r w:rsidRPr="00262C9B">
        <w:rPr>
          <w:rFonts w:ascii="Arial" w:hAnsi="Arial" w:cs="Arial"/>
          <w:sz w:val="22"/>
          <w:szCs w:val="22"/>
          <w:lang w:val="en-GB"/>
        </w:rPr>
        <w:t>Santrich</w:t>
      </w:r>
      <w:proofErr w:type="spellEnd"/>
      <w:r w:rsidRPr="00262C9B">
        <w:rPr>
          <w:rFonts w:ascii="Arial" w:hAnsi="Arial" w:cs="Arial"/>
          <w:sz w:val="22"/>
          <w:szCs w:val="22"/>
          <w:lang w:val="en-GB"/>
        </w:rPr>
        <w:t xml:space="preserve"> C, Martinez F, </w:t>
      </w:r>
      <w:proofErr w:type="spellStart"/>
      <w:r w:rsidRPr="00262C9B">
        <w:rPr>
          <w:rFonts w:ascii="Arial" w:hAnsi="Arial" w:cs="Arial"/>
          <w:sz w:val="22"/>
          <w:szCs w:val="22"/>
          <w:lang w:val="en-GB"/>
        </w:rPr>
        <w:t>Valderrama</w:t>
      </w:r>
      <w:proofErr w:type="spellEnd"/>
      <w:r w:rsidRPr="00262C9B">
        <w:rPr>
          <w:rFonts w:ascii="Arial" w:hAnsi="Arial" w:cs="Arial"/>
          <w:sz w:val="22"/>
          <w:szCs w:val="22"/>
          <w:lang w:val="en-GB"/>
        </w:rPr>
        <w:t xml:space="preserve"> L, </w:t>
      </w:r>
      <w:proofErr w:type="spellStart"/>
      <w:r w:rsidRPr="00262C9B">
        <w:rPr>
          <w:rFonts w:ascii="Arial" w:hAnsi="Arial" w:cs="Arial"/>
          <w:sz w:val="22"/>
          <w:szCs w:val="22"/>
          <w:lang w:val="en-GB"/>
        </w:rPr>
        <w:t>Saravia</w:t>
      </w:r>
      <w:proofErr w:type="spellEnd"/>
      <w:r w:rsidRPr="00262C9B">
        <w:rPr>
          <w:rFonts w:ascii="Arial" w:hAnsi="Arial" w:cs="Arial"/>
          <w:sz w:val="22"/>
          <w:szCs w:val="22"/>
          <w:lang w:val="en-GB"/>
        </w:rPr>
        <w:t xml:space="preserve"> NG</w:t>
      </w:r>
      <w:r>
        <w:rPr>
          <w:rFonts w:ascii="Arial" w:hAnsi="Arial" w:cs="Arial"/>
          <w:sz w:val="22"/>
          <w:szCs w:val="22"/>
          <w:lang w:val="en-GB"/>
        </w:rPr>
        <w:t xml:space="preserve"> (1993)</w:t>
      </w:r>
      <w:r w:rsidRPr="00262C9B">
        <w:rPr>
          <w:rFonts w:ascii="Arial" w:hAnsi="Arial" w:cs="Arial"/>
          <w:sz w:val="22"/>
          <w:szCs w:val="22"/>
          <w:lang w:val="en-GB"/>
        </w:rPr>
        <w:t xml:space="preserve"> </w:t>
      </w:r>
      <w:hyperlink r:id="rId13" w:history="1">
        <w:r w:rsidRPr="00262C9B">
          <w:rPr>
            <w:rFonts w:ascii="Arial" w:hAnsi="Arial" w:cs="Arial"/>
            <w:sz w:val="22"/>
            <w:szCs w:val="22"/>
            <w:lang w:val="en-GB"/>
          </w:rPr>
          <w:t>Epidemiology of cutaneous leishmaniasis in Colombia: a longitudinal study of the natural history, prevalence, and incidence of infection and clinical manifestations.</w:t>
        </w:r>
      </w:hyperlink>
      <w:r w:rsidRPr="00262C9B">
        <w:rPr>
          <w:rFonts w:ascii="Arial" w:hAnsi="Arial" w:cs="Arial"/>
          <w:sz w:val="22"/>
          <w:szCs w:val="22"/>
          <w:lang w:val="en-GB"/>
        </w:rPr>
        <w:t xml:space="preserve"> </w:t>
      </w:r>
      <w:r w:rsidRPr="00262C9B">
        <w:rPr>
          <w:rStyle w:val="jrnl"/>
          <w:rFonts w:ascii="Arial" w:hAnsi="Arial" w:cs="Arial"/>
          <w:color w:val="000000"/>
          <w:sz w:val="22"/>
          <w:szCs w:val="22"/>
          <w:lang w:val="en-GB"/>
        </w:rPr>
        <w:t xml:space="preserve">J Infect </w:t>
      </w:r>
      <w:proofErr w:type="spellStart"/>
      <w:r w:rsidRPr="00262C9B">
        <w:rPr>
          <w:rStyle w:val="jrnl"/>
          <w:rFonts w:ascii="Arial" w:hAnsi="Arial" w:cs="Arial"/>
          <w:color w:val="000000"/>
          <w:sz w:val="22"/>
          <w:szCs w:val="22"/>
          <w:lang w:val="en-GB"/>
        </w:rPr>
        <w:t>Dis</w:t>
      </w:r>
      <w:proofErr w:type="spellEnd"/>
      <w:r>
        <w:rPr>
          <w:rStyle w:val="src1"/>
          <w:rFonts w:ascii="Arial" w:hAnsi="Arial" w:cs="Arial"/>
          <w:color w:val="000000"/>
          <w:sz w:val="22"/>
          <w:szCs w:val="22"/>
          <w:lang w:val="en-GB"/>
        </w:rPr>
        <w:t xml:space="preserve"> </w:t>
      </w:r>
      <w:r w:rsidRPr="00262C9B">
        <w:rPr>
          <w:rStyle w:val="src1"/>
          <w:rFonts w:ascii="Arial" w:hAnsi="Arial" w:cs="Arial"/>
          <w:color w:val="000000"/>
          <w:sz w:val="22"/>
          <w:szCs w:val="22"/>
          <w:lang w:val="en-GB"/>
        </w:rPr>
        <w:t>168(3):699-708</w:t>
      </w:r>
      <w:r>
        <w:rPr>
          <w:rStyle w:val="src1"/>
          <w:rFonts w:ascii="Arial" w:hAnsi="Arial" w:cs="Arial"/>
          <w:color w:val="000000"/>
          <w:sz w:val="22"/>
          <w:szCs w:val="22"/>
          <w:lang w:val="en-GB"/>
        </w:rPr>
        <w:t>.</w:t>
      </w:r>
    </w:p>
    <w:p w:rsidR="00AB5BA6" w:rsidRPr="002C75B8" w:rsidRDefault="00AB5BA6" w:rsidP="00AB5BA6">
      <w:pPr>
        <w:pStyle w:val="title1"/>
        <w:shd w:val="clear" w:color="auto" w:fill="FFFFFF"/>
        <w:jc w:val="both"/>
        <w:rPr>
          <w:rFonts w:ascii="Arial" w:hAnsi="Arial" w:cs="Arial"/>
          <w:color w:val="000000"/>
          <w:sz w:val="22"/>
          <w:szCs w:val="22"/>
        </w:rPr>
      </w:pPr>
    </w:p>
    <w:p w:rsidR="00AB5BA6" w:rsidRPr="00B21A09" w:rsidRDefault="00AB5BA6" w:rsidP="00AB5BA6">
      <w:pPr>
        <w:pStyle w:val="rprtbody1"/>
        <w:shd w:val="clear" w:color="auto" w:fill="FFFFFF"/>
        <w:spacing w:before="0" w:after="0"/>
        <w:jc w:val="both"/>
        <w:rPr>
          <w:rFonts w:ascii="Arial" w:hAnsi="Arial" w:cs="Arial"/>
          <w:bCs/>
          <w:sz w:val="22"/>
          <w:szCs w:val="22"/>
        </w:rPr>
      </w:pPr>
      <w:r w:rsidRPr="00B21A09">
        <w:rPr>
          <w:rFonts w:ascii="Arial" w:hAnsi="Arial" w:cs="Arial"/>
          <w:sz w:val="22"/>
          <w:szCs w:val="22"/>
          <w:lang w:val="en-GB"/>
        </w:rPr>
        <w:t xml:space="preserve">3. Alexander B, </w:t>
      </w:r>
      <w:proofErr w:type="spellStart"/>
      <w:r w:rsidRPr="00B21A09">
        <w:rPr>
          <w:rFonts w:ascii="Arial" w:hAnsi="Arial" w:cs="Arial"/>
          <w:sz w:val="22"/>
          <w:szCs w:val="22"/>
          <w:lang w:val="en-GB"/>
        </w:rPr>
        <w:t>Agudelo</w:t>
      </w:r>
      <w:proofErr w:type="spellEnd"/>
      <w:r w:rsidRPr="00B21A09">
        <w:rPr>
          <w:rFonts w:ascii="Arial" w:hAnsi="Arial" w:cs="Arial"/>
          <w:sz w:val="22"/>
          <w:szCs w:val="22"/>
          <w:lang w:val="en-GB"/>
        </w:rPr>
        <w:t xml:space="preserve"> </w:t>
      </w:r>
      <w:smartTag w:uri="urn:schemas-microsoft-com:office:smarttags" w:element="PersonName">
        <w:smartTagPr>
          <w:attr w:name="ProductID" w:val="LA, Navarro JF"/>
        </w:smartTagPr>
        <w:r w:rsidRPr="00B21A09">
          <w:rPr>
            <w:rFonts w:ascii="Arial" w:hAnsi="Arial" w:cs="Arial"/>
            <w:sz w:val="22"/>
            <w:szCs w:val="22"/>
            <w:lang w:val="en-GB"/>
          </w:rPr>
          <w:t>LA, Navarro JF</w:t>
        </w:r>
      </w:smartTag>
      <w:r w:rsidRPr="00B21A09">
        <w:rPr>
          <w:rFonts w:ascii="Arial" w:hAnsi="Arial" w:cs="Arial"/>
          <w:sz w:val="22"/>
          <w:szCs w:val="22"/>
          <w:lang w:val="en-GB"/>
        </w:rPr>
        <w:t xml:space="preserve">, Ruiz JF, Molina J </w:t>
      </w:r>
      <w:r>
        <w:rPr>
          <w:rFonts w:ascii="Arial" w:hAnsi="Arial" w:cs="Arial"/>
          <w:sz w:val="22"/>
          <w:szCs w:val="22"/>
          <w:lang w:val="en-GB"/>
        </w:rPr>
        <w:t>et al (2009)</w:t>
      </w:r>
      <w:r w:rsidRPr="00B21A09">
        <w:rPr>
          <w:rFonts w:ascii="Arial" w:hAnsi="Arial" w:cs="Arial"/>
          <w:sz w:val="22"/>
          <w:szCs w:val="22"/>
          <w:lang w:val="en-GB"/>
        </w:rPr>
        <w:t>.</w:t>
      </w:r>
      <w:r>
        <w:rPr>
          <w:rFonts w:ascii="Arial" w:hAnsi="Arial" w:cs="Arial"/>
          <w:sz w:val="22"/>
          <w:szCs w:val="22"/>
          <w:lang w:val="en-GB"/>
        </w:rPr>
        <w:t xml:space="preserve"> </w:t>
      </w:r>
      <w:hyperlink r:id="rId14" w:history="1">
        <w:r w:rsidRPr="00B21A09">
          <w:rPr>
            <w:rFonts w:ascii="Arial" w:hAnsi="Arial" w:cs="Arial"/>
            <w:sz w:val="22"/>
            <w:szCs w:val="22"/>
            <w:lang w:val="en-GB"/>
          </w:rPr>
          <w:t>Relationship between coffee cultivation practices in Colombia and exposure to infection with Leishmania.</w:t>
        </w:r>
      </w:hyperlink>
      <w:proofErr w:type="spellStart"/>
      <w:r w:rsidRPr="00B21A09">
        <w:rPr>
          <w:rStyle w:val="jrnl"/>
          <w:rFonts w:ascii="Arial" w:hAnsi="Arial" w:cs="Arial"/>
          <w:color w:val="000000"/>
          <w:sz w:val="22"/>
          <w:szCs w:val="22"/>
        </w:rPr>
        <w:t>Trans</w:t>
      </w:r>
      <w:proofErr w:type="spellEnd"/>
      <w:r w:rsidRPr="00B21A09">
        <w:rPr>
          <w:rStyle w:val="jrnl"/>
          <w:rFonts w:ascii="Arial" w:hAnsi="Arial" w:cs="Arial"/>
          <w:color w:val="000000"/>
          <w:sz w:val="22"/>
          <w:szCs w:val="22"/>
        </w:rPr>
        <w:t xml:space="preserve"> R </w:t>
      </w:r>
      <w:proofErr w:type="spellStart"/>
      <w:r w:rsidRPr="00B21A09">
        <w:rPr>
          <w:rStyle w:val="jrnl"/>
          <w:rFonts w:ascii="Arial" w:hAnsi="Arial" w:cs="Arial"/>
          <w:color w:val="000000"/>
          <w:sz w:val="22"/>
          <w:szCs w:val="22"/>
        </w:rPr>
        <w:t>Soc</w:t>
      </w:r>
      <w:proofErr w:type="spellEnd"/>
      <w:r w:rsidRPr="00B21A09">
        <w:rPr>
          <w:rStyle w:val="jrnl"/>
          <w:rFonts w:ascii="Arial" w:hAnsi="Arial" w:cs="Arial"/>
          <w:color w:val="000000"/>
          <w:sz w:val="22"/>
          <w:szCs w:val="22"/>
        </w:rPr>
        <w:t xml:space="preserve"> </w:t>
      </w:r>
      <w:proofErr w:type="spellStart"/>
      <w:r w:rsidRPr="00B21A09">
        <w:rPr>
          <w:rStyle w:val="jrnl"/>
          <w:rFonts w:ascii="Arial" w:hAnsi="Arial" w:cs="Arial"/>
          <w:color w:val="000000"/>
          <w:sz w:val="22"/>
          <w:szCs w:val="22"/>
        </w:rPr>
        <w:t>Trop</w:t>
      </w:r>
      <w:proofErr w:type="spellEnd"/>
      <w:r w:rsidRPr="00B21A09">
        <w:rPr>
          <w:rStyle w:val="jrnl"/>
          <w:rFonts w:ascii="Arial" w:hAnsi="Arial" w:cs="Arial"/>
          <w:color w:val="000000"/>
          <w:sz w:val="22"/>
          <w:szCs w:val="22"/>
        </w:rPr>
        <w:t xml:space="preserve"> </w:t>
      </w:r>
      <w:proofErr w:type="spellStart"/>
      <w:r w:rsidRPr="00B21A09">
        <w:rPr>
          <w:rStyle w:val="jrnl"/>
          <w:rFonts w:ascii="Arial" w:hAnsi="Arial" w:cs="Arial"/>
          <w:color w:val="000000"/>
          <w:sz w:val="22"/>
          <w:szCs w:val="22"/>
        </w:rPr>
        <w:t>Med</w:t>
      </w:r>
      <w:proofErr w:type="spellEnd"/>
      <w:r w:rsidRPr="00B21A09">
        <w:rPr>
          <w:rStyle w:val="jrnl"/>
          <w:rFonts w:ascii="Arial" w:hAnsi="Arial" w:cs="Arial"/>
          <w:color w:val="000000"/>
          <w:sz w:val="22"/>
          <w:szCs w:val="22"/>
        </w:rPr>
        <w:t xml:space="preserve"> </w:t>
      </w:r>
      <w:proofErr w:type="spellStart"/>
      <w:r w:rsidRPr="00B21A09">
        <w:rPr>
          <w:rStyle w:val="jrnl"/>
          <w:rFonts w:ascii="Arial" w:hAnsi="Arial" w:cs="Arial"/>
          <w:color w:val="000000"/>
          <w:sz w:val="22"/>
          <w:szCs w:val="22"/>
        </w:rPr>
        <w:t>Hyg</w:t>
      </w:r>
      <w:proofErr w:type="spellEnd"/>
      <w:r>
        <w:rPr>
          <w:rStyle w:val="src1"/>
          <w:rFonts w:ascii="Arial" w:hAnsi="Arial" w:cs="Arial"/>
          <w:color w:val="000000"/>
          <w:sz w:val="22"/>
          <w:szCs w:val="22"/>
        </w:rPr>
        <w:t xml:space="preserve"> </w:t>
      </w:r>
      <w:r w:rsidRPr="00B21A09">
        <w:rPr>
          <w:rStyle w:val="src1"/>
          <w:rFonts w:ascii="Arial" w:hAnsi="Arial" w:cs="Arial"/>
          <w:color w:val="000000"/>
          <w:sz w:val="22"/>
          <w:szCs w:val="22"/>
        </w:rPr>
        <w:t>103(12):1263-8</w:t>
      </w:r>
      <w:r>
        <w:rPr>
          <w:rStyle w:val="src1"/>
          <w:rFonts w:ascii="Arial" w:hAnsi="Arial" w:cs="Arial"/>
          <w:color w:val="000000"/>
          <w:sz w:val="22"/>
          <w:szCs w:val="22"/>
        </w:rPr>
        <w:t>.</w:t>
      </w:r>
    </w:p>
    <w:p w:rsidR="00AB5BA6" w:rsidRPr="00B21A09" w:rsidRDefault="00AB5BA6" w:rsidP="00AB5BA6">
      <w:pPr>
        <w:ind w:left="0" w:firstLine="0"/>
        <w:rPr>
          <w:bCs/>
          <w:color w:val="000000"/>
          <w:sz w:val="22"/>
          <w:lang w:val="es-ES"/>
        </w:rPr>
      </w:pPr>
    </w:p>
    <w:p w:rsidR="00AB5BA6" w:rsidRPr="002C75B8" w:rsidRDefault="00AB5BA6" w:rsidP="00AB5BA6">
      <w:pPr>
        <w:pStyle w:val="aux1"/>
        <w:shd w:val="clear" w:color="auto" w:fill="FFFFFF"/>
        <w:spacing w:line="240" w:lineRule="auto"/>
        <w:jc w:val="both"/>
        <w:rPr>
          <w:rStyle w:val="src1"/>
          <w:rFonts w:ascii="Arial" w:hAnsi="Arial" w:cs="Arial"/>
          <w:color w:val="000000"/>
          <w:sz w:val="22"/>
          <w:szCs w:val="22"/>
        </w:rPr>
      </w:pPr>
      <w:r w:rsidRPr="00B21A09">
        <w:rPr>
          <w:rFonts w:ascii="Arial" w:hAnsi="Arial" w:cs="Arial"/>
          <w:color w:val="000000"/>
          <w:sz w:val="22"/>
          <w:szCs w:val="22"/>
          <w:lang w:val="es-ES"/>
        </w:rPr>
        <w:t>4. Valderrama-</w:t>
      </w:r>
      <w:proofErr w:type="spellStart"/>
      <w:r w:rsidRPr="00B21A09">
        <w:rPr>
          <w:rFonts w:ascii="Arial" w:hAnsi="Arial" w:cs="Arial"/>
          <w:color w:val="000000"/>
          <w:sz w:val="22"/>
          <w:szCs w:val="22"/>
          <w:lang w:val="es-ES"/>
        </w:rPr>
        <w:t>Ardila</w:t>
      </w:r>
      <w:proofErr w:type="spellEnd"/>
      <w:r w:rsidRPr="00B21A09">
        <w:rPr>
          <w:rFonts w:ascii="Arial" w:hAnsi="Arial" w:cs="Arial"/>
          <w:color w:val="000000"/>
          <w:sz w:val="22"/>
          <w:szCs w:val="22"/>
          <w:lang w:val="es-ES"/>
        </w:rPr>
        <w:t xml:space="preserve"> C, Alexander N, Ferro C, Cadena H, Marín D </w:t>
      </w:r>
      <w:r>
        <w:rPr>
          <w:rFonts w:ascii="Arial" w:hAnsi="Arial" w:cs="Arial"/>
          <w:color w:val="000000"/>
          <w:sz w:val="22"/>
          <w:szCs w:val="22"/>
          <w:lang w:val="es-ES"/>
        </w:rPr>
        <w:t>et al (2010)</w:t>
      </w:r>
      <w:r w:rsidRPr="00B21A09">
        <w:rPr>
          <w:rFonts w:ascii="Arial" w:hAnsi="Arial" w:cs="Arial"/>
          <w:color w:val="000000"/>
          <w:sz w:val="22"/>
          <w:szCs w:val="22"/>
          <w:lang w:val="es-ES"/>
        </w:rPr>
        <w:t xml:space="preserve">. </w:t>
      </w:r>
      <w:hyperlink r:id="rId15" w:history="1">
        <w:proofErr w:type="gramStart"/>
        <w:r w:rsidRPr="00B37375">
          <w:rPr>
            <w:rFonts w:ascii="Arial" w:hAnsi="Arial" w:cs="Arial"/>
            <w:color w:val="000000"/>
            <w:sz w:val="22"/>
            <w:szCs w:val="22"/>
          </w:rPr>
          <w:t xml:space="preserve">Environmental risk factors for the incidence of American cutaneous leishmaniasis in a sub-Andean zone of Colombia (Chaparral, </w:t>
        </w:r>
        <w:r w:rsidRPr="002C75B8">
          <w:rPr>
            <w:rFonts w:ascii="Arial" w:hAnsi="Arial" w:cs="Arial"/>
            <w:color w:val="000000"/>
            <w:sz w:val="22"/>
            <w:szCs w:val="22"/>
          </w:rPr>
          <w:t>Tolima).</w:t>
        </w:r>
        <w:proofErr w:type="gramEnd"/>
      </w:hyperlink>
      <w:r w:rsidRPr="002C75B8">
        <w:rPr>
          <w:rStyle w:val="jrnl"/>
          <w:rFonts w:ascii="Arial" w:hAnsi="Arial" w:cs="Arial"/>
          <w:color w:val="000000"/>
          <w:sz w:val="22"/>
          <w:szCs w:val="22"/>
        </w:rPr>
        <w:t xml:space="preserve"> Am J </w:t>
      </w:r>
      <w:proofErr w:type="spellStart"/>
      <w:r w:rsidRPr="002C75B8">
        <w:rPr>
          <w:rStyle w:val="jrnl"/>
          <w:rFonts w:ascii="Arial" w:hAnsi="Arial" w:cs="Arial"/>
          <w:color w:val="000000"/>
          <w:sz w:val="22"/>
          <w:szCs w:val="22"/>
        </w:rPr>
        <w:t>Trop</w:t>
      </w:r>
      <w:proofErr w:type="spellEnd"/>
      <w:r w:rsidRPr="002C75B8">
        <w:rPr>
          <w:rStyle w:val="jrnl"/>
          <w:rFonts w:ascii="Arial" w:hAnsi="Arial" w:cs="Arial"/>
          <w:color w:val="000000"/>
          <w:sz w:val="22"/>
          <w:szCs w:val="22"/>
        </w:rPr>
        <w:t xml:space="preserve"> Med </w:t>
      </w:r>
      <w:proofErr w:type="spellStart"/>
      <w:r w:rsidRPr="002C75B8">
        <w:rPr>
          <w:rStyle w:val="jrnl"/>
          <w:rFonts w:ascii="Arial" w:hAnsi="Arial" w:cs="Arial"/>
          <w:color w:val="000000"/>
          <w:sz w:val="22"/>
          <w:szCs w:val="22"/>
        </w:rPr>
        <w:t>Hyg</w:t>
      </w:r>
      <w:proofErr w:type="spellEnd"/>
      <w:r>
        <w:rPr>
          <w:rStyle w:val="src1"/>
          <w:rFonts w:ascii="Arial" w:hAnsi="Arial" w:cs="Arial"/>
          <w:color w:val="000000"/>
          <w:sz w:val="22"/>
          <w:szCs w:val="22"/>
        </w:rPr>
        <w:t xml:space="preserve"> </w:t>
      </w:r>
      <w:r w:rsidRPr="002C75B8">
        <w:rPr>
          <w:rStyle w:val="src1"/>
          <w:rFonts w:ascii="Arial" w:hAnsi="Arial" w:cs="Arial"/>
          <w:color w:val="000000"/>
          <w:sz w:val="22"/>
          <w:szCs w:val="22"/>
        </w:rPr>
        <w:t>82(2):243-</w:t>
      </w:r>
      <w:proofErr w:type="gramStart"/>
      <w:r w:rsidRPr="002C75B8">
        <w:rPr>
          <w:rStyle w:val="src1"/>
          <w:rFonts w:ascii="Arial" w:hAnsi="Arial" w:cs="Arial"/>
          <w:color w:val="000000"/>
          <w:sz w:val="22"/>
          <w:szCs w:val="22"/>
        </w:rPr>
        <w:t>50</w:t>
      </w:r>
      <w:r>
        <w:rPr>
          <w:rStyle w:val="src1"/>
          <w:rFonts w:ascii="Arial" w:hAnsi="Arial" w:cs="Arial"/>
          <w:color w:val="000000"/>
          <w:sz w:val="22"/>
          <w:szCs w:val="22"/>
        </w:rPr>
        <w:t>.</w:t>
      </w:r>
      <w:proofErr w:type="gramEnd"/>
    </w:p>
    <w:p w:rsidR="00AB5BA6" w:rsidRPr="002C75B8" w:rsidRDefault="00AB5BA6" w:rsidP="00AB5BA6">
      <w:pPr>
        <w:pStyle w:val="aux1"/>
        <w:shd w:val="clear" w:color="auto" w:fill="FFFFFF"/>
        <w:spacing w:line="240" w:lineRule="auto"/>
        <w:jc w:val="both"/>
        <w:rPr>
          <w:rFonts w:ascii="Arial" w:hAnsi="Arial" w:cs="Arial"/>
          <w:color w:val="000000"/>
          <w:sz w:val="22"/>
          <w:szCs w:val="22"/>
        </w:rPr>
      </w:pPr>
    </w:p>
    <w:p w:rsidR="00AB5BA6" w:rsidRPr="002C75B8" w:rsidRDefault="00AB5BA6" w:rsidP="00AB5BA6">
      <w:pPr>
        <w:pStyle w:val="rprtbody1"/>
        <w:shd w:val="clear" w:color="auto" w:fill="FFFFFF"/>
        <w:spacing w:before="0" w:after="0"/>
        <w:jc w:val="both"/>
        <w:rPr>
          <w:rFonts w:ascii="Arial" w:hAnsi="Arial" w:cs="Arial"/>
          <w:color w:val="000000"/>
          <w:sz w:val="22"/>
          <w:szCs w:val="22"/>
          <w:lang w:val="en-GB"/>
        </w:rPr>
      </w:pPr>
      <w:r>
        <w:rPr>
          <w:rFonts w:ascii="Arial" w:hAnsi="Arial" w:cs="Arial"/>
          <w:color w:val="000000"/>
          <w:sz w:val="22"/>
          <w:szCs w:val="22"/>
          <w:lang w:val="en-GB"/>
        </w:rPr>
        <w:t xml:space="preserve">5. </w:t>
      </w:r>
      <w:r w:rsidRPr="002C75B8">
        <w:rPr>
          <w:rFonts w:ascii="Arial" w:hAnsi="Arial" w:cs="Arial"/>
          <w:color w:val="000000"/>
          <w:sz w:val="22"/>
          <w:szCs w:val="22"/>
          <w:lang w:val="en-GB"/>
        </w:rPr>
        <w:t xml:space="preserve">Cortés LA, </w:t>
      </w:r>
      <w:proofErr w:type="spellStart"/>
      <w:r w:rsidRPr="002C75B8">
        <w:rPr>
          <w:rFonts w:ascii="Arial" w:hAnsi="Arial" w:cs="Arial"/>
          <w:color w:val="000000"/>
          <w:sz w:val="22"/>
          <w:szCs w:val="22"/>
          <w:lang w:val="en-GB"/>
        </w:rPr>
        <w:t>Fernández</w:t>
      </w:r>
      <w:proofErr w:type="spellEnd"/>
      <w:r w:rsidRPr="002C75B8">
        <w:rPr>
          <w:rFonts w:ascii="Arial" w:hAnsi="Arial" w:cs="Arial"/>
          <w:color w:val="000000"/>
          <w:sz w:val="22"/>
          <w:szCs w:val="22"/>
          <w:lang w:val="en-GB"/>
        </w:rPr>
        <w:t xml:space="preserve"> JJ</w:t>
      </w:r>
      <w:r>
        <w:rPr>
          <w:rFonts w:ascii="Arial" w:hAnsi="Arial" w:cs="Arial"/>
          <w:color w:val="000000"/>
          <w:sz w:val="22"/>
          <w:szCs w:val="22"/>
          <w:lang w:val="en-GB"/>
        </w:rPr>
        <w:t xml:space="preserve"> (2008)</w:t>
      </w:r>
      <w:r w:rsidRPr="002C75B8">
        <w:rPr>
          <w:rFonts w:ascii="Arial" w:hAnsi="Arial" w:cs="Arial"/>
          <w:color w:val="000000"/>
          <w:sz w:val="22"/>
          <w:szCs w:val="22"/>
          <w:lang w:val="en-GB"/>
        </w:rPr>
        <w:t xml:space="preserve"> </w:t>
      </w:r>
      <w:hyperlink r:id="rId16" w:history="1">
        <w:r w:rsidRPr="002C75B8">
          <w:rPr>
            <w:rFonts w:ascii="Arial" w:hAnsi="Arial" w:cs="Arial"/>
            <w:color w:val="000000"/>
            <w:sz w:val="22"/>
            <w:szCs w:val="22"/>
            <w:lang w:val="en-GB"/>
          </w:rPr>
          <w:t xml:space="preserve">Species of </w:t>
        </w:r>
        <w:proofErr w:type="spellStart"/>
        <w:r w:rsidRPr="002C75B8">
          <w:rPr>
            <w:rFonts w:ascii="Arial" w:hAnsi="Arial" w:cs="Arial"/>
            <w:color w:val="000000"/>
            <w:sz w:val="22"/>
            <w:szCs w:val="22"/>
            <w:lang w:val="en-GB"/>
          </w:rPr>
          <w:t>Lutzomyia</w:t>
        </w:r>
        <w:proofErr w:type="spellEnd"/>
        <w:r w:rsidRPr="002C75B8">
          <w:rPr>
            <w:rFonts w:ascii="Arial" w:hAnsi="Arial" w:cs="Arial"/>
            <w:color w:val="000000"/>
            <w:sz w:val="22"/>
            <w:szCs w:val="22"/>
            <w:lang w:val="en-GB"/>
          </w:rPr>
          <w:t xml:space="preserve"> involved in an urban focus of visceral and cutaneous leishmaniasis</w:t>
        </w:r>
      </w:hyperlink>
      <w:r w:rsidRPr="002C75B8">
        <w:rPr>
          <w:rFonts w:ascii="Arial" w:hAnsi="Arial" w:cs="Arial"/>
          <w:color w:val="000000"/>
          <w:sz w:val="22"/>
          <w:szCs w:val="22"/>
          <w:lang w:val="en-GB"/>
        </w:rPr>
        <w:t xml:space="preserve">. </w:t>
      </w:r>
      <w:proofErr w:type="spellStart"/>
      <w:r w:rsidRPr="002C75B8">
        <w:rPr>
          <w:rStyle w:val="jrnl"/>
          <w:rFonts w:ascii="Arial" w:hAnsi="Arial" w:cs="Arial"/>
          <w:color w:val="000000"/>
          <w:sz w:val="22"/>
          <w:szCs w:val="22"/>
          <w:lang w:val="en-GB"/>
        </w:rPr>
        <w:t>Biomedica</w:t>
      </w:r>
      <w:proofErr w:type="spellEnd"/>
      <w:r>
        <w:rPr>
          <w:rStyle w:val="src1"/>
          <w:rFonts w:ascii="Arial" w:hAnsi="Arial" w:cs="Arial"/>
          <w:color w:val="000000"/>
          <w:sz w:val="22"/>
          <w:szCs w:val="22"/>
          <w:lang w:val="en-GB"/>
        </w:rPr>
        <w:t xml:space="preserve"> </w:t>
      </w:r>
      <w:r w:rsidRPr="002C75B8">
        <w:rPr>
          <w:rStyle w:val="src1"/>
          <w:rFonts w:ascii="Arial" w:hAnsi="Arial" w:cs="Arial"/>
          <w:color w:val="000000"/>
          <w:sz w:val="22"/>
          <w:szCs w:val="22"/>
          <w:lang w:val="en-GB"/>
        </w:rPr>
        <w:t>28(3):433-40</w:t>
      </w:r>
      <w:r>
        <w:rPr>
          <w:rStyle w:val="src1"/>
          <w:rFonts w:ascii="Arial" w:hAnsi="Arial" w:cs="Arial"/>
          <w:color w:val="000000"/>
          <w:sz w:val="22"/>
          <w:szCs w:val="22"/>
          <w:lang w:val="en-GB"/>
        </w:rPr>
        <w:t>.</w:t>
      </w:r>
    </w:p>
    <w:p w:rsidR="00AB5BA6" w:rsidRPr="002C75B8" w:rsidRDefault="00AB5BA6" w:rsidP="00AB5BA6">
      <w:pPr>
        <w:pStyle w:val="title1"/>
        <w:shd w:val="clear" w:color="auto" w:fill="FFFFFF"/>
        <w:jc w:val="both"/>
        <w:rPr>
          <w:rFonts w:ascii="Arial" w:hAnsi="Arial" w:cs="Arial"/>
          <w:sz w:val="22"/>
          <w:szCs w:val="22"/>
        </w:rPr>
      </w:pPr>
    </w:p>
    <w:p w:rsidR="00AB5BA6" w:rsidRPr="002C75B8" w:rsidRDefault="00AB5BA6" w:rsidP="00AB5BA6">
      <w:pPr>
        <w:pStyle w:val="title1"/>
        <w:shd w:val="clear" w:color="auto" w:fill="FFFFFF"/>
        <w:jc w:val="both"/>
        <w:rPr>
          <w:rFonts w:ascii="Arial" w:hAnsi="Arial" w:cs="Arial"/>
          <w:sz w:val="22"/>
          <w:szCs w:val="22"/>
        </w:rPr>
      </w:pPr>
      <w:r>
        <w:rPr>
          <w:rFonts w:ascii="Arial" w:hAnsi="Arial" w:cs="Arial"/>
          <w:sz w:val="22"/>
          <w:szCs w:val="22"/>
        </w:rPr>
        <w:t xml:space="preserve">6. </w:t>
      </w:r>
      <w:r w:rsidRPr="002C75B8">
        <w:rPr>
          <w:rFonts w:ascii="Arial" w:hAnsi="Arial" w:cs="Arial"/>
          <w:sz w:val="22"/>
          <w:szCs w:val="22"/>
        </w:rPr>
        <w:t xml:space="preserve">Velez ID, </w:t>
      </w:r>
      <w:proofErr w:type="spellStart"/>
      <w:r w:rsidRPr="002C75B8">
        <w:rPr>
          <w:rFonts w:ascii="Arial" w:hAnsi="Arial" w:cs="Arial"/>
          <w:sz w:val="22"/>
          <w:szCs w:val="22"/>
        </w:rPr>
        <w:t>Travi</w:t>
      </w:r>
      <w:proofErr w:type="spellEnd"/>
      <w:r w:rsidRPr="002C75B8">
        <w:rPr>
          <w:rFonts w:ascii="Arial" w:hAnsi="Arial" w:cs="Arial"/>
          <w:sz w:val="22"/>
          <w:szCs w:val="22"/>
        </w:rPr>
        <w:t xml:space="preserve"> BL, </w:t>
      </w:r>
      <w:proofErr w:type="spellStart"/>
      <w:r w:rsidRPr="002C75B8">
        <w:rPr>
          <w:rFonts w:ascii="Arial" w:hAnsi="Arial" w:cs="Arial"/>
          <w:sz w:val="22"/>
          <w:szCs w:val="22"/>
        </w:rPr>
        <w:t>Gallego</w:t>
      </w:r>
      <w:proofErr w:type="spellEnd"/>
      <w:r w:rsidRPr="002C75B8">
        <w:rPr>
          <w:rFonts w:ascii="Arial" w:hAnsi="Arial" w:cs="Arial"/>
          <w:sz w:val="22"/>
          <w:szCs w:val="22"/>
        </w:rPr>
        <w:t xml:space="preserve"> J, Palma GI, </w:t>
      </w:r>
      <w:proofErr w:type="spellStart"/>
      <w:r w:rsidRPr="002C75B8">
        <w:rPr>
          <w:rFonts w:ascii="Arial" w:hAnsi="Arial" w:cs="Arial"/>
          <w:sz w:val="22"/>
          <w:szCs w:val="22"/>
        </w:rPr>
        <w:t>Agudelo</w:t>
      </w:r>
      <w:proofErr w:type="spellEnd"/>
      <w:r w:rsidRPr="002C75B8">
        <w:rPr>
          <w:rFonts w:ascii="Arial" w:hAnsi="Arial" w:cs="Arial"/>
          <w:sz w:val="22"/>
          <w:szCs w:val="22"/>
        </w:rPr>
        <w:t xml:space="preserve"> S</w:t>
      </w:r>
      <w:r>
        <w:rPr>
          <w:rFonts w:ascii="Arial" w:hAnsi="Arial" w:cs="Arial"/>
          <w:sz w:val="22"/>
          <w:szCs w:val="22"/>
        </w:rPr>
        <w:t xml:space="preserve"> et al (1995)</w:t>
      </w:r>
      <w:r w:rsidRPr="002C75B8">
        <w:rPr>
          <w:rFonts w:ascii="Arial" w:hAnsi="Arial" w:cs="Arial"/>
          <w:sz w:val="22"/>
          <w:szCs w:val="22"/>
        </w:rPr>
        <w:t xml:space="preserve">. </w:t>
      </w:r>
      <w:proofErr w:type="spellStart"/>
      <w:r w:rsidRPr="002C75B8">
        <w:rPr>
          <w:rFonts w:ascii="Arial" w:hAnsi="Arial" w:cs="Arial"/>
          <w:sz w:val="22"/>
          <w:szCs w:val="22"/>
        </w:rPr>
        <w:t>Ecoepidemiological</w:t>
      </w:r>
      <w:proofErr w:type="spellEnd"/>
      <w:r w:rsidRPr="002C75B8">
        <w:rPr>
          <w:rFonts w:ascii="Arial" w:hAnsi="Arial" w:cs="Arial"/>
          <w:sz w:val="22"/>
          <w:szCs w:val="22"/>
        </w:rPr>
        <w:t xml:space="preserve"> evaluation of visceral </w:t>
      </w:r>
      <w:proofErr w:type="spellStart"/>
      <w:r w:rsidRPr="002C75B8">
        <w:rPr>
          <w:rFonts w:ascii="Arial" w:hAnsi="Arial" w:cs="Arial"/>
          <w:sz w:val="22"/>
          <w:szCs w:val="22"/>
        </w:rPr>
        <w:t>leishmanias</w:t>
      </w:r>
      <w:proofErr w:type="spellEnd"/>
      <w:r w:rsidRPr="002C75B8">
        <w:rPr>
          <w:rFonts w:ascii="Arial" w:hAnsi="Arial" w:cs="Arial"/>
          <w:sz w:val="22"/>
          <w:szCs w:val="22"/>
        </w:rPr>
        <w:t xml:space="preserve"> in the native </w:t>
      </w:r>
      <w:proofErr w:type="spellStart"/>
      <w:r w:rsidRPr="002C75B8">
        <w:rPr>
          <w:rFonts w:ascii="Arial" w:hAnsi="Arial" w:cs="Arial"/>
          <w:sz w:val="22"/>
          <w:szCs w:val="22"/>
        </w:rPr>
        <w:t>Zenu</w:t>
      </w:r>
      <w:proofErr w:type="spellEnd"/>
      <w:r w:rsidRPr="002C75B8">
        <w:rPr>
          <w:rFonts w:ascii="Arial" w:hAnsi="Arial" w:cs="Arial"/>
          <w:sz w:val="22"/>
          <w:szCs w:val="22"/>
        </w:rPr>
        <w:t xml:space="preserve"> community of San Andres de </w:t>
      </w:r>
      <w:proofErr w:type="spellStart"/>
      <w:r w:rsidRPr="002C75B8">
        <w:rPr>
          <w:rFonts w:ascii="Arial" w:hAnsi="Arial" w:cs="Arial"/>
          <w:sz w:val="22"/>
          <w:szCs w:val="22"/>
        </w:rPr>
        <w:t>Sotavento</w:t>
      </w:r>
      <w:proofErr w:type="spellEnd"/>
      <w:r w:rsidRPr="002C75B8">
        <w:rPr>
          <w:rFonts w:ascii="Arial" w:hAnsi="Arial" w:cs="Arial"/>
          <w:sz w:val="22"/>
          <w:szCs w:val="22"/>
        </w:rPr>
        <w:t xml:space="preserve"> </w:t>
      </w:r>
      <w:smartTag w:uri="urn:schemas-microsoft-com:office:smarttags" w:element="place">
        <w:smartTag w:uri="urn:schemas-microsoft-com:office:smarttags" w:element="City">
          <w:r w:rsidRPr="002C75B8">
            <w:rPr>
              <w:rFonts w:ascii="Arial" w:hAnsi="Arial" w:cs="Arial"/>
              <w:sz w:val="22"/>
              <w:szCs w:val="22"/>
            </w:rPr>
            <w:t>Cordoba</w:t>
          </w:r>
        </w:smartTag>
      </w:smartTag>
      <w:r w:rsidRPr="002C75B8">
        <w:rPr>
          <w:rFonts w:ascii="Arial" w:hAnsi="Arial" w:cs="Arial"/>
          <w:sz w:val="22"/>
          <w:szCs w:val="22"/>
        </w:rPr>
        <w:t xml:space="preserve">: first step for its control. Rev, Col. </w:t>
      </w:r>
      <w:proofErr w:type="spellStart"/>
      <w:r w:rsidRPr="002C75B8">
        <w:rPr>
          <w:rFonts w:ascii="Arial" w:hAnsi="Arial" w:cs="Arial"/>
          <w:sz w:val="22"/>
          <w:szCs w:val="22"/>
        </w:rPr>
        <w:t>Entomol</w:t>
      </w:r>
      <w:proofErr w:type="spellEnd"/>
      <w:r>
        <w:rPr>
          <w:rFonts w:ascii="Arial" w:hAnsi="Arial" w:cs="Arial"/>
          <w:sz w:val="22"/>
          <w:szCs w:val="22"/>
        </w:rPr>
        <w:t xml:space="preserve"> </w:t>
      </w:r>
      <w:r w:rsidRPr="002C75B8">
        <w:rPr>
          <w:rFonts w:ascii="Arial" w:hAnsi="Arial" w:cs="Arial"/>
          <w:sz w:val="22"/>
          <w:szCs w:val="22"/>
        </w:rPr>
        <w:t>21(3): 111-122</w:t>
      </w:r>
      <w:r>
        <w:rPr>
          <w:rFonts w:ascii="Arial" w:hAnsi="Arial" w:cs="Arial"/>
          <w:sz w:val="22"/>
          <w:szCs w:val="22"/>
        </w:rPr>
        <w:t>.</w:t>
      </w:r>
    </w:p>
    <w:p w:rsidR="002F7C1A" w:rsidRDefault="002F7C1A" w:rsidP="00AB5BA6"/>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77A2"/>
    <w:multiLevelType w:val="hybridMultilevel"/>
    <w:tmpl w:val="B972B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5BA6"/>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B5BA6"/>
    <w:rsid w:val="00AD2F5D"/>
    <w:rsid w:val="00B10B28"/>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A6"/>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rprtbody1">
    <w:name w:val="rprtbody1"/>
    <w:basedOn w:val="Normal"/>
    <w:rsid w:val="00AB5BA6"/>
    <w:pPr>
      <w:spacing w:before="34" w:after="34"/>
      <w:ind w:left="0" w:firstLine="0"/>
      <w:jc w:val="left"/>
    </w:pPr>
    <w:rPr>
      <w:rFonts w:ascii="Times New Roman" w:hAnsi="Times New Roman" w:cs="Times New Roman"/>
      <w:sz w:val="28"/>
      <w:szCs w:val="28"/>
      <w:lang w:val="es-ES" w:eastAsia="es-ES"/>
    </w:rPr>
  </w:style>
  <w:style w:type="character" w:customStyle="1" w:styleId="src1">
    <w:name w:val="src1"/>
    <w:basedOn w:val="DefaultParagraphFont"/>
    <w:rsid w:val="00AB5BA6"/>
    <w:rPr>
      <w:rFonts w:cs="Times New Roman"/>
    </w:rPr>
  </w:style>
  <w:style w:type="character" w:customStyle="1" w:styleId="jrnl">
    <w:name w:val="jrnl"/>
    <w:basedOn w:val="DefaultParagraphFont"/>
    <w:rsid w:val="00AB5BA6"/>
    <w:rPr>
      <w:rFonts w:cs="Times New Roman"/>
    </w:rPr>
  </w:style>
  <w:style w:type="paragraph" w:customStyle="1" w:styleId="title1">
    <w:name w:val="title1"/>
    <w:basedOn w:val="Normal"/>
    <w:rsid w:val="00AB5BA6"/>
    <w:pPr>
      <w:ind w:left="0" w:firstLine="0"/>
      <w:jc w:val="left"/>
    </w:pPr>
    <w:rPr>
      <w:rFonts w:ascii="Times New Roman" w:eastAsia="SimSun" w:hAnsi="Times New Roman" w:cs="Times New Roman"/>
      <w:sz w:val="29"/>
      <w:szCs w:val="29"/>
      <w:lang w:val="en-GB" w:eastAsia="zh-CN"/>
    </w:rPr>
  </w:style>
  <w:style w:type="paragraph" w:customStyle="1" w:styleId="aux1">
    <w:name w:val="aux1"/>
    <w:basedOn w:val="Normal"/>
    <w:rsid w:val="00AB5BA6"/>
    <w:pPr>
      <w:spacing w:line="320" w:lineRule="atLeast"/>
      <w:ind w:left="0" w:firstLine="0"/>
      <w:jc w:val="left"/>
    </w:pPr>
    <w:rPr>
      <w:rFonts w:ascii="Times New Roman" w:eastAsia="SimSun" w:hAnsi="Times New Roman" w:cs="Times New Roman"/>
      <w:szCs w:val="24"/>
      <w:lang w:val="en-GB" w:eastAsia="zh-CN"/>
    </w:rPr>
  </w:style>
  <w:style w:type="paragraph" w:styleId="BodyText">
    <w:name w:val="Body Text"/>
    <w:basedOn w:val="Normal"/>
    <w:link w:val="BodyTextChar"/>
    <w:rsid w:val="00AB5BA6"/>
    <w:pPr>
      <w:spacing w:after="120"/>
      <w:ind w:left="0" w:firstLine="0"/>
      <w:jc w:val="left"/>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AB5B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BA6"/>
    <w:rPr>
      <w:rFonts w:ascii="Tahoma" w:hAnsi="Tahoma" w:cs="Tahoma"/>
      <w:sz w:val="16"/>
      <w:szCs w:val="16"/>
    </w:rPr>
  </w:style>
  <w:style w:type="character" w:customStyle="1" w:styleId="BalloonTextChar">
    <w:name w:val="Balloon Text Char"/>
    <w:basedOn w:val="DefaultParagraphFont"/>
    <w:link w:val="BalloonText"/>
    <w:uiPriority w:val="99"/>
    <w:semiHidden/>
    <w:rsid w:val="00AB5BA6"/>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cbi.nlm.nih.gov/pubmed/83549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1903436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hyperlink" Target="http://www.ncbi.nlm.nih.gov/pubmed/20134000"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ncbi.nlm.nih.gov/pubmed/1955598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41"/>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14"/>
          <c:y val="5.5045871559633031E-2"/>
          <c:w val="0.86600000000000021"/>
          <c:h val="0.71100917431192667"/>
        </c:manualLayout>
      </c:layout>
      <c:bar3DChart>
        <c:barDir val="col"/>
        <c:grouping val="clustered"/>
        <c:ser>
          <c:idx val="0"/>
          <c:order val="0"/>
          <c:tx>
            <c:strRef>
              <c:f>Sheet1!$A$2</c:f>
              <c:strCache>
                <c:ptCount val="1"/>
                <c:pt idx="0">
                  <c:v>cases</c:v>
                </c:pt>
              </c:strCache>
            </c:strRef>
          </c:tx>
          <c:spPr>
            <a:solidFill>
              <a:srgbClr val="4F81BD"/>
            </a:solidFill>
            <a:ln w="12675">
              <a:solidFill>
                <a:srgbClr val="000000"/>
              </a:solidFill>
              <a:prstDash val="solid"/>
            </a:ln>
          </c:spPr>
          <c:cat>
            <c:numRef>
              <c:f>Sheet1!$B$1:$O$1</c:f>
              <c:numCache>
                <c:formatCode>General</c:formatCode>
                <c:ptCount val="8"/>
                <c:pt idx="0">
                  <c:v>2003</c:v>
                </c:pt>
                <c:pt idx="1">
                  <c:v>2004</c:v>
                </c:pt>
                <c:pt idx="2">
                  <c:v>2005</c:v>
                </c:pt>
                <c:pt idx="3">
                  <c:v>2006</c:v>
                </c:pt>
                <c:pt idx="4">
                  <c:v>2007</c:v>
                </c:pt>
                <c:pt idx="5">
                  <c:v>2008</c:v>
                </c:pt>
                <c:pt idx="6">
                  <c:v>2009</c:v>
                </c:pt>
                <c:pt idx="7">
                  <c:v>2010</c:v>
                </c:pt>
              </c:numCache>
            </c:numRef>
          </c:cat>
          <c:val>
            <c:numRef>
              <c:f>Sheet1!$B$2:$O$2</c:f>
              <c:numCache>
                <c:formatCode>General</c:formatCode>
                <c:ptCount val="8"/>
                <c:pt idx="0">
                  <c:v>121</c:v>
                </c:pt>
                <c:pt idx="1">
                  <c:v>100</c:v>
                </c:pt>
                <c:pt idx="2">
                  <c:v>66</c:v>
                </c:pt>
                <c:pt idx="3">
                  <c:v>43</c:v>
                </c:pt>
                <c:pt idx="4">
                  <c:v>54</c:v>
                </c:pt>
                <c:pt idx="5">
                  <c:v>35</c:v>
                </c:pt>
                <c:pt idx="6">
                  <c:v>59</c:v>
                </c:pt>
                <c:pt idx="7">
                  <c:v>31</c:v>
                </c:pt>
              </c:numCache>
            </c:numRef>
          </c:val>
        </c:ser>
        <c:gapDepth val="0"/>
        <c:shape val="box"/>
        <c:axId val="525026048"/>
        <c:axId val="525068544"/>
        <c:axId val="0"/>
      </c:bar3DChart>
      <c:catAx>
        <c:axId val="525026048"/>
        <c:scaling>
          <c:orientation val="minMax"/>
        </c:scaling>
        <c:axPos val="b"/>
        <c:numFmt formatCode="General" sourceLinked="1"/>
        <c:tickLblPos val="low"/>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525068544"/>
        <c:crosses val="autoZero"/>
        <c:auto val="1"/>
        <c:lblAlgn val="ctr"/>
        <c:lblOffset val="100"/>
        <c:tickLblSkip val="1"/>
        <c:tickMarkSkip val="1"/>
      </c:catAx>
      <c:valAx>
        <c:axId val="525068544"/>
        <c:scaling>
          <c:orientation val="minMax"/>
        </c:scaling>
        <c:axPos val="l"/>
        <c:numFmt formatCode="General" sourceLinked="1"/>
        <c:tickLblPos val="nextTo"/>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525026048"/>
        <c:crosses val="autoZero"/>
        <c:crossBetween val="between"/>
      </c:valAx>
      <c:dTable>
        <c:showHorzBorder val="1"/>
        <c:showVertBorder val="1"/>
        <c:showOutline val="1"/>
        <c:showKeys val="1"/>
        <c:spPr>
          <a:ln w="3169">
            <a:solidFill>
              <a:srgbClr val="000000"/>
            </a:solidFill>
            <a:prstDash val="solid"/>
          </a:ln>
        </c:spPr>
        <c:txPr>
          <a:bodyPr/>
          <a:lstStyle/>
          <a:p>
            <a:pPr rtl="0">
              <a:defRPr sz="798" b="0" i="0" u="none" strike="noStrike" baseline="0">
                <a:solidFill>
                  <a:srgbClr val="000000"/>
                </a:solidFill>
                <a:latin typeface="Arial"/>
                <a:ea typeface="Arial"/>
                <a:cs typeface="Arial"/>
              </a:defRPr>
            </a:pPr>
            <a:endParaRPr lang="en-US"/>
          </a:p>
        </c:txPr>
      </c:dTable>
      <c:spPr>
        <a:noFill/>
        <a:ln w="25350">
          <a:noFill/>
        </a:ln>
      </c:spPr>
    </c:plotArea>
    <c:plotVisOnly val="1"/>
    <c:dispBlanksAs val="gap"/>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4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8615916955017341E-2"/>
          <c:y val="5.0980392156862744E-2"/>
          <c:w val="0.88408304498269863"/>
          <c:h val="0.7490196078431377"/>
        </c:manualLayout>
      </c:layout>
      <c:bar3DChart>
        <c:barDir val="col"/>
        <c:grouping val="clustered"/>
        <c:ser>
          <c:idx val="0"/>
          <c:order val="0"/>
          <c:tx>
            <c:strRef>
              <c:f>Sheet1!$A$2</c:f>
              <c:strCache>
                <c:ptCount val="1"/>
                <c:pt idx="0">
                  <c:v>cases</c:v>
                </c:pt>
              </c:strCache>
            </c:strRef>
          </c:tx>
          <c:spPr>
            <a:solidFill>
              <a:srgbClr val="4F81BD"/>
            </a:solidFill>
            <a:ln w="12698">
              <a:solidFill>
                <a:srgbClr val="000000"/>
              </a:solidFill>
              <a:prstDash val="solid"/>
            </a:ln>
          </c:spPr>
          <c:cat>
            <c:numRef>
              <c:f>Sheet1!$B$1:$O$1</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Sheet1!$B$2:$O$2</c:f>
              <c:numCache>
                <c:formatCode>General</c:formatCode>
                <c:ptCount val="11"/>
                <c:pt idx="0">
                  <c:v>738</c:v>
                </c:pt>
                <c:pt idx="1">
                  <c:v>1919</c:v>
                </c:pt>
                <c:pt idx="2">
                  <c:v>1378</c:v>
                </c:pt>
                <c:pt idx="3">
                  <c:v>9229</c:v>
                </c:pt>
                <c:pt idx="4">
                  <c:v>11110</c:v>
                </c:pt>
                <c:pt idx="5">
                  <c:v>18155</c:v>
                </c:pt>
                <c:pt idx="6">
                  <c:v>17072</c:v>
                </c:pt>
                <c:pt idx="7">
                  <c:v>13258</c:v>
                </c:pt>
                <c:pt idx="8">
                  <c:v>9436</c:v>
                </c:pt>
                <c:pt idx="9">
                  <c:v>12688</c:v>
                </c:pt>
                <c:pt idx="10">
                  <c:v>14654</c:v>
                </c:pt>
              </c:numCache>
            </c:numRef>
          </c:val>
        </c:ser>
        <c:gapDepth val="0"/>
        <c:shape val="box"/>
        <c:axId val="552599936"/>
        <c:axId val="571697408"/>
        <c:axId val="0"/>
      </c:bar3DChart>
      <c:catAx>
        <c:axId val="552599936"/>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71697408"/>
        <c:crosses val="autoZero"/>
        <c:auto val="1"/>
        <c:lblAlgn val="ctr"/>
        <c:lblOffset val="100"/>
        <c:tickLblSkip val="1"/>
        <c:tickMarkSkip val="1"/>
      </c:catAx>
      <c:valAx>
        <c:axId val="571697408"/>
        <c:scaling>
          <c:orientation val="minMax"/>
        </c:scaling>
        <c:axPos val="l"/>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52599936"/>
        <c:crosses val="autoZero"/>
        <c:crossBetween val="between"/>
      </c:valAx>
      <c:dTable>
        <c:showHorzBorder val="1"/>
        <c:showVertBorder val="1"/>
        <c:showOutline val="1"/>
        <c:showKeys val="1"/>
        <c:spPr>
          <a:ln w="3174">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395">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51"/>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3902439024390245"/>
          <c:y val="4.1284403669724766E-2"/>
          <c:w val="0.83658536585365828"/>
          <c:h val="0.72477064220183518"/>
        </c:manualLayout>
      </c:layout>
      <c:bar3DChart>
        <c:barDir val="col"/>
        <c:grouping val="clustered"/>
        <c:ser>
          <c:idx val="0"/>
          <c:order val="0"/>
          <c:tx>
            <c:strRef>
              <c:f>Sheet1!$A$2</c:f>
              <c:strCache>
                <c:ptCount val="1"/>
                <c:pt idx="0">
                  <c:v>cases</c:v>
                </c:pt>
              </c:strCache>
            </c:strRef>
          </c:tx>
          <c:spPr>
            <a:solidFill>
              <a:srgbClr val="4F81BD"/>
            </a:solidFill>
            <a:ln w="12688">
              <a:solidFill>
                <a:srgbClr val="000000"/>
              </a:solidFill>
              <a:prstDash val="solid"/>
            </a:ln>
          </c:spPr>
          <c:cat>
            <c:numRef>
              <c:f>Sheet1!$B$1:$F$1</c:f>
              <c:numCache>
                <c:formatCode>General</c:formatCode>
                <c:ptCount val="5"/>
                <c:pt idx="0">
                  <c:v>2006</c:v>
                </c:pt>
                <c:pt idx="1">
                  <c:v>2007</c:v>
                </c:pt>
                <c:pt idx="2">
                  <c:v>2008</c:v>
                </c:pt>
                <c:pt idx="3">
                  <c:v>2009</c:v>
                </c:pt>
                <c:pt idx="4">
                  <c:v>2010</c:v>
                </c:pt>
              </c:numCache>
            </c:numRef>
          </c:cat>
          <c:val>
            <c:numRef>
              <c:f>Sheet1!$B$2:$F$2</c:f>
              <c:numCache>
                <c:formatCode>General</c:formatCode>
                <c:ptCount val="5"/>
                <c:pt idx="0">
                  <c:v>90</c:v>
                </c:pt>
                <c:pt idx="1">
                  <c:v>80</c:v>
                </c:pt>
                <c:pt idx="2">
                  <c:v>92</c:v>
                </c:pt>
                <c:pt idx="3">
                  <c:v>107</c:v>
                </c:pt>
                <c:pt idx="4">
                  <c:v>280</c:v>
                </c:pt>
              </c:numCache>
            </c:numRef>
          </c:val>
        </c:ser>
        <c:gapDepth val="0"/>
        <c:shape val="box"/>
        <c:axId val="526161408"/>
        <c:axId val="526162944"/>
        <c:axId val="0"/>
      </c:bar3DChart>
      <c:catAx>
        <c:axId val="526161408"/>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26162944"/>
        <c:crosses val="autoZero"/>
        <c:auto val="1"/>
        <c:lblAlgn val="ctr"/>
        <c:lblOffset val="100"/>
        <c:tickLblSkip val="1"/>
        <c:tickMarkSkip val="1"/>
      </c:catAx>
      <c:valAx>
        <c:axId val="526162944"/>
        <c:scaling>
          <c:orientation val="minMax"/>
        </c:scaling>
        <c:axPos val="l"/>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26161408"/>
        <c:crosses val="autoZero"/>
        <c:crossBetween val="between"/>
      </c:valAx>
      <c:dTable>
        <c:showHorzBorder val="1"/>
        <c:showVertBorder val="1"/>
        <c:showOutline val="1"/>
        <c:showKeys val="1"/>
        <c:spPr>
          <a:ln w="3172">
            <a:solidFill>
              <a:srgbClr val="000000"/>
            </a:solidFill>
            <a:prstDash val="solid"/>
          </a:ln>
        </c:spPr>
        <c:txPr>
          <a:bodyPr/>
          <a:lstStyle/>
          <a:p>
            <a:pPr rtl="0">
              <a:defRPr sz="799" b="0" i="0" u="none" strike="noStrike" baseline="0">
                <a:solidFill>
                  <a:srgbClr val="000000"/>
                </a:solidFill>
                <a:latin typeface="Arial"/>
                <a:ea typeface="Arial"/>
                <a:cs typeface="Arial"/>
              </a:defRPr>
            </a:pPr>
            <a:endParaRPr lang="en-US"/>
          </a:p>
        </c:txPr>
      </c:dTable>
      <c:spPr>
        <a:noFill/>
        <a:ln w="25376">
          <a:noFill/>
        </a:ln>
      </c:spPr>
    </c:plotArea>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2012-04-01T20:01:00Z</dcterms:created>
  <dcterms:modified xsi:type="dcterms:W3CDTF">2012-04-01T20:03:00Z</dcterms:modified>
</cp:coreProperties>
</file>