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A3" w:rsidRPr="00B76D8F" w:rsidRDefault="00207D32" w:rsidP="00B76D8F">
      <w:pPr>
        <w:pStyle w:val="Title"/>
        <w:rPr>
          <w:rFonts w:ascii="Arial" w:hAnsi="Arial" w:cs="Arial"/>
          <w:sz w:val="28"/>
          <w:szCs w:val="22"/>
        </w:rPr>
      </w:pPr>
      <w:r w:rsidRPr="00B76D8F">
        <w:rPr>
          <w:rFonts w:ascii="Arial" w:hAnsi="Arial" w:cs="Arial"/>
          <w:sz w:val="28"/>
          <w:szCs w:val="22"/>
        </w:rPr>
        <w:t>Supplementary Material S1</w:t>
      </w:r>
    </w:p>
    <w:p w:rsidR="0039373F" w:rsidRPr="005F1D3C" w:rsidRDefault="00C22362" w:rsidP="00D501E5">
      <w:pPr>
        <w:jc w:val="center"/>
        <w:rPr>
          <w:rFonts w:ascii="Arial" w:hAnsi="Arial" w:cs="Arial"/>
        </w:rPr>
      </w:pPr>
      <w:r w:rsidRPr="00625FE7">
        <w:rPr>
          <w:rFonts w:ascii="Arial" w:hAnsi="Arial" w:cs="Arial"/>
          <w:i/>
        </w:rPr>
        <w:t>Sangeeta Nath, Virginia A. Spencer, Ju Han, Hang</w:t>
      </w:r>
      <w:r>
        <w:rPr>
          <w:rFonts w:ascii="Arial" w:hAnsi="Arial" w:cs="Arial"/>
          <w:i/>
        </w:rPr>
        <w:t xml:space="preserve"> Chang, Kai Zhang, Gerald Fontenay, Charles</w:t>
      </w:r>
      <w:r w:rsidRPr="00625FE7">
        <w:rPr>
          <w:rFonts w:ascii="Arial" w:hAnsi="Arial" w:cs="Arial"/>
          <w:i/>
        </w:rPr>
        <w:t xml:space="preserve"> Anderson, Joel Hyman, </w:t>
      </w:r>
      <w:r>
        <w:rPr>
          <w:rFonts w:ascii="Arial" w:hAnsi="Arial" w:cs="Arial"/>
          <w:i/>
        </w:rPr>
        <w:t xml:space="preserve">Marit Nilsen-Hamilton, </w:t>
      </w:r>
      <w:r w:rsidRPr="00625FE7">
        <w:rPr>
          <w:rFonts w:ascii="Arial" w:hAnsi="Arial" w:cs="Arial"/>
          <w:i/>
        </w:rPr>
        <w:t>Young-T</w:t>
      </w:r>
      <w:r w:rsidR="00537F75">
        <w:rPr>
          <w:rFonts w:ascii="Arial" w:hAnsi="Arial" w:cs="Arial"/>
          <w:i/>
        </w:rPr>
        <w:t>ae</w:t>
      </w:r>
      <w:r w:rsidRPr="00625FE7">
        <w:rPr>
          <w:rFonts w:ascii="Arial" w:hAnsi="Arial" w:cs="Arial"/>
          <w:i/>
        </w:rPr>
        <w:t xml:space="preserve"> Chang, and Bahram Parvin</w:t>
      </w:r>
    </w:p>
    <w:p w:rsidR="00735127" w:rsidRDefault="00735127" w:rsidP="001A32E9">
      <w:pPr>
        <w:jc w:val="both"/>
        <w:rPr>
          <w:rFonts w:ascii="Arial" w:hAnsi="Arial" w:cs="Arial"/>
          <w:b/>
        </w:rPr>
      </w:pPr>
    </w:p>
    <w:p w:rsidR="0039373F" w:rsidRPr="00BA4CA1" w:rsidRDefault="0039373F" w:rsidP="001A32E9">
      <w:pPr>
        <w:jc w:val="both"/>
        <w:rPr>
          <w:rFonts w:ascii="Arial" w:hAnsi="Arial" w:cs="Arial"/>
          <w:b/>
        </w:rPr>
      </w:pPr>
      <w:r w:rsidRPr="00BA4CA1">
        <w:rPr>
          <w:rFonts w:ascii="Arial" w:hAnsi="Arial" w:cs="Arial"/>
          <w:b/>
        </w:rPr>
        <w:t>1. Combinatorial chemical library</w:t>
      </w:r>
    </w:p>
    <w:p w:rsidR="0039373F" w:rsidRDefault="0039373F" w:rsidP="001A32E9">
      <w:pPr>
        <w:jc w:val="both"/>
        <w:rPr>
          <w:rFonts w:ascii="Arial" w:hAnsi="Arial" w:cs="Arial"/>
        </w:rPr>
      </w:pPr>
      <w:r w:rsidRPr="005F1D3C">
        <w:rPr>
          <w:rFonts w:ascii="Arial" w:hAnsi="Arial" w:cs="Arial"/>
        </w:rPr>
        <w:t xml:space="preserve">The library is synthesized </w:t>
      </w:r>
      <w:r w:rsidR="00867F8D" w:rsidRPr="005F1D3C">
        <w:rPr>
          <w:rFonts w:ascii="Arial" w:hAnsi="Arial" w:cs="Arial"/>
        </w:rPr>
        <w:t>from two diversities of R1 and R2</w:t>
      </w:r>
      <w:r w:rsidR="002B695A">
        <w:rPr>
          <w:rFonts w:ascii="Arial" w:hAnsi="Arial" w:cs="Arial"/>
        </w:rPr>
        <w:t xml:space="preserve"> </w:t>
      </w:r>
      <w:r w:rsidR="00867F8D" w:rsidRPr="002B695A">
        <w:rPr>
          <w:rFonts w:ascii="Arial" w:hAnsi="Arial" w:cs="Arial"/>
        </w:rPr>
        <w:t>through a Grig</w:t>
      </w:r>
      <w:r w:rsidR="002B695A">
        <w:rPr>
          <w:rFonts w:ascii="Arial" w:hAnsi="Arial" w:cs="Arial"/>
        </w:rPr>
        <w:t>n</w:t>
      </w:r>
      <w:r w:rsidR="00867F8D" w:rsidRPr="002B695A">
        <w:rPr>
          <w:rFonts w:ascii="Arial" w:hAnsi="Arial" w:cs="Arial"/>
        </w:rPr>
        <w:t>ard reaction</w:t>
      </w:r>
      <w:r w:rsidR="002B695A" w:rsidRPr="002B695A">
        <w:rPr>
          <w:rFonts w:ascii="Arial" w:hAnsi="Arial" w:cs="Arial"/>
        </w:rPr>
        <w:t>,</w:t>
      </w:r>
      <w:r w:rsidR="002D5927" w:rsidRPr="002B695A">
        <w:rPr>
          <w:rFonts w:ascii="Arial" w:hAnsi="Arial" w:cs="Arial"/>
        </w:rPr>
        <w:t xml:space="preserve"> as shown in</w:t>
      </w:r>
      <w:r w:rsidR="00C27C1D">
        <w:rPr>
          <w:rFonts w:ascii="Arial" w:hAnsi="Arial" w:cs="Arial"/>
        </w:rPr>
        <w:t xml:space="preserve"> Figure S1.</w:t>
      </w:r>
    </w:p>
    <w:p w:rsidR="00920689" w:rsidRPr="009434FE" w:rsidRDefault="00920689" w:rsidP="001A32E9">
      <w:pPr>
        <w:jc w:val="both"/>
        <w:rPr>
          <w:rFonts w:ascii="Arial" w:hAnsi="Arial" w:cs="Arial"/>
        </w:rPr>
      </w:pPr>
    </w:p>
    <w:p w:rsidR="00BF41BE" w:rsidRPr="009434FE" w:rsidRDefault="00BF41BE" w:rsidP="001A32E9">
      <w:pPr>
        <w:jc w:val="both"/>
        <w:rPr>
          <w:rFonts w:ascii="Arial" w:hAnsi="Arial" w:cs="Arial"/>
          <w:b/>
        </w:rPr>
      </w:pPr>
      <w:r w:rsidRPr="009434FE">
        <w:rPr>
          <w:rFonts w:ascii="Arial" w:hAnsi="Arial" w:cs="Arial"/>
          <w:b/>
        </w:rPr>
        <w:t>2. BioSig Imaging Bioinformatics system</w:t>
      </w:r>
    </w:p>
    <w:p w:rsidR="00514B78" w:rsidRPr="005F1D3C" w:rsidRDefault="006379F3" w:rsidP="001A32E9">
      <w:pPr>
        <w:jc w:val="both"/>
        <w:rPr>
          <w:rFonts w:ascii="Arial" w:hAnsi="Arial" w:cs="Arial"/>
        </w:rPr>
      </w:pPr>
      <w:r w:rsidRPr="006379F3">
        <w:t xml:space="preserve"> </w:t>
      </w:r>
      <w:r w:rsidRPr="006379F3">
        <w:rPr>
          <w:rFonts w:ascii="Arial" w:hAnsi="Arial" w:cs="Arial"/>
        </w:rPr>
        <w:t>Images and their annotations were uploaded into the BioSig Imaging Bioinformatics system, examples of which, for ligands B2 and E25, are shown in Figures S2</w:t>
      </w:r>
      <w:r w:rsidR="00FF16C8">
        <w:rPr>
          <w:rFonts w:ascii="Arial" w:hAnsi="Arial" w:cs="Arial"/>
        </w:rPr>
        <w:t>A</w:t>
      </w:r>
      <w:r w:rsidRPr="006379F3">
        <w:rPr>
          <w:rFonts w:ascii="Arial" w:hAnsi="Arial" w:cs="Arial"/>
        </w:rPr>
        <w:t xml:space="preserve"> and S2</w:t>
      </w:r>
      <w:r w:rsidR="00FF16C8">
        <w:rPr>
          <w:rFonts w:ascii="Arial" w:hAnsi="Arial" w:cs="Arial"/>
        </w:rPr>
        <w:t>B</w:t>
      </w:r>
      <w:r w:rsidRPr="006379F3">
        <w:rPr>
          <w:rFonts w:ascii="Arial" w:hAnsi="Arial" w:cs="Arial"/>
        </w:rPr>
        <w:t>. For each cell line, the top and bottom rows show the in- and out-fluxes, respectively. These ligands were selected to demonstrate that their spatial distributions can be different for each of the cell lines, or the same cell lin</w:t>
      </w:r>
      <w:r w:rsidR="00FF16C8">
        <w:rPr>
          <w:rFonts w:ascii="Arial" w:hAnsi="Arial" w:cs="Arial"/>
        </w:rPr>
        <w:t>e at two time points. Figure S2A</w:t>
      </w:r>
      <w:r w:rsidRPr="006379F3">
        <w:rPr>
          <w:rFonts w:ascii="Arial" w:hAnsi="Arial" w:cs="Arial"/>
        </w:rPr>
        <w:t xml:space="preserve"> shows that the distribution pattern is peri-nuclear for HS578T cell line, (ii) and diffused for the mouse ScP2 cell line. Additionally, ligand E25 has excellent flux properties for ScP2 cells, but none for CAMA1. These differential responses can help in the design of a dictionary that can aid in identifying different cell lines and potentially cell types for high throughout put screening of ligand libraries.</w:t>
      </w:r>
      <w:r w:rsidR="00DF187D">
        <w:rPr>
          <w:rFonts w:ascii="Arial" w:hAnsi="Arial" w:cs="Arial"/>
        </w:rPr>
        <w:t xml:space="preserve"> </w:t>
      </w:r>
    </w:p>
    <w:p w:rsidR="009F06C8" w:rsidRDefault="009F06C8">
      <w:pPr>
        <w:spacing w:after="0" w:line="240" w:lineRule="auto"/>
        <w:rPr>
          <w:rFonts w:ascii="Arial" w:hAnsi="Arial" w:cs="Arial"/>
          <w:b/>
        </w:rPr>
      </w:pPr>
    </w:p>
    <w:p w:rsidR="003967AF" w:rsidRDefault="003967AF" w:rsidP="003967AF">
      <w:pPr>
        <w:jc w:val="both"/>
        <w:rPr>
          <w:rFonts w:ascii="Arial" w:hAnsi="Arial" w:cs="Arial"/>
          <w:b/>
        </w:rPr>
      </w:pPr>
      <w:r>
        <w:rPr>
          <w:rFonts w:ascii="Arial" w:hAnsi="Arial" w:cs="Arial"/>
          <w:b/>
        </w:rPr>
        <w:t>3</w:t>
      </w:r>
      <w:r w:rsidRPr="009434FE">
        <w:rPr>
          <w:rFonts w:ascii="Arial" w:hAnsi="Arial" w:cs="Arial"/>
          <w:b/>
        </w:rPr>
        <w:t xml:space="preserve">. </w:t>
      </w:r>
      <w:r w:rsidR="00AB0C06">
        <w:rPr>
          <w:rFonts w:ascii="Arial" w:hAnsi="Arial" w:cs="Arial"/>
          <w:b/>
        </w:rPr>
        <w:t xml:space="preserve"> Correlation of NSI between mammalian and root hair model system</w:t>
      </w:r>
    </w:p>
    <w:p w:rsidR="00EE54F8" w:rsidRPr="007042FD" w:rsidRDefault="00C77E57" w:rsidP="00097033">
      <w:pPr>
        <w:jc w:val="both"/>
        <w:rPr>
          <w:rFonts w:ascii="Arial" w:hAnsi="Arial" w:cs="Arial"/>
          <w:i/>
        </w:rPr>
      </w:pPr>
      <w:r w:rsidRPr="00C77E57">
        <w:rPr>
          <w:rFonts w:ascii="Arial" w:hAnsi="Arial" w:cs="Arial"/>
        </w:rPr>
        <w:t>We selected a subset of ligands (e.g., Figure 2</w:t>
      </w:r>
      <w:r>
        <w:rPr>
          <w:rFonts w:ascii="Arial" w:hAnsi="Arial" w:cs="Arial"/>
        </w:rPr>
        <w:t>E</w:t>
      </w:r>
      <w:r w:rsidRPr="00C77E57">
        <w:rPr>
          <w:rFonts w:ascii="Arial" w:hAnsi="Arial" w:cs="Arial"/>
        </w:rPr>
        <w:t>) and examined how well non-stickiness indices (NSI) correlate between the plant and mammalian lines. There was a weak correlation across ligands for the two species, as shown in Figure S3. However, given that negative NSI is a desirable property, Table S1 indicates higher co-occurrence of mammalian lines and plan root hair having joint negative NSI. In other words, the mammalian lines can provide a list of candidates for screening in plant species.</w:t>
      </w:r>
      <w:r w:rsidR="00223553">
        <w:rPr>
          <w:rFonts w:ascii="Arial" w:hAnsi="Arial" w:cs="Arial"/>
        </w:rPr>
        <w:t xml:space="preserve"> </w:t>
      </w:r>
    </w:p>
    <w:p w:rsidR="009F06C8" w:rsidRDefault="009F06C8">
      <w:pPr>
        <w:spacing w:after="0" w:line="240" w:lineRule="auto"/>
        <w:rPr>
          <w:rFonts w:ascii="Arial" w:hAnsi="Arial" w:cs="Arial"/>
          <w:b/>
        </w:rPr>
      </w:pPr>
    </w:p>
    <w:p w:rsidR="00FA4AAA" w:rsidRDefault="003967AF" w:rsidP="001A32E9">
      <w:pPr>
        <w:jc w:val="both"/>
        <w:rPr>
          <w:rFonts w:ascii="Arial" w:hAnsi="Arial" w:cs="Arial"/>
          <w:b/>
        </w:rPr>
      </w:pPr>
      <w:r>
        <w:rPr>
          <w:rFonts w:ascii="Arial" w:hAnsi="Arial" w:cs="Arial"/>
          <w:b/>
        </w:rPr>
        <w:t>4</w:t>
      </w:r>
      <w:r w:rsidR="00320FE2">
        <w:rPr>
          <w:rFonts w:ascii="Arial" w:hAnsi="Arial" w:cs="Arial"/>
          <w:b/>
        </w:rPr>
        <w:t>. C</w:t>
      </w:r>
      <w:r w:rsidR="00EE575C">
        <w:rPr>
          <w:rFonts w:ascii="Arial" w:hAnsi="Arial" w:cs="Arial"/>
          <w:b/>
        </w:rPr>
        <w:t>hemoinformat</w:t>
      </w:r>
      <w:r w:rsidR="00320FE2">
        <w:rPr>
          <w:rFonts w:ascii="Arial" w:hAnsi="Arial" w:cs="Arial"/>
          <w:b/>
        </w:rPr>
        <w:t>ics analysis</w:t>
      </w:r>
    </w:p>
    <w:p w:rsidR="00981CE3" w:rsidRPr="009434FE" w:rsidRDefault="003967AF" w:rsidP="001A32E9">
      <w:pPr>
        <w:jc w:val="both"/>
        <w:rPr>
          <w:rFonts w:ascii="Arial" w:hAnsi="Arial" w:cs="Arial"/>
          <w:b/>
        </w:rPr>
      </w:pPr>
      <w:r>
        <w:rPr>
          <w:rFonts w:ascii="Arial" w:hAnsi="Arial" w:cs="Arial"/>
          <w:b/>
        </w:rPr>
        <w:t>4</w:t>
      </w:r>
      <w:r w:rsidR="00E77B56" w:rsidRPr="009434FE">
        <w:rPr>
          <w:rFonts w:ascii="Arial" w:hAnsi="Arial" w:cs="Arial"/>
          <w:b/>
        </w:rPr>
        <w:t>.</w:t>
      </w:r>
      <w:r w:rsidR="001163DF">
        <w:rPr>
          <w:rFonts w:ascii="Arial" w:hAnsi="Arial" w:cs="Arial"/>
          <w:b/>
        </w:rPr>
        <w:t>1</w:t>
      </w:r>
      <w:r w:rsidR="00E77B56" w:rsidRPr="009434FE">
        <w:rPr>
          <w:rFonts w:ascii="Arial" w:hAnsi="Arial" w:cs="Arial"/>
          <w:b/>
        </w:rPr>
        <w:t xml:space="preserve"> </w:t>
      </w:r>
      <w:r w:rsidR="00981CE3" w:rsidRPr="009434FE">
        <w:rPr>
          <w:rFonts w:ascii="Arial" w:hAnsi="Arial" w:cs="Arial"/>
          <w:b/>
        </w:rPr>
        <w:t>Association of physiochemical fingerprints to uptake</w:t>
      </w:r>
    </w:p>
    <w:p w:rsidR="000A2642" w:rsidRPr="001B6E62" w:rsidRDefault="00BB167C" w:rsidP="001A32E9">
      <w:pPr>
        <w:jc w:val="both"/>
        <w:rPr>
          <w:rFonts w:ascii="Arial" w:hAnsi="Arial" w:cs="Arial"/>
        </w:rPr>
      </w:pPr>
      <w:r w:rsidRPr="00BB167C">
        <w:rPr>
          <w:rFonts w:ascii="Arial" w:hAnsi="Arial" w:cs="Arial"/>
        </w:rPr>
        <w:t xml:space="preserve">Chemical fingerprints (consisting of 56 features) for each ligand were computed from the corresponding SMILE code through a professional software named </w:t>
      </w:r>
      <w:r w:rsidRPr="00FF7D96">
        <w:rPr>
          <w:rFonts w:ascii="Arial" w:hAnsi="Arial" w:cs="Arial"/>
          <w:i/>
        </w:rPr>
        <w:t>JChem</w:t>
      </w:r>
      <w:r w:rsidRPr="00BB167C">
        <w:rPr>
          <w:rFonts w:ascii="Arial" w:hAnsi="Arial" w:cs="Arial"/>
        </w:rPr>
        <w:t>. The association between each feature and the uptake was studied through a correlation analysis. Figure S4 shows the top 12 chemical attributes that best correlated with cellular uptake. The p-values range from 1.3e-022 to 9.1e-004.</w:t>
      </w:r>
    </w:p>
    <w:p w:rsidR="00B30F7B" w:rsidRPr="002B695A" w:rsidRDefault="003967AF" w:rsidP="001A32E9">
      <w:pPr>
        <w:jc w:val="both"/>
        <w:rPr>
          <w:rFonts w:ascii="Arial" w:hAnsi="Arial" w:cs="Arial"/>
          <w:b/>
        </w:rPr>
      </w:pPr>
      <w:r>
        <w:rPr>
          <w:rFonts w:ascii="Arial" w:hAnsi="Arial" w:cs="Arial"/>
          <w:b/>
        </w:rPr>
        <w:t>4</w:t>
      </w:r>
      <w:r w:rsidR="001163DF">
        <w:rPr>
          <w:rFonts w:ascii="Arial" w:hAnsi="Arial" w:cs="Arial"/>
          <w:b/>
        </w:rPr>
        <w:t>.2</w:t>
      </w:r>
      <w:r w:rsidR="002E5A06" w:rsidRPr="002B695A">
        <w:rPr>
          <w:rFonts w:ascii="Arial" w:hAnsi="Arial" w:cs="Arial"/>
          <w:b/>
        </w:rPr>
        <w:t xml:space="preserve">. </w:t>
      </w:r>
      <w:r w:rsidR="008200CD" w:rsidRPr="002B695A">
        <w:rPr>
          <w:rFonts w:ascii="Arial" w:hAnsi="Arial" w:cs="Arial"/>
          <w:b/>
        </w:rPr>
        <w:t xml:space="preserve">Association of physiochemical fingerprints </w:t>
      </w:r>
      <w:r w:rsidR="002E5A06" w:rsidRPr="002B695A">
        <w:rPr>
          <w:rFonts w:ascii="Arial" w:hAnsi="Arial" w:cs="Arial"/>
          <w:b/>
        </w:rPr>
        <w:t xml:space="preserve">to </w:t>
      </w:r>
      <w:r w:rsidR="00840DE1">
        <w:rPr>
          <w:rFonts w:ascii="Arial" w:hAnsi="Arial" w:cs="Arial"/>
          <w:b/>
        </w:rPr>
        <w:t>non-stickiness</w:t>
      </w:r>
      <w:r w:rsidR="001A20CA">
        <w:rPr>
          <w:rFonts w:ascii="Arial" w:hAnsi="Arial" w:cs="Arial"/>
          <w:b/>
        </w:rPr>
        <w:t xml:space="preserve"> index (NSI)</w:t>
      </w:r>
    </w:p>
    <w:p w:rsidR="00B30F7B" w:rsidRPr="005F1D3C" w:rsidRDefault="00344A66" w:rsidP="00E0258A">
      <w:pPr>
        <w:rPr>
          <w:rFonts w:ascii="Arial" w:hAnsi="Arial" w:cs="Arial"/>
        </w:rPr>
      </w:pPr>
      <w:r w:rsidRPr="00344A66">
        <w:rPr>
          <w:rFonts w:ascii="Arial" w:hAnsi="Arial" w:cs="Arial"/>
        </w:rPr>
        <w:lastRenderedPageBreak/>
        <w:t>Figure S5 shows the top 12 molecular properties that best correlated to the NSI. The p-values range from 3.9e-9 to 0.06.</w:t>
      </w:r>
      <w:r w:rsidR="00E0258A">
        <w:rPr>
          <w:rFonts w:ascii="Arial" w:hAnsi="Arial" w:cs="Arial"/>
        </w:rPr>
        <w:t xml:space="preserve">  </w:t>
      </w:r>
    </w:p>
    <w:p w:rsidR="000E2D34" w:rsidRDefault="000E2D34">
      <w:pPr>
        <w:spacing w:after="0" w:line="240" w:lineRule="auto"/>
        <w:rPr>
          <w:rFonts w:ascii="Arial" w:hAnsi="Arial" w:cs="Arial"/>
          <w:b/>
        </w:rPr>
      </w:pPr>
    </w:p>
    <w:p w:rsidR="003E7E26" w:rsidRDefault="003967AF" w:rsidP="0073723F">
      <w:pPr>
        <w:jc w:val="both"/>
        <w:rPr>
          <w:rFonts w:ascii="Arial" w:hAnsi="Arial" w:cs="Arial"/>
          <w:b/>
        </w:rPr>
      </w:pPr>
      <w:r>
        <w:rPr>
          <w:rFonts w:ascii="Arial" w:hAnsi="Arial" w:cs="Arial"/>
          <w:b/>
        </w:rPr>
        <w:t>5</w:t>
      </w:r>
      <w:r w:rsidR="0073723F" w:rsidRPr="009434FE">
        <w:rPr>
          <w:rFonts w:ascii="Arial" w:hAnsi="Arial" w:cs="Arial"/>
          <w:b/>
        </w:rPr>
        <w:t xml:space="preserve">. </w:t>
      </w:r>
      <w:r w:rsidR="003E7E26">
        <w:rPr>
          <w:rFonts w:ascii="Arial" w:hAnsi="Arial" w:cs="Arial"/>
          <w:b/>
        </w:rPr>
        <w:t xml:space="preserve"> Association of structural properties with the top candidate in plant root hair</w:t>
      </w:r>
    </w:p>
    <w:p w:rsidR="00DA7650" w:rsidRPr="00DA7650" w:rsidRDefault="002461DB" w:rsidP="0073723F">
      <w:pPr>
        <w:jc w:val="both"/>
        <w:rPr>
          <w:rFonts w:ascii="Arial" w:hAnsi="Arial" w:cs="Arial"/>
        </w:rPr>
      </w:pPr>
      <w:r w:rsidRPr="002461DB">
        <w:rPr>
          <w:rFonts w:ascii="Arial" w:hAnsi="Arial" w:cs="Arial"/>
        </w:rPr>
        <w:t>The top candidates from the mammalian screen, which revealed the best NSI values were subjected to a secondary screen in the A. Thailiana plant root hair system. The results were shown in Figure 2E in the manuscript. Furthermore, we used the SIMPCOMP program to assess the structural similarities of each compound with one another and then correlated this information with the specific NSI values</w:t>
      </w:r>
      <w:r w:rsidR="00E07CDC">
        <w:rPr>
          <w:rFonts w:ascii="Arial" w:hAnsi="Arial" w:cs="Arial"/>
        </w:rPr>
        <w:t xml:space="preserve"> for each ligand. Again, as in S</w:t>
      </w:r>
      <w:r w:rsidRPr="002461DB">
        <w:rPr>
          <w:rFonts w:ascii="Arial" w:hAnsi="Arial" w:cs="Arial"/>
        </w:rPr>
        <w:t xml:space="preserve">ection 4, structural features were not predictive of the </w:t>
      </w:r>
      <w:r>
        <w:rPr>
          <w:rFonts w:ascii="Arial" w:hAnsi="Arial" w:cs="Arial"/>
        </w:rPr>
        <w:t>NSI value as shown in Figure S6</w:t>
      </w:r>
      <w:r w:rsidR="000A1D39">
        <w:rPr>
          <w:rFonts w:ascii="Arial" w:hAnsi="Arial" w:cs="Arial"/>
        </w:rPr>
        <w:t xml:space="preserve">. </w:t>
      </w:r>
    </w:p>
    <w:p w:rsidR="000E2D34" w:rsidRDefault="000E2D34">
      <w:pPr>
        <w:spacing w:after="0" w:line="240" w:lineRule="auto"/>
        <w:rPr>
          <w:rFonts w:ascii="Arial" w:hAnsi="Arial" w:cs="Arial"/>
          <w:b/>
        </w:rPr>
      </w:pPr>
    </w:p>
    <w:p w:rsidR="0073723F" w:rsidRPr="009434FE" w:rsidRDefault="003967AF" w:rsidP="0073723F">
      <w:pPr>
        <w:jc w:val="both"/>
        <w:rPr>
          <w:rFonts w:ascii="Arial" w:hAnsi="Arial" w:cs="Arial"/>
          <w:b/>
        </w:rPr>
      </w:pPr>
      <w:r>
        <w:rPr>
          <w:rFonts w:ascii="Arial" w:hAnsi="Arial" w:cs="Arial"/>
          <w:b/>
        </w:rPr>
        <w:t>6</w:t>
      </w:r>
      <w:r w:rsidR="003E7E26">
        <w:rPr>
          <w:rFonts w:ascii="Arial" w:hAnsi="Arial" w:cs="Arial"/>
          <w:b/>
        </w:rPr>
        <w:t xml:space="preserve">. </w:t>
      </w:r>
      <w:r w:rsidR="0073723F" w:rsidRPr="009434FE">
        <w:rPr>
          <w:rFonts w:ascii="Arial" w:hAnsi="Arial" w:cs="Arial"/>
          <w:b/>
        </w:rPr>
        <w:t>Visual</w:t>
      </w:r>
      <w:r w:rsidR="00911D26">
        <w:rPr>
          <w:rFonts w:ascii="Arial" w:hAnsi="Arial" w:cs="Arial"/>
          <w:b/>
        </w:rPr>
        <w:t>ization of structural similarity</w:t>
      </w:r>
      <w:r w:rsidR="0073723F" w:rsidRPr="009434FE">
        <w:rPr>
          <w:rFonts w:ascii="Arial" w:hAnsi="Arial" w:cs="Arial"/>
          <w:b/>
        </w:rPr>
        <w:t xml:space="preserve"> through multidimensional scaling</w:t>
      </w:r>
    </w:p>
    <w:p w:rsidR="0073723F" w:rsidRPr="009434FE" w:rsidRDefault="00AE00C4" w:rsidP="0073723F">
      <w:pPr>
        <w:jc w:val="both"/>
        <w:rPr>
          <w:rFonts w:ascii="Arial" w:hAnsi="Arial" w:cs="Arial"/>
        </w:rPr>
      </w:pPr>
      <w:r w:rsidRPr="00AE00C4">
        <w:rPr>
          <w:rFonts w:ascii="Arial" w:hAnsi="Arial" w:cs="Arial"/>
        </w:rPr>
        <w:t>Multidimensional scaling (MDS) was used for visualization of the physiochemical fingerprints for exploring similarities among ligands. MDS is initiated with constructing a similarity matrix between physiochemical or structural properties of the ligands, and then followed by projection in a lower dimensional space, where the original distances are preserved. Figure S7 shows a 3-D visualization of the chemical fingerprints of the ligands through MDS. Here, ligands with the same R1 structure (locations with the same color) are clustered together, which indicates that the similarities of chemical fingerprints are preserved in the low dimensional space.</w:t>
      </w:r>
      <w:r w:rsidR="0073723F" w:rsidRPr="009434FE">
        <w:rPr>
          <w:rFonts w:ascii="Arial" w:hAnsi="Arial" w:cs="Arial"/>
        </w:rPr>
        <w:t xml:space="preserve"> </w:t>
      </w:r>
      <w:r w:rsidR="002B695A">
        <w:rPr>
          <w:rFonts w:ascii="Arial" w:hAnsi="Arial" w:cs="Arial"/>
        </w:rPr>
        <w:t xml:space="preserve"> </w:t>
      </w:r>
    </w:p>
    <w:p w:rsidR="0073723F" w:rsidRPr="005F1D3C" w:rsidRDefault="0073723F" w:rsidP="0073723F">
      <w:pPr>
        <w:jc w:val="both"/>
        <w:rPr>
          <w:rFonts w:ascii="Arial" w:hAnsi="Arial" w:cs="Arial"/>
        </w:rPr>
      </w:pPr>
    </w:p>
    <w:p w:rsidR="00C44D0C" w:rsidRDefault="00C44D0C">
      <w:pPr>
        <w:spacing w:after="0" w:line="240" w:lineRule="auto"/>
        <w:rPr>
          <w:rFonts w:ascii="Arial" w:hAnsi="Arial" w:cs="Arial"/>
        </w:rPr>
      </w:pPr>
      <w:r>
        <w:rPr>
          <w:rFonts w:ascii="Arial" w:hAnsi="Arial" w:cs="Arial"/>
        </w:rPr>
        <w:br w:type="page"/>
      </w:r>
    </w:p>
    <w:p w:rsidR="008C6FC7" w:rsidRDefault="008C6FC7" w:rsidP="008C6FC7">
      <w:pPr>
        <w:ind w:left="720" w:hanging="720"/>
        <w:rPr>
          <w:rFonts w:ascii="Arial" w:hAnsi="Arial" w:cs="Arial"/>
        </w:rPr>
      </w:pPr>
      <w:r>
        <w:rPr>
          <w:rFonts w:ascii="Arial" w:hAnsi="Arial" w:cs="Arial"/>
        </w:rPr>
        <w:lastRenderedPageBreak/>
        <w:t xml:space="preserve">Figure S1: Combinatorial fluorescent chemical library are synthesized from two diversities of R1 (A-L) and R2 (1-33). </w:t>
      </w:r>
    </w:p>
    <w:p w:rsidR="004B1B06" w:rsidRDefault="004B1B06" w:rsidP="004B1B06">
      <w:pPr>
        <w:ind w:left="720" w:hanging="720"/>
        <w:rPr>
          <w:rFonts w:ascii="Arial" w:hAnsi="Arial" w:cs="Arial"/>
        </w:rPr>
      </w:pPr>
      <w:r>
        <w:rPr>
          <w:rFonts w:ascii="Arial" w:hAnsi="Arial" w:cs="Arial"/>
        </w:rPr>
        <w:t xml:space="preserve">Figure S2: </w:t>
      </w:r>
      <w:r w:rsidRPr="00B542C0">
        <w:rPr>
          <w:rFonts w:ascii="Arial" w:hAnsi="Arial" w:cs="Arial"/>
        </w:rPr>
        <w:t>Two views of BioSig imaging bioinformatics of the fluorescent compounds indicate that (</w:t>
      </w:r>
      <w:r>
        <w:rPr>
          <w:rFonts w:ascii="Arial" w:hAnsi="Arial" w:cs="Arial"/>
        </w:rPr>
        <w:t>A</w:t>
      </w:r>
      <w:r w:rsidRPr="00B542C0">
        <w:rPr>
          <w:rFonts w:ascii="Arial" w:hAnsi="Arial" w:cs="Arial"/>
        </w:rPr>
        <w:t>) response is heterogeneous for two different cell lines, and (</w:t>
      </w:r>
      <w:r>
        <w:rPr>
          <w:rFonts w:ascii="Arial" w:hAnsi="Arial" w:cs="Arial"/>
        </w:rPr>
        <w:t>B</w:t>
      </w:r>
      <w:r w:rsidRPr="00B542C0">
        <w:rPr>
          <w:rFonts w:ascii="Arial" w:hAnsi="Arial" w:cs="Arial"/>
        </w:rPr>
        <w:t>) the mouse cell line shows excellent non-specific binding property while human cell line does not.</w:t>
      </w:r>
      <w:r>
        <w:rPr>
          <w:rFonts w:ascii="Arial" w:hAnsi="Arial" w:cs="Arial"/>
        </w:rPr>
        <w:t xml:space="preserve"> </w:t>
      </w:r>
    </w:p>
    <w:p w:rsidR="008B38E4" w:rsidRDefault="008B38E4" w:rsidP="008B38E4">
      <w:pPr>
        <w:jc w:val="both"/>
        <w:rPr>
          <w:rFonts w:ascii="Arial" w:hAnsi="Arial" w:cs="Arial"/>
        </w:rPr>
      </w:pPr>
      <w:r>
        <w:rPr>
          <w:rFonts w:ascii="Arial" w:hAnsi="Arial" w:cs="Arial"/>
        </w:rPr>
        <w:t>Figure S3. Scatter plot of the NSI for compounds in the plant root hair and mammalian cell lines.</w:t>
      </w:r>
    </w:p>
    <w:p w:rsidR="007E1FF4" w:rsidRPr="005F1D3C" w:rsidRDefault="002F4988" w:rsidP="00FB5A85">
      <w:pPr>
        <w:rPr>
          <w:rFonts w:ascii="Arial" w:hAnsi="Arial" w:cs="Arial"/>
          <w:b/>
        </w:rPr>
      </w:pPr>
      <w:r>
        <w:rPr>
          <w:rFonts w:ascii="Arial" w:hAnsi="Arial" w:cs="Arial"/>
        </w:rPr>
        <w:t xml:space="preserve">Figure </w:t>
      </w:r>
      <w:r w:rsidR="007E1FF4">
        <w:rPr>
          <w:rFonts w:ascii="Arial" w:hAnsi="Arial" w:cs="Arial"/>
        </w:rPr>
        <w:t>S4</w:t>
      </w:r>
      <w:r w:rsidR="007E1FF4" w:rsidRPr="002B695A">
        <w:rPr>
          <w:rFonts w:ascii="Arial" w:hAnsi="Arial" w:cs="Arial"/>
        </w:rPr>
        <w:t xml:space="preserve">: </w:t>
      </w:r>
      <w:r w:rsidR="008B76EC" w:rsidRPr="008B76EC">
        <w:rPr>
          <w:rFonts w:ascii="Arial" w:hAnsi="Arial" w:cs="Arial"/>
        </w:rPr>
        <w:t>Correlative analysis of physiochemical properties with cellular uptake reveals a small amount of association with the number of rotatable bonds and other molecular properties (top row).</w:t>
      </w:r>
    </w:p>
    <w:p w:rsidR="008B38E4" w:rsidRDefault="008B38E4" w:rsidP="008B38E4">
      <w:pPr>
        <w:ind w:left="720" w:hanging="720"/>
        <w:rPr>
          <w:rFonts w:ascii="Arial" w:hAnsi="Arial" w:cs="Arial"/>
        </w:rPr>
      </w:pPr>
      <w:r>
        <w:rPr>
          <w:rFonts w:ascii="Arial" w:hAnsi="Arial" w:cs="Arial"/>
        </w:rPr>
        <w:t xml:space="preserve">Figure S5: </w:t>
      </w:r>
      <w:r w:rsidR="006C1BEA" w:rsidRPr="006C1BEA">
        <w:rPr>
          <w:rFonts w:ascii="Arial" w:hAnsi="Arial" w:cs="Arial"/>
        </w:rPr>
        <w:t>Correlative analysis of physiochemical properties with NSI indicates little correlation</w:t>
      </w:r>
      <w:r>
        <w:rPr>
          <w:rFonts w:ascii="Arial" w:hAnsi="Arial" w:cs="Arial"/>
        </w:rPr>
        <w:t xml:space="preserve">. </w:t>
      </w:r>
    </w:p>
    <w:p w:rsidR="00EA7E7A" w:rsidRDefault="00EA7E7A" w:rsidP="00EA7E7A">
      <w:pPr>
        <w:ind w:left="720" w:hanging="720"/>
        <w:rPr>
          <w:rFonts w:ascii="Arial" w:hAnsi="Arial" w:cs="Arial"/>
        </w:rPr>
      </w:pPr>
      <w:r>
        <w:rPr>
          <w:rFonts w:ascii="Arial" w:hAnsi="Arial" w:cs="Arial"/>
        </w:rPr>
        <w:t xml:space="preserve">Figure S6: </w:t>
      </w:r>
      <w:r w:rsidRPr="003254B0">
        <w:rPr>
          <w:rFonts w:ascii="Arial" w:hAnsi="Arial" w:cs="Arial"/>
        </w:rPr>
        <w:t>Functional and structural similarities of the top 10 compounds of Figure S5 reveal that (</w:t>
      </w:r>
      <w:r>
        <w:rPr>
          <w:rFonts w:ascii="Arial" w:hAnsi="Arial" w:cs="Arial"/>
        </w:rPr>
        <w:t>A</w:t>
      </w:r>
      <w:r w:rsidRPr="003254B0">
        <w:rPr>
          <w:rFonts w:ascii="Arial" w:hAnsi="Arial" w:cs="Arial"/>
        </w:rPr>
        <w:t>) while there are similarities of the NSI values between neighboring compounds in the bar chart in Figure 2E, (</w:t>
      </w:r>
      <w:r>
        <w:rPr>
          <w:rFonts w:ascii="Arial" w:hAnsi="Arial" w:cs="Arial"/>
        </w:rPr>
        <w:t>B</w:t>
      </w:r>
      <w:r w:rsidRPr="003254B0">
        <w:rPr>
          <w:rFonts w:ascii="Arial" w:hAnsi="Arial" w:cs="Arial"/>
        </w:rPr>
        <w:t>) structural similarities computed through the SIMPCOMP program do not follow the same profile</w:t>
      </w:r>
      <w:r>
        <w:rPr>
          <w:rFonts w:ascii="Arial" w:hAnsi="Arial" w:cs="Arial"/>
        </w:rPr>
        <w:t xml:space="preserve">. </w:t>
      </w:r>
    </w:p>
    <w:p w:rsidR="00CF1EF8" w:rsidRDefault="005E0CD8" w:rsidP="00CF1EF8">
      <w:pPr>
        <w:ind w:left="720" w:hanging="720"/>
        <w:rPr>
          <w:rFonts w:ascii="Arial" w:hAnsi="Arial" w:cs="Arial"/>
        </w:rPr>
      </w:pPr>
      <w:r>
        <w:rPr>
          <w:rFonts w:ascii="Arial" w:hAnsi="Arial" w:cs="Arial"/>
        </w:rPr>
        <w:t>Figure S</w:t>
      </w:r>
      <w:r w:rsidR="009B69F2">
        <w:rPr>
          <w:rFonts w:ascii="Arial" w:hAnsi="Arial" w:cs="Arial"/>
        </w:rPr>
        <w:t>7</w:t>
      </w:r>
      <w:r w:rsidR="00CF1EF8">
        <w:rPr>
          <w:rFonts w:ascii="Arial" w:hAnsi="Arial" w:cs="Arial"/>
        </w:rPr>
        <w:t xml:space="preserve">: </w:t>
      </w:r>
      <w:r w:rsidR="00CF1EF8" w:rsidRPr="002523C6">
        <w:rPr>
          <w:rFonts w:ascii="Arial" w:hAnsi="Arial" w:cs="Arial"/>
        </w:rPr>
        <w:t>Visualization through multidimensional scaling reveals that the R1 diversity is highly correlated as expected.  Each dot represents a ligand, and the dots with the same color have the same R1 structure.</w:t>
      </w:r>
    </w:p>
    <w:p w:rsidR="008B38E4" w:rsidRDefault="008B38E4" w:rsidP="008B38E4">
      <w:pPr>
        <w:ind w:left="720" w:hanging="720"/>
        <w:rPr>
          <w:rFonts w:ascii="Arial" w:hAnsi="Arial" w:cs="Arial"/>
        </w:rPr>
      </w:pPr>
      <w:r>
        <w:rPr>
          <w:rFonts w:ascii="Arial" w:hAnsi="Arial" w:cs="Arial"/>
        </w:rPr>
        <w:t>Table S1: Co-occurrence distribution of NSI between plant root hair and mammalian cell lines.</w:t>
      </w:r>
    </w:p>
    <w:tbl>
      <w:tblPr>
        <w:tblStyle w:val="TableGrid"/>
        <w:tblW w:w="0" w:type="auto"/>
        <w:tblInd w:w="558" w:type="dxa"/>
        <w:tblLook w:val="04A0"/>
      </w:tblPr>
      <w:tblGrid>
        <w:gridCol w:w="2874"/>
        <w:gridCol w:w="2706"/>
        <w:gridCol w:w="2700"/>
      </w:tblGrid>
      <w:tr w:rsidR="008B38E4" w:rsidTr="00623FF5">
        <w:tc>
          <w:tcPr>
            <w:tcW w:w="2874" w:type="dxa"/>
          </w:tcPr>
          <w:p w:rsidR="008B38E4" w:rsidRDefault="008B38E4" w:rsidP="00623FF5">
            <w:pPr>
              <w:spacing w:after="0" w:line="240" w:lineRule="auto"/>
              <w:jc w:val="center"/>
              <w:rPr>
                <w:rFonts w:ascii="Arial" w:hAnsi="Arial" w:cs="Arial"/>
              </w:rPr>
            </w:pPr>
            <w:r>
              <w:rPr>
                <w:rFonts w:ascii="Arial" w:hAnsi="Arial" w:cs="Arial"/>
              </w:rPr>
              <w:t>Number of ligands</w:t>
            </w:r>
          </w:p>
        </w:tc>
        <w:tc>
          <w:tcPr>
            <w:tcW w:w="2706" w:type="dxa"/>
          </w:tcPr>
          <w:p w:rsidR="008B38E4" w:rsidRDefault="008B38E4" w:rsidP="00623FF5">
            <w:pPr>
              <w:spacing w:after="0" w:line="240" w:lineRule="auto"/>
              <w:jc w:val="center"/>
              <w:rPr>
                <w:rFonts w:ascii="Arial" w:hAnsi="Arial" w:cs="Arial"/>
              </w:rPr>
            </w:pPr>
            <w:r>
              <w:rPr>
                <w:rFonts w:ascii="Arial" w:hAnsi="Arial" w:cs="Arial"/>
              </w:rPr>
              <w:t>Negative NSI in cell lines</w:t>
            </w:r>
          </w:p>
        </w:tc>
        <w:tc>
          <w:tcPr>
            <w:tcW w:w="2700" w:type="dxa"/>
          </w:tcPr>
          <w:p w:rsidR="008B38E4" w:rsidRDefault="008B38E4" w:rsidP="00623FF5">
            <w:pPr>
              <w:spacing w:after="0" w:line="240" w:lineRule="auto"/>
              <w:jc w:val="center"/>
              <w:rPr>
                <w:rFonts w:ascii="Arial" w:hAnsi="Arial" w:cs="Arial"/>
              </w:rPr>
            </w:pPr>
            <w:r>
              <w:rPr>
                <w:rFonts w:ascii="Arial" w:hAnsi="Arial" w:cs="Arial"/>
              </w:rPr>
              <w:t>Positive NSI in cell lines</w:t>
            </w:r>
          </w:p>
        </w:tc>
      </w:tr>
      <w:tr w:rsidR="008B38E4" w:rsidTr="00623FF5">
        <w:tc>
          <w:tcPr>
            <w:tcW w:w="2874" w:type="dxa"/>
          </w:tcPr>
          <w:p w:rsidR="008B38E4" w:rsidRDefault="008B38E4" w:rsidP="00623FF5">
            <w:pPr>
              <w:spacing w:after="0" w:line="240" w:lineRule="auto"/>
              <w:jc w:val="center"/>
              <w:rPr>
                <w:rFonts w:ascii="Arial" w:hAnsi="Arial" w:cs="Arial"/>
              </w:rPr>
            </w:pPr>
            <w:r>
              <w:rPr>
                <w:rFonts w:ascii="Arial" w:hAnsi="Arial" w:cs="Arial"/>
              </w:rPr>
              <w:t>Negative NSI in root hair</w:t>
            </w:r>
          </w:p>
        </w:tc>
        <w:tc>
          <w:tcPr>
            <w:tcW w:w="2706" w:type="dxa"/>
          </w:tcPr>
          <w:p w:rsidR="008B38E4" w:rsidRDefault="008B38E4" w:rsidP="00623FF5">
            <w:pPr>
              <w:spacing w:after="0" w:line="240" w:lineRule="auto"/>
              <w:jc w:val="center"/>
              <w:rPr>
                <w:rFonts w:ascii="Arial" w:hAnsi="Arial" w:cs="Arial"/>
              </w:rPr>
            </w:pPr>
            <w:r>
              <w:rPr>
                <w:rFonts w:ascii="Arial" w:hAnsi="Arial" w:cs="Arial"/>
              </w:rPr>
              <w:t>12</w:t>
            </w:r>
          </w:p>
        </w:tc>
        <w:tc>
          <w:tcPr>
            <w:tcW w:w="2700" w:type="dxa"/>
          </w:tcPr>
          <w:p w:rsidR="008B38E4" w:rsidRDefault="008B38E4" w:rsidP="00623FF5">
            <w:pPr>
              <w:spacing w:after="0" w:line="240" w:lineRule="auto"/>
              <w:jc w:val="center"/>
              <w:rPr>
                <w:rFonts w:ascii="Arial" w:hAnsi="Arial" w:cs="Arial"/>
              </w:rPr>
            </w:pPr>
            <w:r>
              <w:rPr>
                <w:rFonts w:ascii="Arial" w:hAnsi="Arial" w:cs="Arial"/>
              </w:rPr>
              <w:t>5</w:t>
            </w:r>
          </w:p>
        </w:tc>
      </w:tr>
      <w:tr w:rsidR="008B38E4" w:rsidTr="00623FF5">
        <w:tc>
          <w:tcPr>
            <w:tcW w:w="2874" w:type="dxa"/>
          </w:tcPr>
          <w:p w:rsidR="008B38E4" w:rsidRDefault="008B38E4" w:rsidP="00623FF5">
            <w:pPr>
              <w:spacing w:after="0" w:line="240" w:lineRule="auto"/>
              <w:jc w:val="center"/>
              <w:rPr>
                <w:rFonts w:ascii="Arial" w:hAnsi="Arial" w:cs="Arial"/>
              </w:rPr>
            </w:pPr>
            <w:r>
              <w:rPr>
                <w:rFonts w:ascii="Arial" w:hAnsi="Arial" w:cs="Arial"/>
              </w:rPr>
              <w:t>Positive NSI in root hair</w:t>
            </w:r>
          </w:p>
        </w:tc>
        <w:tc>
          <w:tcPr>
            <w:tcW w:w="2706" w:type="dxa"/>
          </w:tcPr>
          <w:p w:rsidR="008B38E4" w:rsidRDefault="008B38E4" w:rsidP="00623FF5">
            <w:pPr>
              <w:spacing w:after="0" w:line="240" w:lineRule="auto"/>
              <w:jc w:val="center"/>
              <w:rPr>
                <w:rFonts w:ascii="Arial" w:hAnsi="Arial" w:cs="Arial"/>
              </w:rPr>
            </w:pPr>
            <w:r>
              <w:rPr>
                <w:rFonts w:ascii="Arial" w:hAnsi="Arial" w:cs="Arial"/>
              </w:rPr>
              <w:t>5</w:t>
            </w:r>
          </w:p>
        </w:tc>
        <w:tc>
          <w:tcPr>
            <w:tcW w:w="2700" w:type="dxa"/>
          </w:tcPr>
          <w:p w:rsidR="008B38E4" w:rsidRDefault="008B38E4" w:rsidP="00623FF5">
            <w:pPr>
              <w:spacing w:after="0" w:line="240" w:lineRule="auto"/>
              <w:jc w:val="center"/>
              <w:rPr>
                <w:rFonts w:ascii="Arial" w:hAnsi="Arial" w:cs="Arial"/>
              </w:rPr>
            </w:pPr>
            <w:r>
              <w:rPr>
                <w:rFonts w:ascii="Arial" w:hAnsi="Arial" w:cs="Arial"/>
              </w:rPr>
              <w:t>4</w:t>
            </w:r>
          </w:p>
        </w:tc>
      </w:tr>
    </w:tbl>
    <w:p w:rsidR="008B38E4" w:rsidRPr="00633001" w:rsidRDefault="008B38E4" w:rsidP="008B38E4">
      <w:pPr>
        <w:jc w:val="both"/>
        <w:rPr>
          <w:rFonts w:ascii="Arial" w:hAnsi="Arial" w:cs="Arial"/>
        </w:rPr>
      </w:pPr>
    </w:p>
    <w:p w:rsidR="0073723F" w:rsidRPr="0039373F" w:rsidRDefault="003826AB" w:rsidP="00BB59EC">
      <w:pPr>
        <w:spacing w:after="0" w:line="240" w:lineRule="auto"/>
        <w:jc w:val="both"/>
        <w:rPr>
          <w:rFonts w:ascii="Arial" w:hAnsi="Arial" w:cs="Arial"/>
        </w:rPr>
      </w:pPr>
      <w:r>
        <w:rPr>
          <w:rFonts w:ascii="Arial" w:hAnsi="Arial" w:cs="Arial"/>
        </w:rPr>
        <w:fldChar w:fldCharType="begin"/>
      </w:r>
      <w:r w:rsidR="00BA4CA1">
        <w:rPr>
          <w:rFonts w:ascii="Arial" w:hAnsi="Arial" w:cs="Arial"/>
        </w:rPr>
        <w:instrText xml:space="preserve"> ADDIN </w:instrText>
      </w:r>
      <w:r>
        <w:rPr>
          <w:rFonts w:ascii="Arial" w:hAnsi="Arial" w:cs="Arial"/>
        </w:rPr>
        <w:fldChar w:fldCharType="end"/>
      </w:r>
    </w:p>
    <w:sectPr w:rsidR="0073723F" w:rsidRPr="0039373F" w:rsidSect="00B30F7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rvinEndNotesFinal3.enl&lt;/item&gt;&lt;/Libraries&gt;&lt;/ENLibraries&gt;"/>
  </w:docVars>
  <w:rsids>
    <w:rsidRoot w:val="005452D3"/>
    <w:rsid w:val="00005722"/>
    <w:rsid w:val="00012218"/>
    <w:rsid w:val="00014C26"/>
    <w:rsid w:val="00021271"/>
    <w:rsid w:val="00034C80"/>
    <w:rsid w:val="00042AB5"/>
    <w:rsid w:val="0004383B"/>
    <w:rsid w:val="00046157"/>
    <w:rsid w:val="00061044"/>
    <w:rsid w:val="00063F8F"/>
    <w:rsid w:val="0006453D"/>
    <w:rsid w:val="00064937"/>
    <w:rsid w:val="00071D68"/>
    <w:rsid w:val="0008543D"/>
    <w:rsid w:val="00097033"/>
    <w:rsid w:val="00097ADA"/>
    <w:rsid w:val="00097C72"/>
    <w:rsid w:val="000A08C5"/>
    <w:rsid w:val="000A1D39"/>
    <w:rsid w:val="000A2642"/>
    <w:rsid w:val="000B29E8"/>
    <w:rsid w:val="000C67E6"/>
    <w:rsid w:val="000D0E5A"/>
    <w:rsid w:val="000E2241"/>
    <w:rsid w:val="000E2D34"/>
    <w:rsid w:val="000E7EE3"/>
    <w:rsid w:val="001136E3"/>
    <w:rsid w:val="001163DF"/>
    <w:rsid w:val="00122B32"/>
    <w:rsid w:val="00140557"/>
    <w:rsid w:val="00142380"/>
    <w:rsid w:val="001448A7"/>
    <w:rsid w:val="00145EEE"/>
    <w:rsid w:val="001564ED"/>
    <w:rsid w:val="001671BB"/>
    <w:rsid w:val="00192DF5"/>
    <w:rsid w:val="00196529"/>
    <w:rsid w:val="001971CC"/>
    <w:rsid w:val="001A20CA"/>
    <w:rsid w:val="001A25F5"/>
    <w:rsid w:val="001A32E9"/>
    <w:rsid w:val="001A42DE"/>
    <w:rsid w:val="001B0B8D"/>
    <w:rsid w:val="001B28B3"/>
    <w:rsid w:val="001B6E62"/>
    <w:rsid w:val="001B772C"/>
    <w:rsid w:val="001C128A"/>
    <w:rsid w:val="001D3AB2"/>
    <w:rsid w:val="001D563E"/>
    <w:rsid w:val="001D6EFE"/>
    <w:rsid w:val="001E3F4F"/>
    <w:rsid w:val="0020017E"/>
    <w:rsid w:val="00204CB8"/>
    <w:rsid w:val="002054AC"/>
    <w:rsid w:val="00207D32"/>
    <w:rsid w:val="00212467"/>
    <w:rsid w:val="00223553"/>
    <w:rsid w:val="00234DA0"/>
    <w:rsid w:val="00241873"/>
    <w:rsid w:val="002461DB"/>
    <w:rsid w:val="00250714"/>
    <w:rsid w:val="0025134E"/>
    <w:rsid w:val="00262399"/>
    <w:rsid w:val="002815DF"/>
    <w:rsid w:val="002841A9"/>
    <w:rsid w:val="00290974"/>
    <w:rsid w:val="002916ED"/>
    <w:rsid w:val="00295F4C"/>
    <w:rsid w:val="002B695A"/>
    <w:rsid w:val="002C10D5"/>
    <w:rsid w:val="002D31F8"/>
    <w:rsid w:val="002D5927"/>
    <w:rsid w:val="002D792D"/>
    <w:rsid w:val="002E0A78"/>
    <w:rsid w:val="002E3678"/>
    <w:rsid w:val="002E5A06"/>
    <w:rsid w:val="002F4268"/>
    <w:rsid w:val="002F4988"/>
    <w:rsid w:val="002F717A"/>
    <w:rsid w:val="003004CE"/>
    <w:rsid w:val="003024E9"/>
    <w:rsid w:val="003103D1"/>
    <w:rsid w:val="00320FE2"/>
    <w:rsid w:val="003232A2"/>
    <w:rsid w:val="0032347B"/>
    <w:rsid w:val="003254B0"/>
    <w:rsid w:val="00344838"/>
    <w:rsid w:val="00344A66"/>
    <w:rsid w:val="00346E07"/>
    <w:rsid w:val="00352A81"/>
    <w:rsid w:val="00354114"/>
    <w:rsid w:val="00357DC6"/>
    <w:rsid w:val="00365162"/>
    <w:rsid w:val="00367E06"/>
    <w:rsid w:val="003826AB"/>
    <w:rsid w:val="003856CD"/>
    <w:rsid w:val="0039373F"/>
    <w:rsid w:val="003967AF"/>
    <w:rsid w:val="003A01EB"/>
    <w:rsid w:val="003C7A80"/>
    <w:rsid w:val="003D3947"/>
    <w:rsid w:val="003D4C7E"/>
    <w:rsid w:val="003D7AD3"/>
    <w:rsid w:val="003E144E"/>
    <w:rsid w:val="003E7E26"/>
    <w:rsid w:val="0040712C"/>
    <w:rsid w:val="00416D6E"/>
    <w:rsid w:val="00440816"/>
    <w:rsid w:val="0044247D"/>
    <w:rsid w:val="004438C1"/>
    <w:rsid w:val="004471D8"/>
    <w:rsid w:val="0045606E"/>
    <w:rsid w:val="00470629"/>
    <w:rsid w:val="00485831"/>
    <w:rsid w:val="00485B97"/>
    <w:rsid w:val="004B0C14"/>
    <w:rsid w:val="004B1312"/>
    <w:rsid w:val="004B1B06"/>
    <w:rsid w:val="004C3330"/>
    <w:rsid w:val="004C3F68"/>
    <w:rsid w:val="004D34A3"/>
    <w:rsid w:val="004E0485"/>
    <w:rsid w:val="004F762F"/>
    <w:rsid w:val="00500C03"/>
    <w:rsid w:val="0051275A"/>
    <w:rsid w:val="00514B78"/>
    <w:rsid w:val="00534966"/>
    <w:rsid w:val="00537F75"/>
    <w:rsid w:val="00541776"/>
    <w:rsid w:val="0054324B"/>
    <w:rsid w:val="005452D3"/>
    <w:rsid w:val="0056212B"/>
    <w:rsid w:val="0056349D"/>
    <w:rsid w:val="00580E22"/>
    <w:rsid w:val="0059563D"/>
    <w:rsid w:val="00595EEB"/>
    <w:rsid w:val="00597DB2"/>
    <w:rsid w:val="005A5990"/>
    <w:rsid w:val="005B24E0"/>
    <w:rsid w:val="005B31E9"/>
    <w:rsid w:val="005C3C5B"/>
    <w:rsid w:val="005C50AB"/>
    <w:rsid w:val="005D58F8"/>
    <w:rsid w:val="005D6763"/>
    <w:rsid w:val="005E0CD8"/>
    <w:rsid w:val="005E15D6"/>
    <w:rsid w:val="005E5957"/>
    <w:rsid w:val="005F1D3C"/>
    <w:rsid w:val="005F4079"/>
    <w:rsid w:val="005F5577"/>
    <w:rsid w:val="00601444"/>
    <w:rsid w:val="00613DAA"/>
    <w:rsid w:val="00614C9B"/>
    <w:rsid w:val="006229DA"/>
    <w:rsid w:val="00624042"/>
    <w:rsid w:val="006251BD"/>
    <w:rsid w:val="0062773E"/>
    <w:rsid w:val="00633001"/>
    <w:rsid w:val="00636D18"/>
    <w:rsid w:val="006379F3"/>
    <w:rsid w:val="0064510F"/>
    <w:rsid w:val="00660473"/>
    <w:rsid w:val="00661F80"/>
    <w:rsid w:val="006629D7"/>
    <w:rsid w:val="00665F3B"/>
    <w:rsid w:val="00676DAA"/>
    <w:rsid w:val="006805F2"/>
    <w:rsid w:val="006A3A2A"/>
    <w:rsid w:val="006B2572"/>
    <w:rsid w:val="006B390B"/>
    <w:rsid w:val="006C1BEA"/>
    <w:rsid w:val="006D7887"/>
    <w:rsid w:val="006E0982"/>
    <w:rsid w:val="006E3FCE"/>
    <w:rsid w:val="006E4BD1"/>
    <w:rsid w:val="007042FD"/>
    <w:rsid w:val="0070548B"/>
    <w:rsid w:val="00705A55"/>
    <w:rsid w:val="00711843"/>
    <w:rsid w:val="00717C20"/>
    <w:rsid w:val="007211D1"/>
    <w:rsid w:val="007211F7"/>
    <w:rsid w:val="007308BA"/>
    <w:rsid w:val="007327EF"/>
    <w:rsid w:val="007328BD"/>
    <w:rsid w:val="00735127"/>
    <w:rsid w:val="0073723F"/>
    <w:rsid w:val="00747073"/>
    <w:rsid w:val="00767C86"/>
    <w:rsid w:val="00774236"/>
    <w:rsid w:val="007B2481"/>
    <w:rsid w:val="007B5991"/>
    <w:rsid w:val="007D15B9"/>
    <w:rsid w:val="007E1FF4"/>
    <w:rsid w:val="007F201D"/>
    <w:rsid w:val="007F5E53"/>
    <w:rsid w:val="007F6885"/>
    <w:rsid w:val="00802659"/>
    <w:rsid w:val="00804CED"/>
    <w:rsid w:val="00816666"/>
    <w:rsid w:val="008200CD"/>
    <w:rsid w:val="00834F9C"/>
    <w:rsid w:val="008355EF"/>
    <w:rsid w:val="00840DE1"/>
    <w:rsid w:val="008546F6"/>
    <w:rsid w:val="008551D4"/>
    <w:rsid w:val="008565B1"/>
    <w:rsid w:val="00861597"/>
    <w:rsid w:val="00861A25"/>
    <w:rsid w:val="00863278"/>
    <w:rsid w:val="008676FF"/>
    <w:rsid w:val="00867F8D"/>
    <w:rsid w:val="00871530"/>
    <w:rsid w:val="00873FF7"/>
    <w:rsid w:val="0087625A"/>
    <w:rsid w:val="008833DD"/>
    <w:rsid w:val="00885483"/>
    <w:rsid w:val="00890276"/>
    <w:rsid w:val="008B38E4"/>
    <w:rsid w:val="008B3FBD"/>
    <w:rsid w:val="008B76EC"/>
    <w:rsid w:val="008C6FC7"/>
    <w:rsid w:val="008D005D"/>
    <w:rsid w:val="008E5609"/>
    <w:rsid w:val="008F71E9"/>
    <w:rsid w:val="00904F83"/>
    <w:rsid w:val="009118EF"/>
    <w:rsid w:val="00911D26"/>
    <w:rsid w:val="00920689"/>
    <w:rsid w:val="00931E08"/>
    <w:rsid w:val="00935C96"/>
    <w:rsid w:val="009434FE"/>
    <w:rsid w:val="0095374E"/>
    <w:rsid w:val="00980E01"/>
    <w:rsid w:val="00981CE3"/>
    <w:rsid w:val="009A5081"/>
    <w:rsid w:val="009B1F6E"/>
    <w:rsid w:val="009B69F2"/>
    <w:rsid w:val="009C5307"/>
    <w:rsid w:val="009D1D93"/>
    <w:rsid w:val="009E219C"/>
    <w:rsid w:val="009F06C8"/>
    <w:rsid w:val="009F2BD9"/>
    <w:rsid w:val="009F68DF"/>
    <w:rsid w:val="00A00429"/>
    <w:rsid w:val="00A06A94"/>
    <w:rsid w:val="00A13EDD"/>
    <w:rsid w:val="00A33488"/>
    <w:rsid w:val="00A36607"/>
    <w:rsid w:val="00A36A04"/>
    <w:rsid w:val="00A47116"/>
    <w:rsid w:val="00A505C1"/>
    <w:rsid w:val="00A67A4E"/>
    <w:rsid w:val="00A67B98"/>
    <w:rsid w:val="00A70D4C"/>
    <w:rsid w:val="00A8228D"/>
    <w:rsid w:val="00A90848"/>
    <w:rsid w:val="00A97CA0"/>
    <w:rsid w:val="00AB0C06"/>
    <w:rsid w:val="00AB4538"/>
    <w:rsid w:val="00AB4FBA"/>
    <w:rsid w:val="00AE00C4"/>
    <w:rsid w:val="00AE27DA"/>
    <w:rsid w:val="00AF35D8"/>
    <w:rsid w:val="00AF61D6"/>
    <w:rsid w:val="00B01F95"/>
    <w:rsid w:val="00B028B7"/>
    <w:rsid w:val="00B1152A"/>
    <w:rsid w:val="00B16E37"/>
    <w:rsid w:val="00B17BD3"/>
    <w:rsid w:val="00B24F67"/>
    <w:rsid w:val="00B30F7B"/>
    <w:rsid w:val="00B34438"/>
    <w:rsid w:val="00B462E5"/>
    <w:rsid w:val="00B542C0"/>
    <w:rsid w:val="00B61D21"/>
    <w:rsid w:val="00B67462"/>
    <w:rsid w:val="00B76D8F"/>
    <w:rsid w:val="00B80504"/>
    <w:rsid w:val="00B80907"/>
    <w:rsid w:val="00B941D6"/>
    <w:rsid w:val="00BA4CA1"/>
    <w:rsid w:val="00BA6E6F"/>
    <w:rsid w:val="00BB167C"/>
    <w:rsid w:val="00BB24DD"/>
    <w:rsid w:val="00BB5171"/>
    <w:rsid w:val="00BB59EC"/>
    <w:rsid w:val="00BC050C"/>
    <w:rsid w:val="00BD43AB"/>
    <w:rsid w:val="00BD7DD3"/>
    <w:rsid w:val="00BE5593"/>
    <w:rsid w:val="00BF41BE"/>
    <w:rsid w:val="00C042E8"/>
    <w:rsid w:val="00C0630A"/>
    <w:rsid w:val="00C109D7"/>
    <w:rsid w:val="00C17E3D"/>
    <w:rsid w:val="00C22362"/>
    <w:rsid w:val="00C23DA8"/>
    <w:rsid w:val="00C27C1D"/>
    <w:rsid w:val="00C34228"/>
    <w:rsid w:val="00C41851"/>
    <w:rsid w:val="00C44D0C"/>
    <w:rsid w:val="00C50AD7"/>
    <w:rsid w:val="00C61F4E"/>
    <w:rsid w:val="00C64FCF"/>
    <w:rsid w:val="00C724AE"/>
    <w:rsid w:val="00C72C5C"/>
    <w:rsid w:val="00C76A02"/>
    <w:rsid w:val="00C77D1B"/>
    <w:rsid w:val="00C77E57"/>
    <w:rsid w:val="00C93D15"/>
    <w:rsid w:val="00CA2373"/>
    <w:rsid w:val="00CA583C"/>
    <w:rsid w:val="00CB3B87"/>
    <w:rsid w:val="00CC2B0A"/>
    <w:rsid w:val="00CE05DC"/>
    <w:rsid w:val="00CF1EF8"/>
    <w:rsid w:val="00CF60F3"/>
    <w:rsid w:val="00D04238"/>
    <w:rsid w:val="00D10083"/>
    <w:rsid w:val="00D140E4"/>
    <w:rsid w:val="00D22D01"/>
    <w:rsid w:val="00D501E5"/>
    <w:rsid w:val="00D52FEE"/>
    <w:rsid w:val="00D55472"/>
    <w:rsid w:val="00D61B01"/>
    <w:rsid w:val="00D64CD4"/>
    <w:rsid w:val="00D71168"/>
    <w:rsid w:val="00D7174C"/>
    <w:rsid w:val="00D73773"/>
    <w:rsid w:val="00D76CF7"/>
    <w:rsid w:val="00D87751"/>
    <w:rsid w:val="00D87812"/>
    <w:rsid w:val="00D94BF8"/>
    <w:rsid w:val="00DA7650"/>
    <w:rsid w:val="00DB3307"/>
    <w:rsid w:val="00DB3554"/>
    <w:rsid w:val="00DC1B9E"/>
    <w:rsid w:val="00DE19E8"/>
    <w:rsid w:val="00DE533E"/>
    <w:rsid w:val="00DF187D"/>
    <w:rsid w:val="00DF2A51"/>
    <w:rsid w:val="00E0258A"/>
    <w:rsid w:val="00E02F12"/>
    <w:rsid w:val="00E04930"/>
    <w:rsid w:val="00E07CDC"/>
    <w:rsid w:val="00E1188B"/>
    <w:rsid w:val="00E13B86"/>
    <w:rsid w:val="00E254FC"/>
    <w:rsid w:val="00E30FD2"/>
    <w:rsid w:val="00E340CE"/>
    <w:rsid w:val="00E53EC2"/>
    <w:rsid w:val="00E62A63"/>
    <w:rsid w:val="00E77B56"/>
    <w:rsid w:val="00E905FD"/>
    <w:rsid w:val="00E90D30"/>
    <w:rsid w:val="00E97ABB"/>
    <w:rsid w:val="00EA7E7A"/>
    <w:rsid w:val="00EB1B97"/>
    <w:rsid w:val="00EC25B4"/>
    <w:rsid w:val="00EC68AE"/>
    <w:rsid w:val="00ED0D2F"/>
    <w:rsid w:val="00ED2572"/>
    <w:rsid w:val="00EE0373"/>
    <w:rsid w:val="00EE0B15"/>
    <w:rsid w:val="00EE54F8"/>
    <w:rsid w:val="00EE575C"/>
    <w:rsid w:val="00EE6ED8"/>
    <w:rsid w:val="00EF393F"/>
    <w:rsid w:val="00F15877"/>
    <w:rsid w:val="00F22989"/>
    <w:rsid w:val="00F22D30"/>
    <w:rsid w:val="00F36C49"/>
    <w:rsid w:val="00F50A44"/>
    <w:rsid w:val="00F54DCA"/>
    <w:rsid w:val="00F670A6"/>
    <w:rsid w:val="00F700F5"/>
    <w:rsid w:val="00F76958"/>
    <w:rsid w:val="00F93B18"/>
    <w:rsid w:val="00FA4AAA"/>
    <w:rsid w:val="00FA7D54"/>
    <w:rsid w:val="00FB0520"/>
    <w:rsid w:val="00FB13CA"/>
    <w:rsid w:val="00FB368B"/>
    <w:rsid w:val="00FB4C39"/>
    <w:rsid w:val="00FB539F"/>
    <w:rsid w:val="00FB5A85"/>
    <w:rsid w:val="00FB7D5F"/>
    <w:rsid w:val="00FF16C8"/>
    <w:rsid w:val="00FF2E75"/>
    <w:rsid w:val="00FF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7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34A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D34A3"/>
    <w:rPr>
      <w:rFonts w:ascii="Cambria" w:eastAsia="SimSun" w:hAnsi="Cambria" w:cs="Times New Roman"/>
      <w:b/>
      <w:bCs/>
      <w:kern w:val="28"/>
      <w:sz w:val="32"/>
      <w:szCs w:val="32"/>
    </w:rPr>
  </w:style>
  <w:style w:type="paragraph" w:styleId="BalloonText">
    <w:name w:val="Balloon Text"/>
    <w:basedOn w:val="Normal"/>
    <w:link w:val="BalloonTextChar"/>
    <w:uiPriority w:val="99"/>
    <w:semiHidden/>
    <w:unhideWhenUsed/>
    <w:rsid w:val="00E77B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77B56"/>
    <w:rPr>
      <w:rFonts w:ascii="Tahoma" w:hAnsi="Tahoma" w:cs="Tahoma"/>
      <w:sz w:val="16"/>
      <w:szCs w:val="16"/>
      <w:lang w:eastAsia="zh-CN"/>
    </w:rPr>
  </w:style>
  <w:style w:type="paragraph" w:styleId="Caption">
    <w:name w:val="caption"/>
    <w:basedOn w:val="Normal"/>
    <w:next w:val="Normal"/>
    <w:uiPriority w:val="35"/>
    <w:qFormat/>
    <w:rsid w:val="00E77B56"/>
    <w:rPr>
      <w:b/>
      <w:bCs/>
      <w:sz w:val="20"/>
      <w:szCs w:val="20"/>
    </w:rPr>
  </w:style>
  <w:style w:type="character" w:styleId="Hyperlink">
    <w:name w:val="Hyperlink"/>
    <w:uiPriority w:val="99"/>
    <w:semiHidden/>
    <w:unhideWhenUsed/>
    <w:rsid w:val="00935C96"/>
    <w:rPr>
      <w:color w:val="0000FF"/>
      <w:u w:val="single"/>
    </w:rPr>
  </w:style>
  <w:style w:type="character" w:styleId="CommentReference">
    <w:name w:val="annotation reference"/>
    <w:uiPriority w:val="99"/>
    <w:semiHidden/>
    <w:unhideWhenUsed/>
    <w:rsid w:val="005F1D3C"/>
    <w:rPr>
      <w:sz w:val="16"/>
      <w:szCs w:val="16"/>
    </w:rPr>
  </w:style>
  <w:style w:type="paragraph" w:styleId="CommentText">
    <w:name w:val="annotation text"/>
    <w:basedOn w:val="Normal"/>
    <w:link w:val="CommentTextChar"/>
    <w:uiPriority w:val="99"/>
    <w:semiHidden/>
    <w:unhideWhenUsed/>
    <w:rsid w:val="005F1D3C"/>
    <w:rPr>
      <w:sz w:val="20"/>
      <w:szCs w:val="20"/>
    </w:rPr>
  </w:style>
  <w:style w:type="character" w:customStyle="1" w:styleId="CommentTextChar">
    <w:name w:val="Comment Text Char"/>
    <w:link w:val="CommentText"/>
    <w:uiPriority w:val="99"/>
    <w:semiHidden/>
    <w:rsid w:val="005F1D3C"/>
    <w:rPr>
      <w:lang w:eastAsia="zh-CN"/>
    </w:rPr>
  </w:style>
  <w:style w:type="paragraph" w:styleId="CommentSubject">
    <w:name w:val="annotation subject"/>
    <w:basedOn w:val="CommentText"/>
    <w:next w:val="CommentText"/>
    <w:link w:val="CommentSubjectChar"/>
    <w:uiPriority w:val="99"/>
    <w:semiHidden/>
    <w:unhideWhenUsed/>
    <w:rsid w:val="005F1D3C"/>
    <w:rPr>
      <w:b/>
      <w:bCs/>
    </w:rPr>
  </w:style>
  <w:style w:type="character" w:customStyle="1" w:styleId="CommentSubjectChar">
    <w:name w:val="Comment Subject Char"/>
    <w:link w:val="CommentSubject"/>
    <w:uiPriority w:val="99"/>
    <w:semiHidden/>
    <w:rsid w:val="005F1D3C"/>
    <w:rPr>
      <w:b/>
      <w:bCs/>
      <w:lang w:eastAsia="zh-CN"/>
    </w:rPr>
  </w:style>
  <w:style w:type="paragraph" w:styleId="Revision">
    <w:name w:val="Revision"/>
    <w:hidden/>
    <w:uiPriority w:val="99"/>
    <w:semiHidden/>
    <w:rsid w:val="009434FE"/>
    <w:rPr>
      <w:sz w:val="22"/>
      <w:szCs w:val="22"/>
      <w:lang w:eastAsia="zh-CN"/>
    </w:rPr>
  </w:style>
  <w:style w:type="table" w:styleId="TableGrid">
    <w:name w:val="Table Grid"/>
    <w:basedOn w:val="TableNormal"/>
    <w:uiPriority w:val="59"/>
    <w:rsid w:val="000A1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Supplemental Material</vt:lpstr>
    </vt:vector>
  </TitlesOfParts>
  <Company>Toshiba</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dc:title>
  <dc:subject/>
  <dc:creator>JoAnne</dc:creator>
  <cp:keywords/>
  <cp:lastModifiedBy>jhan</cp:lastModifiedBy>
  <cp:revision>126</cp:revision>
  <cp:lastPrinted>2011-10-21T20:37:00Z</cp:lastPrinted>
  <dcterms:created xsi:type="dcterms:W3CDTF">2011-10-19T20:21:00Z</dcterms:created>
  <dcterms:modified xsi:type="dcterms:W3CDTF">2011-11-22T00:40:00Z</dcterms:modified>
</cp:coreProperties>
</file>