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39ED9" w14:textId="77777777" w:rsidR="00FB59A7" w:rsidRPr="00CD24C1" w:rsidRDefault="00FB59A7" w:rsidP="00FB59A7">
      <w:pPr>
        <w:pStyle w:val="TOCHeading"/>
        <w:spacing w:line="480" w:lineRule="auto"/>
        <w:outlineLvl w:val="0"/>
        <w:rPr>
          <w:rFonts w:ascii="Times New Roman" w:hAnsi="Times New Roman" w:cs="Times New Roman"/>
          <w:color w:val="000000" w:themeColor="text1"/>
          <w:lang w:val="en-GB"/>
        </w:rPr>
      </w:pPr>
      <w:bookmarkStart w:id="0" w:name="_Toc22290758"/>
      <w:r w:rsidRPr="00AE77FA">
        <w:rPr>
          <w:rFonts w:ascii="Times New Roman" w:hAnsi="Times New Roman" w:cs="Times New Roman"/>
          <w:color w:val="000000" w:themeColor="text1"/>
          <w:lang w:val="en-GB"/>
        </w:rPr>
        <w:t>S2 Text: Sensitivity analyses.</w:t>
      </w:r>
      <w:bookmarkEnd w:id="0"/>
    </w:p>
    <w:p w14:paraId="2901D109" w14:textId="77777777" w:rsidR="00FB59A7" w:rsidRPr="00CD24C1" w:rsidRDefault="00FB59A7" w:rsidP="00FB59A7">
      <w:pPr>
        <w:spacing w:line="480" w:lineRule="auto"/>
        <w:rPr>
          <w:rFonts w:ascii="Times New Roman" w:hAnsi="Times New Roman" w:cs="Times New Roman"/>
          <w:b/>
          <w:lang w:val="en-GB"/>
        </w:rPr>
      </w:pPr>
      <w:r w:rsidRPr="007C3F67">
        <w:rPr>
          <w:rFonts w:ascii="Times New Roman" w:hAnsi="Times New Roman" w:cs="Times New Roman"/>
          <w:b/>
          <w:lang w:val="en-GB"/>
        </w:rPr>
        <w:t>Description of different components of the model that were tested</w:t>
      </w:r>
    </w:p>
    <w:p w14:paraId="45BD16D1" w14:textId="77777777" w:rsidR="00FB59A7" w:rsidRPr="007C3F67" w:rsidRDefault="00FB59A7" w:rsidP="00FB59A7">
      <w:pPr>
        <w:spacing w:line="480" w:lineRule="auto"/>
        <w:ind w:firstLine="720"/>
        <w:rPr>
          <w:rFonts w:ascii="Times New Roman" w:hAnsi="Times New Roman" w:cs="Times New Roman"/>
          <w:lang w:val="en-GB"/>
        </w:rPr>
      </w:pPr>
      <w:r w:rsidRPr="007C3F67">
        <w:rPr>
          <w:rFonts w:ascii="Times New Roman" w:hAnsi="Times New Roman" w:cs="Times New Roman"/>
          <w:lang w:val="en-GB"/>
        </w:rPr>
        <w:t>We performed several sensitivity analyses to test the robustness of our model assumptions. We examined different components of the model, including our method of imputing missing data, the addition of small values to the reported death counts prior to log-transformation (to avoid taking the log of zero), the duration (or inclusion) of waning immunity, and the inclusion of chronic carriers in our TSIR models. We determined the impact of these assumptions on the seasonal and long-term transmission parameters, the relationship with the overall investment variables identified by the hierarchical regression models, and estimates of the heterogeneous mixing parameter (</w:t>
      </w:r>
      <w:r w:rsidRPr="007C3F67">
        <w:rPr>
          <w:rFonts w:ascii="Times New Roman" w:hAnsi="Times New Roman" w:cs="Times New Roman"/>
          <w:i/>
          <w:lang w:val="en-GB"/>
        </w:rPr>
        <w:sym w:font="Symbol" w:char="F061"/>
      </w:r>
      <w:r w:rsidRPr="007C3F67">
        <w:rPr>
          <w:rFonts w:ascii="Times New Roman" w:hAnsi="Times New Roman" w:cs="Times New Roman"/>
          <w:lang w:val="en-GB"/>
        </w:rPr>
        <w:t>). The results of these sensitivity analyses can be found in S21-36 Figs and S8-10 tables.</w:t>
      </w:r>
    </w:p>
    <w:p w14:paraId="022133E2" w14:textId="77777777" w:rsidR="00FB59A7" w:rsidRPr="00CD24C1" w:rsidRDefault="00FB59A7" w:rsidP="00FB59A7">
      <w:pPr>
        <w:spacing w:line="480" w:lineRule="auto"/>
        <w:rPr>
          <w:rFonts w:ascii="Times New Roman" w:hAnsi="Times New Roman" w:cs="Times New Roman"/>
          <w:b/>
          <w:i/>
          <w:lang w:val="en-GB"/>
        </w:rPr>
      </w:pPr>
      <w:r w:rsidRPr="00CD24C1">
        <w:rPr>
          <w:rFonts w:ascii="Times New Roman" w:hAnsi="Times New Roman" w:cs="Times New Roman"/>
          <w:b/>
          <w:i/>
          <w:lang w:val="en-GB"/>
        </w:rPr>
        <w:t>Missing data</w:t>
      </w:r>
    </w:p>
    <w:p w14:paraId="4ED0246A" w14:textId="17CC5F67" w:rsidR="00FB59A7" w:rsidRPr="007C3F67" w:rsidRDefault="00FB59A7" w:rsidP="00FB59A7">
      <w:pPr>
        <w:spacing w:line="480" w:lineRule="auto"/>
        <w:ind w:firstLine="720"/>
        <w:rPr>
          <w:rFonts w:ascii="Times New Roman" w:hAnsi="Times New Roman" w:cs="Times New Roman"/>
          <w:lang w:val="en-GB"/>
        </w:rPr>
      </w:pPr>
      <w:r w:rsidRPr="007C3F67">
        <w:rPr>
          <w:rFonts w:ascii="Times New Roman" w:hAnsi="Times New Roman" w:cs="Times New Roman"/>
          <w:lang w:val="en-GB"/>
        </w:rPr>
        <w:t>To address the issue of missing data, we had to make some decisions about what the meaning of the missing values might be. In many instances, cities only reported typhoid deaths if there were any; however, we had to differentiate between these zero counts and truly missing data points. For the primary analysis, we used a cut-off of 13 consecutive weeks to differentiate between when missing values represented zeros versus missing data. If there were fewer than 13 weeks of missing death counts, the data points were coded as zeroes, and if there were more, we used Kalman smoothing to impute the missing values</w:t>
      </w:r>
      <w:r>
        <w:rPr>
          <w:rFonts w:ascii="Times New Roman" w:hAnsi="Times New Roman" w:cs="Times New Roman"/>
          <w:lang w:val="en-GB"/>
        </w:rPr>
        <w:t xml:space="preserve"> based on the previous observation and the “filter,” updated at each time point </w:t>
      </w:r>
      <w:r>
        <w:rPr>
          <w:rFonts w:ascii="Times New Roman" w:hAnsi="Times New Roman" w:cs="Times New Roman"/>
          <w:lang w:val="en-GB"/>
        </w:rPr>
        <w:fldChar w:fldCharType="begin"/>
      </w:r>
      <w:r w:rsidR="004041C6">
        <w:rPr>
          <w:rFonts w:ascii="Times New Roman" w:hAnsi="Times New Roman" w:cs="Times New Roman"/>
          <w:lang w:val="en-GB"/>
        </w:rPr>
        <w:instrText xml:space="preserve"> ADDIN EN.CITE &lt;EndNote&gt;&lt;Cite&gt;&lt;Author&gt;Chui&lt;/Author&gt;&lt;Year&gt;1999&lt;/Year&gt;&lt;RecNum&gt;236&lt;/RecNum&gt;&lt;DisplayText&gt;(1, 2)&lt;/DisplayText&gt;&lt;record&gt;&lt;rec-number&gt;236&lt;/rec-number&gt;&lt;foreign-keys&gt;&lt;key app="EN" db-id="aztpwezd85exzqe9wxq59argfsrx5ssv0arr" timestamp="1572722747"&gt;236&lt;/key&gt;&lt;/foreign-keys&gt;&lt;ref-type name="Book"&gt;6&lt;/ref-type&gt;&lt;contributors&gt;&lt;authors&gt;&lt;author&gt;Chui, Charles K.&lt;/author&gt;&lt;author&gt;Chen, Guanrong&lt;/author&gt;&lt;/authors&gt;&lt;secondary-authors&gt;&lt;author&gt;Huang, Thomas S.&lt;/author&gt;&lt;author&gt;Kohonen, Teuvo&lt;/author&gt;&lt;author&gt;Schroeder, Manfred R.&lt;/author&gt;&lt;/secondary-authors&gt;&lt;/contributors&gt;&lt;titles&gt;&lt;title&gt;Kalman Filtering with Real-Time Applications&lt;/title&gt;&lt;secondary-title&gt;Springer Series in Information Sciences&lt;/secondary-title&gt;&lt;/titles&gt;&lt;number&gt;17&lt;/number&gt;&lt;edition&gt;3&lt;/edition&gt;&lt;keywords&gt;&lt;keyword&gt;##&lt;/keyword&gt;&lt;/keywords&gt;&lt;dates&gt;&lt;year&gt;1999&lt;/year&gt;&lt;/dates&gt;&lt;pub-location&gt;Berlin&lt;/pub-location&gt;&lt;publisher&gt;Springer-Verlag&lt;/publisher&gt;&lt;urls&gt;&lt;/urls&gt;&lt;/record&gt;&lt;/Cite&gt;&lt;Cite&gt;&lt;Author&gt;Harvey&lt;/Author&gt;&lt;Year&gt;1989&lt;/Year&gt;&lt;RecNum&gt;235&lt;/RecNum&gt;&lt;record&gt;&lt;rec-number&gt;235&lt;/rec-number&gt;&lt;foreign-keys&gt;&lt;key app="EN" db-id="aztpwezd85exzqe9wxq59argfsrx5ssv0arr" timestamp="1572722747"&gt;235&lt;/key&gt;&lt;/foreign-keys&gt;&lt;ref-type name="Book"&gt;6&lt;/ref-type&gt;&lt;contributors&gt;&lt;authors&gt;&lt;author&gt;Harvey, Andrew C.&lt;/author&gt;&lt;/authors&gt;&lt;/contributors&gt;&lt;titles&gt;&lt;title&gt;Forecasting, structural times series models and the Kalman filter&lt;/title&gt;&lt;/titles&gt;&lt;keywords&gt;&lt;keyword&gt;##&lt;/keyword&gt;&lt;/keywords&gt;&lt;dates&gt;&lt;year&gt;1989&lt;/year&gt;&lt;/dates&gt;&lt;pub-location&gt;Cambridge, UK&lt;/pub-location&gt;&lt;publisher&gt;Press Syndicate of the University of Cambridge&lt;/publisher&gt;&lt;urls&gt;&lt;/urls&gt;&lt;/record&gt;&lt;/Cite&gt;&lt;/EndNote&gt;</w:instrText>
      </w:r>
      <w:r>
        <w:rPr>
          <w:rFonts w:ascii="Times New Roman" w:hAnsi="Times New Roman" w:cs="Times New Roman"/>
          <w:lang w:val="en-GB"/>
        </w:rPr>
        <w:fldChar w:fldCharType="separate"/>
      </w:r>
      <w:r w:rsidR="00330F61">
        <w:rPr>
          <w:rFonts w:ascii="Times New Roman" w:hAnsi="Times New Roman" w:cs="Times New Roman"/>
          <w:noProof/>
          <w:lang w:val="en-GB"/>
        </w:rPr>
        <w:t>(1, 2)</w:t>
      </w:r>
      <w:r>
        <w:rPr>
          <w:rFonts w:ascii="Times New Roman" w:hAnsi="Times New Roman" w:cs="Times New Roman"/>
          <w:lang w:val="en-GB"/>
        </w:rPr>
        <w:fldChar w:fldCharType="end"/>
      </w:r>
      <w:r w:rsidRPr="007C3F67">
        <w:rPr>
          <w:rFonts w:ascii="Times New Roman" w:hAnsi="Times New Roman" w:cs="Times New Roman"/>
          <w:lang w:val="en-GB"/>
        </w:rPr>
        <w:t>. Since this 13-week cut-off was arbitrarily chosen, we also fit the TSIR models using an 8-week and 26-week cut-off and compared the results.</w:t>
      </w:r>
    </w:p>
    <w:p w14:paraId="2211E302" w14:textId="77777777" w:rsidR="00FB59A7" w:rsidRPr="00CD24C1" w:rsidRDefault="00FB59A7" w:rsidP="00FB59A7">
      <w:pPr>
        <w:spacing w:line="480" w:lineRule="auto"/>
        <w:rPr>
          <w:rFonts w:ascii="Times New Roman" w:hAnsi="Times New Roman" w:cs="Times New Roman"/>
          <w:b/>
          <w:i/>
          <w:lang w:val="en-GB"/>
        </w:rPr>
      </w:pPr>
      <w:r w:rsidRPr="007C3F67">
        <w:rPr>
          <w:rFonts w:ascii="Times New Roman" w:hAnsi="Times New Roman" w:cs="Times New Roman"/>
          <w:b/>
          <w:i/>
          <w:lang w:val="en-GB"/>
        </w:rPr>
        <w:t>Log-transformation</w:t>
      </w:r>
    </w:p>
    <w:p w14:paraId="233E8ECF" w14:textId="77777777" w:rsidR="00FB59A7" w:rsidRPr="007C3F67" w:rsidRDefault="00FB59A7" w:rsidP="00FB59A7">
      <w:pPr>
        <w:spacing w:line="480" w:lineRule="auto"/>
        <w:ind w:firstLine="720"/>
        <w:rPr>
          <w:rFonts w:ascii="Times New Roman" w:hAnsi="Times New Roman" w:cs="Times New Roman"/>
          <w:lang w:val="en-GB"/>
        </w:rPr>
      </w:pPr>
      <w:r w:rsidRPr="007C3F67">
        <w:rPr>
          <w:rFonts w:ascii="Times New Roman" w:hAnsi="Times New Roman" w:cs="Times New Roman"/>
          <w:lang w:val="en-GB"/>
        </w:rPr>
        <w:lastRenderedPageBreak/>
        <w:t>Some of the death counts were zero, which posed a problem for the logarithmic transformation in our main TSIR model equation. In our main analysis, we added one to every data point to preserve the shape of the distribution. As a sensitivity analysis, we re-ran all of the models instead adding 0.5 to every data point to compare the impact of this assumption.</w:t>
      </w:r>
    </w:p>
    <w:p w14:paraId="31F94ED3" w14:textId="77777777" w:rsidR="00FB59A7" w:rsidRPr="00CD24C1" w:rsidRDefault="00FB59A7" w:rsidP="00FB59A7">
      <w:pPr>
        <w:spacing w:line="480" w:lineRule="auto"/>
        <w:rPr>
          <w:rFonts w:ascii="Times New Roman" w:hAnsi="Times New Roman" w:cs="Times New Roman"/>
          <w:b/>
          <w:i/>
          <w:lang w:val="en-GB"/>
        </w:rPr>
      </w:pPr>
      <w:r w:rsidRPr="00CD24C1">
        <w:rPr>
          <w:rFonts w:ascii="Times New Roman" w:hAnsi="Times New Roman" w:cs="Times New Roman"/>
          <w:b/>
          <w:i/>
          <w:lang w:val="en-GB"/>
        </w:rPr>
        <w:t>Duration of immunity</w:t>
      </w:r>
    </w:p>
    <w:p w14:paraId="4451D443" w14:textId="77777777" w:rsidR="00FB59A7" w:rsidRPr="007C3F67" w:rsidRDefault="00FB59A7" w:rsidP="00FB59A7">
      <w:pPr>
        <w:spacing w:line="480" w:lineRule="auto"/>
        <w:ind w:firstLine="720"/>
        <w:rPr>
          <w:rFonts w:ascii="Times New Roman" w:eastAsiaTheme="minorEastAsia" w:hAnsi="Times New Roman" w:cs="Times New Roman"/>
          <w:color w:val="000000" w:themeColor="text1"/>
          <w:lang w:val="en-GB"/>
        </w:rPr>
      </w:pPr>
      <w:r w:rsidRPr="007C3F67">
        <w:rPr>
          <w:rFonts w:ascii="Times New Roman" w:eastAsiaTheme="minorEastAsia" w:hAnsi="Times New Roman" w:cs="Times New Roman"/>
          <w:color w:val="000000" w:themeColor="text1"/>
          <w:lang w:val="en-GB"/>
        </w:rPr>
        <w:t>Waning of immunity against typhoid infection is poorly understood. While epidemiological studies and human challenge studies indicate that individuals can be re-infected with typhoid after approximately one year, mathematical models of typhoid infection consistently estimate that immunity to typhoid disease is long-lived in order to explain why the incidence tends to decline with age, particularly in high incidence settings. We assessed the assumption of waning immunity in our model, fitting additional models assuming only one year of immunity following infection and models with no waning of immunity (i.e. lifelong immunity following infection).</w:t>
      </w:r>
    </w:p>
    <w:p w14:paraId="1248DF7E" w14:textId="77777777" w:rsidR="00FB59A7" w:rsidRPr="00CD24C1" w:rsidRDefault="00FB59A7" w:rsidP="00FB59A7">
      <w:pPr>
        <w:spacing w:line="480" w:lineRule="auto"/>
        <w:rPr>
          <w:rFonts w:ascii="Times New Roman" w:eastAsiaTheme="minorEastAsia" w:hAnsi="Times New Roman" w:cs="Times New Roman"/>
          <w:b/>
          <w:i/>
          <w:color w:val="000000" w:themeColor="text1"/>
          <w:lang w:val="en-GB"/>
        </w:rPr>
      </w:pPr>
      <w:r w:rsidRPr="00CD24C1">
        <w:rPr>
          <w:rFonts w:ascii="Times New Roman" w:eastAsiaTheme="minorEastAsia" w:hAnsi="Times New Roman" w:cs="Times New Roman"/>
          <w:b/>
          <w:i/>
          <w:color w:val="000000" w:themeColor="text1"/>
          <w:lang w:val="en-GB"/>
        </w:rPr>
        <w:t>Chronic carriers</w:t>
      </w:r>
    </w:p>
    <w:p w14:paraId="10B28D63" w14:textId="4BBC241A" w:rsidR="00FB59A7" w:rsidRPr="007C3F67" w:rsidRDefault="00FB59A7" w:rsidP="00FB59A7">
      <w:pPr>
        <w:spacing w:line="480" w:lineRule="auto"/>
        <w:ind w:firstLine="720"/>
        <w:rPr>
          <w:rFonts w:ascii="Times New Roman" w:hAnsi="Times New Roman" w:cs="Times New Roman"/>
          <w:lang w:val="en-GB"/>
        </w:rPr>
      </w:pPr>
      <w:r w:rsidRPr="007C3F67">
        <w:rPr>
          <w:rFonts w:ascii="Times New Roman" w:hAnsi="Times New Roman" w:cs="Times New Roman"/>
          <w:lang w:val="en-GB"/>
        </w:rPr>
        <w:t>In fitting the TSIR models, we noted that the heterogeneous mixing parameter (</w:t>
      </w:r>
      <m:oMath>
        <m:r>
          <w:rPr>
            <w:rFonts w:ascii="Cambria Math" w:hAnsi="Cambria Math" w:cs="Times New Roman"/>
            <w:lang w:val="en-GB"/>
          </w:rPr>
          <m:t>α)</m:t>
        </m:r>
      </m:oMath>
      <w:r w:rsidRPr="007C3F67">
        <w:rPr>
          <w:rFonts w:ascii="Times New Roman" w:eastAsiaTheme="minorEastAsia" w:hAnsi="Times New Roman" w:cs="Times New Roman"/>
          <w:lang w:val="en-GB"/>
        </w:rPr>
        <w:t xml:space="preserve"> was lower than estimated for other pathogens (e.g. measles) using TSIR models</w:t>
      </w:r>
      <w:r>
        <w:rPr>
          <w:rFonts w:ascii="Times New Roman" w:eastAsiaTheme="minorEastAsia" w:hAnsi="Times New Roman" w:cs="Times New Roman"/>
          <w:lang w:val="en-GB"/>
        </w:rPr>
        <w:t xml:space="preserve"> </w:t>
      </w:r>
      <w:r>
        <w:rPr>
          <w:rFonts w:ascii="Times New Roman" w:eastAsiaTheme="minorEastAsia" w:hAnsi="Times New Roman" w:cs="Times New Roman"/>
          <w:lang w:val="en-GB"/>
        </w:rPr>
        <w:fldChar w:fldCharType="begin"/>
      </w:r>
      <w:r w:rsidR="004041C6">
        <w:rPr>
          <w:rFonts w:ascii="Times New Roman" w:eastAsiaTheme="minorEastAsia" w:hAnsi="Times New Roman" w:cs="Times New Roman"/>
          <w:lang w:val="en-GB"/>
        </w:rPr>
        <w:instrText xml:space="preserve"> ADDIN EN.CITE &lt;EndNote&gt;&lt;Cite&gt;&lt;Author&gt;Bjørnstad&lt;/Author&gt;&lt;Year&gt;2002&lt;/Year&gt;&lt;RecNum&gt;154&lt;/RecNum&gt;&lt;DisplayText&gt;(3)&lt;/DisplayText&gt;&lt;record&gt;&lt;rec-number&gt;154&lt;/rec-number&gt;&lt;foreign-keys&gt;&lt;key app="EN" db-id="aztpwezd85exzqe9wxq59argfsrx5ssv0arr" timestamp="1541175672"&gt;154&lt;/key&gt;&lt;/foreign-keys&gt;&lt;ref-type name="Journal Article"&gt;17&lt;/ref-type&gt;&lt;contributors&gt;&lt;authors&gt;&lt;author&gt;Bjørnstad, Ottar&lt;/author&gt;&lt;author&gt;Finkenstädt, Bärbel&lt;/author&gt;&lt;author&gt;Grenfell, Bryan&lt;/author&gt;&lt;/authors&gt;&lt;/contributors&gt;&lt;titles&gt;&lt;title&gt;Dynamics of measles epidemics: Estimating scaling of transmission rates using a Time Series SIR model&lt;/title&gt;&lt;secondary-title&gt;Ecological Monographs&lt;/secondary-title&gt;&lt;/titles&gt;&lt;periodical&gt;&lt;full-title&gt;Ecological Monographs&lt;/full-title&gt;&lt;/periodical&gt;&lt;volume&gt;72&lt;/volume&gt;&lt;number&gt;2&lt;/number&gt;&lt;dates&gt;&lt;year&gt;2002&lt;/year&gt;&lt;/dates&gt;&lt;urls&gt;&lt;related-urls&gt;&lt;url&gt;https://esajournals.onlinelibrary.wiley.com/doi/abs/10.1890/0012-9615%282002%29072%5B0169%3ADOMEES%5D2.0.CO%3B2&lt;/url&gt;&lt;url&gt;https://esajournals.onlinelibrary.wiley.com/doi/pdf/10.1890/0012-9615%282002%29072%5B0169%3ADOMEES%5D2.0.CO%3B2&lt;/url&gt;&lt;/related-urls&gt;&lt;/urls&gt;&lt;electronic-resource-num&gt;10.1890/0012-9615(2002)072[0169:DOMEES]2.0.CO;2&lt;/electronic-resource-num&gt;&lt;/record&gt;&lt;/Cite&gt;&lt;/EndNote&gt;</w:instrText>
      </w:r>
      <w:r>
        <w:rPr>
          <w:rFonts w:ascii="Times New Roman" w:eastAsiaTheme="minorEastAsia" w:hAnsi="Times New Roman" w:cs="Times New Roman"/>
          <w:lang w:val="en-GB"/>
        </w:rPr>
        <w:fldChar w:fldCharType="separate"/>
      </w:r>
      <w:r w:rsidR="00330F61">
        <w:rPr>
          <w:rFonts w:ascii="Times New Roman" w:eastAsiaTheme="minorEastAsia" w:hAnsi="Times New Roman" w:cs="Times New Roman"/>
          <w:noProof/>
          <w:lang w:val="en-GB"/>
        </w:rPr>
        <w:t>(3)</w:t>
      </w:r>
      <w:r>
        <w:rPr>
          <w:rFonts w:ascii="Times New Roman" w:eastAsiaTheme="minorEastAsia" w:hAnsi="Times New Roman" w:cs="Times New Roman"/>
          <w:lang w:val="en-GB"/>
        </w:rPr>
        <w:fldChar w:fldCharType="end"/>
      </w:r>
      <w:r w:rsidRPr="007C3F67">
        <w:rPr>
          <w:rFonts w:ascii="Times New Roman" w:eastAsiaTheme="minorEastAsia" w:hAnsi="Times New Roman" w:cs="Times New Roman"/>
          <w:lang w:val="en-GB"/>
        </w:rPr>
        <w:t xml:space="preserve">. We hypothesized that this was likely due to the contribution of long-cycle transmission in the epidemiology of typhoid, i.e. transmission from chronic carriers and the environmental reservoir. To test this, we compared the </w:t>
      </w:r>
      <w:r w:rsidRPr="00CD24C1">
        <w:rPr>
          <w:rFonts w:ascii="Times New Roman" w:eastAsiaTheme="minorEastAsia" w:hAnsi="Times New Roman" w:cs="Times New Roman"/>
          <w:i/>
          <w:lang w:val="en-GB"/>
        </w:rPr>
        <w:sym w:font="Symbol" w:char="F061"/>
      </w:r>
      <w:r w:rsidRPr="007C3F67">
        <w:rPr>
          <w:rFonts w:ascii="Times New Roman" w:eastAsiaTheme="minorEastAsia" w:hAnsi="Times New Roman" w:cs="Times New Roman"/>
          <w:lang w:val="en-GB"/>
        </w:rPr>
        <w:t xml:space="preserve"> values estimated for TSIR models without waning immunity, without chronic carriers, or without either, and in the simple TSIR model (Equation S1).</w:t>
      </w:r>
    </w:p>
    <w:p w14:paraId="2CE6D3AD" w14:textId="77777777" w:rsidR="00FB59A7" w:rsidRPr="00CD24C1" w:rsidRDefault="00FB59A7" w:rsidP="00FB59A7">
      <w:pPr>
        <w:spacing w:line="480" w:lineRule="auto"/>
        <w:rPr>
          <w:rFonts w:ascii="Times New Roman" w:eastAsiaTheme="minorEastAsia" w:hAnsi="Times New Roman" w:cs="Times New Roman"/>
          <w:b/>
          <w:color w:val="000000" w:themeColor="text1"/>
          <w:lang w:val="en-GB"/>
        </w:rPr>
      </w:pPr>
      <w:r w:rsidRPr="007C3F67">
        <w:rPr>
          <w:rFonts w:ascii="Times New Roman" w:eastAsiaTheme="minorEastAsia" w:hAnsi="Times New Roman" w:cs="Times New Roman"/>
          <w:b/>
          <w:color w:val="000000" w:themeColor="text1"/>
          <w:lang w:val="en-GB"/>
        </w:rPr>
        <w:t>Results of sensitivity analyses</w:t>
      </w:r>
    </w:p>
    <w:p w14:paraId="2E535CFB" w14:textId="77777777" w:rsidR="00FB59A7" w:rsidRPr="007C3F67" w:rsidRDefault="00FB59A7" w:rsidP="00FB59A7">
      <w:pPr>
        <w:spacing w:line="480" w:lineRule="auto"/>
        <w:ind w:firstLine="720"/>
        <w:rPr>
          <w:rFonts w:ascii="Times New Roman" w:hAnsi="Times New Roman" w:cs="Times New Roman"/>
          <w:color w:val="000000" w:themeColor="text1"/>
          <w:lang w:val="en-GB"/>
        </w:rPr>
      </w:pPr>
      <w:r w:rsidRPr="007C3F67">
        <w:rPr>
          <w:rFonts w:ascii="Times New Roman" w:hAnsi="Times New Roman" w:cs="Times New Roman"/>
          <w:color w:val="000000" w:themeColor="text1"/>
          <w:lang w:val="en-GB"/>
        </w:rPr>
        <w:t xml:space="preserve">The results of the analyses in this study were generally robust to the changes in the assumptions examined. The seasonal transmission rates remained almost unchanged, regardless </w:t>
      </w:r>
      <w:r w:rsidRPr="007C3F67">
        <w:rPr>
          <w:rFonts w:ascii="Times New Roman" w:hAnsi="Times New Roman" w:cs="Times New Roman"/>
          <w:color w:val="000000" w:themeColor="text1"/>
          <w:lang w:val="en-GB"/>
        </w:rPr>
        <w:lastRenderedPageBreak/>
        <w:t>of variations in missing data imputation, addition of small amounts to the reported death counts, and duration or exclusion of waning immunity (S21-36 Figs, top half of panels).</w:t>
      </w:r>
    </w:p>
    <w:p w14:paraId="4F22C773" w14:textId="77777777" w:rsidR="00330F61" w:rsidRDefault="00FB59A7" w:rsidP="00330F61">
      <w:pPr>
        <w:spacing w:line="480" w:lineRule="auto"/>
        <w:ind w:firstLine="720"/>
        <w:rPr>
          <w:rFonts w:ascii="Times New Roman" w:hAnsi="Times New Roman" w:cs="Times New Roman"/>
          <w:color w:val="000000" w:themeColor="text1"/>
          <w:lang w:val="en-GB"/>
        </w:rPr>
      </w:pPr>
      <w:r w:rsidRPr="007C3F67">
        <w:rPr>
          <w:rFonts w:ascii="Times New Roman" w:hAnsi="Times New Roman" w:cs="Times New Roman"/>
          <w:color w:val="000000" w:themeColor="text1"/>
          <w:lang w:val="en-GB"/>
        </w:rPr>
        <w:t xml:space="preserve">The long-term transmission rates mostly retained their overall shape, but the scale of the transmission rate changed in some instances (S21-36 Figs, bottom half of the panels). However, the results of the hierarchical regression models with the overall financial variables were all quite similar, and results were mostly within 2% of the original estimates (S8-9 Tables). </w:t>
      </w:r>
    </w:p>
    <w:p w14:paraId="044A5E73" w14:textId="71CD7BC6" w:rsidR="00330F61" w:rsidRDefault="00FB59A7" w:rsidP="00330F61">
      <w:pPr>
        <w:spacing w:line="480" w:lineRule="auto"/>
        <w:ind w:firstLine="720"/>
        <w:rPr>
          <w:rFonts w:ascii="Times New Roman" w:hAnsi="Times New Roman" w:cs="Times New Roman"/>
          <w:color w:val="000000" w:themeColor="text1"/>
          <w:lang w:val="en-GB"/>
        </w:rPr>
      </w:pPr>
      <w:r w:rsidRPr="007C3F67">
        <w:rPr>
          <w:rFonts w:ascii="Times New Roman" w:hAnsi="Times New Roman" w:cs="Times New Roman"/>
          <w:color w:val="000000" w:themeColor="text1"/>
          <w:lang w:val="en-GB"/>
        </w:rPr>
        <w:t xml:space="preserve">The heterogeneous mixing parameter varied slightly between the different models, but mostly kept their order between cities (S10 Table). New Orleans, New York, Philadelphia, and Pittsburgh typically had the highest estimated </w:t>
      </w:r>
      <w:r w:rsidRPr="007C3F67">
        <w:rPr>
          <w:rFonts w:ascii="Times New Roman" w:hAnsi="Times New Roman" w:cs="Times New Roman"/>
          <w:i/>
          <w:color w:val="000000" w:themeColor="text1"/>
          <w:lang w:val="en-GB"/>
        </w:rPr>
        <w:sym w:font="Symbol" w:char="F061"/>
      </w:r>
      <w:r w:rsidRPr="007C3F67">
        <w:rPr>
          <w:rFonts w:ascii="Times New Roman" w:hAnsi="Times New Roman" w:cs="Times New Roman"/>
          <w:color w:val="000000" w:themeColor="text1"/>
          <w:lang w:val="en-GB"/>
        </w:rPr>
        <w:t xml:space="preserve"> values regardless of the model formulation. The highest </w:t>
      </w:r>
      <w:r w:rsidRPr="00CD24C1">
        <w:rPr>
          <w:rFonts w:ascii="Times New Roman" w:hAnsi="Times New Roman" w:cs="Times New Roman"/>
          <w:i/>
          <w:color w:val="000000" w:themeColor="text1"/>
          <w:lang w:val="en-GB"/>
        </w:rPr>
        <w:sym w:font="Symbol" w:char="F061"/>
      </w:r>
      <w:r w:rsidRPr="007C3F67">
        <w:rPr>
          <w:rFonts w:ascii="Times New Roman" w:hAnsi="Times New Roman" w:cs="Times New Roman"/>
          <w:color w:val="000000" w:themeColor="text1"/>
          <w:lang w:val="en-GB"/>
        </w:rPr>
        <w:t xml:space="preserve"> values were estimated for the model with no immunity</w:t>
      </w:r>
      <w:r w:rsidR="00A25413">
        <w:rPr>
          <w:rFonts w:ascii="Times New Roman" w:hAnsi="Times New Roman" w:cs="Times New Roman"/>
          <w:color w:val="000000" w:themeColor="text1"/>
          <w:lang w:val="en-GB"/>
        </w:rPr>
        <w:t>, suggesting that there may be some identifiability issues between the duration of immunity and the heterogeneous mixing parameter</w:t>
      </w:r>
      <w:r w:rsidRPr="007C3F67">
        <w:rPr>
          <w:rFonts w:ascii="Times New Roman" w:hAnsi="Times New Roman" w:cs="Times New Roman"/>
          <w:color w:val="000000" w:themeColor="text1"/>
          <w:lang w:val="en-GB"/>
        </w:rPr>
        <w:t>.</w:t>
      </w:r>
      <w:r w:rsidR="008A63AD">
        <w:rPr>
          <w:rFonts w:ascii="Times New Roman" w:hAnsi="Times New Roman" w:cs="Times New Roman"/>
          <w:color w:val="000000" w:themeColor="text1"/>
          <w:lang w:val="en-GB"/>
        </w:rPr>
        <w:t xml:space="preserve"> Nevertheless, our results were robust to different durations of immunity, as noted above.</w:t>
      </w:r>
      <w:r w:rsidRPr="007C3F67">
        <w:rPr>
          <w:rFonts w:ascii="Times New Roman" w:hAnsi="Times New Roman" w:cs="Times New Roman"/>
          <w:color w:val="000000" w:themeColor="text1"/>
          <w:lang w:val="en-GB"/>
        </w:rPr>
        <w:t xml:space="preserve"> Removing chronic carriers from the model generally led to estimated </w:t>
      </w:r>
      <w:r w:rsidRPr="007C3F67">
        <w:rPr>
          <w:rFonts w:ascii="Times New Roman" w:hAnsi="Times New Roman" w:cs="Times New Roman"/>
          <w:i/>
          <w:color w:val="000000" w:themeColor="text1"/>
          <w:lang w:val="en-GB"/>
        </w:rPr>
        <w:sym w:font="Symbol" w:char="F061"/>
      </w:r>
      <w:r w:rsidRPr="007C3F67">
        <w:rPr>
          <w:rFonts w:ascii="Times New Roman" w:hAnsi="Times New Roman" w:cs="Times New Roman"/>
          <w:i/>
          <w:color w:val="000000" w:themeColor="text1"/>
          <w:lang w:val="en-GB"/>
        </w:rPr>
        <w:t xml:space="preserve"> </w:t>
      </w:r>
      <w:r w:rsidRPr="007C3F67">
        <w:rPr>
          <w:rFonts w:ascii="Times New Roman" w:hAnsi="Times New Roman" w:cs="Times New Roman"/>
          <w:color w:val="000000" w:themeColor="text1"/>
          <w:lang w:val="en-GB"/>
        </w:rPr>
        <w:t>values closer to zero</w:t>
      </w:r>
      <w:r w:rsidR="00A25413">
        <w:rPr>
          <w:rFonts w:ascii="Times New Roman" w:hAnsi="Times New Roman" w:cs="Times New Roman"/>
          <w:color w:val="000000" w:themeColor="text1"/>
          <w:lang w:val="en-GB"/>
        </w:rPr>
        <w:t>,</w:t>
      </w:r>
      <w:r w:rsidR="00A25413" w:rsidRPr="007C3F67">
        <w:rPr>
          <w:rFonts w:ascii="Times New Roman" w:hAnsi="Times New Roman" w:cs="Times New Roman"/>
          <w:color w:val="000000" w:themeColor="text1"/>
          <w:lang w:val="en-GB"/>
        </w:rPr>
        <w:t xml:space="preserve"> as expected</w:t>
      </w:r>
      <w:r w:rsidR="00A25413">
        <w:rPr>
          <w:rFonts w:ascii="Times New Roman" w:hAnsi="Times New Roman" w:cs="Times New Roman"/>
          <w:color w:val="000000" w:themeColor="text1"/>
          <w:lang w:val="en-GB"/>
        </w:rPr>
        <w:t xml:space="preserve">, </w:t>
      </w:r>
      <w:r w:rsidRPr="007C3F67">
        <w:rPr>
          <w:rFonts w:ascii="Times New Roman" w:hAnsi="Times New Roman" w:cs="Times New Roman"/>
          <w:color w:val="000000" w:themeColor="text1"/>
          <w:lang w:val="en-GB"/>
        </w:rPr>
        <w:t>suggesting typhoid incidence is less dependent on acute cases in the previous generation. This suggests that long-cycle transmission of typhoid</w:t>
      </w:r>
      <w:r w:rsidR="008A63AD">
        <w:rPr>
          <w:rFonts w:ascii="Times New Roman" w:hAnsi="Times New Roman" w:cs="Times New Roman"/>
          <w:color w:val="000000" w:themeColor="text1"/>
          <w:lang w:val="en-GB"/>
        </w:rPr>
        <w:t>, which does not occur in direct proportion to cases in the previous generation,</w:t>
      </w:r>
      <w:r w:rsidRPr="007C3F67">
        <w:rPr>
          <w:rFonts w:ascii="Times New Roman" w:hAnsi="Times New Roman" w:cs="Times New Roman"/>
          <w:color w:val="000000" w:themeColor="text1"/>
          <w:lang w:val="en-GB"/>
        </w:rPr>
        <w:t xml:space="preserve"> </w:t>
      </w:r>
      <w:r w:rsidRPr="007C3F67">
        <w:rPr>
          <w:rFonts w:ascii="Times New Roman" w:hAnsi="Times New Roman" w:cs="Times New Roman"/>
        </w:rPr>
        <w:t>can help to explain some of the lack of autocorrelation in the data</w:t>
      </w:r>
      <w:r w:rsidRPr="007C3F67">
        <w:rPr>
          <w:rFonts w:ascii="Times New Roman" w:hAnsi="Times New Roman" w:cs="Times New Roman"/>
          <w:color w:val="000000" w:themeColor="text1"/>
          <w:lang w:val="en-GB"/>
        </w:rPr>
        <w:t>.</w:t>
      </w:r>
      <w:r w:rsidR="00B97B9A">
        <w:rPr>
          <w:rFonts w:ascii="Times New Roman" w:hAnsi="Times New Roman" w:cs="Times New Roman"/>
          <w:color w:val="000000" w:themeColor="text1"/>
          <w:lang w:val="en-GB"/>
        </w:rPr>
        <w:t xml:space="preserve"> </w:t>
      </w:r>
      <w:r w:rsidR="0080469F">
        <w:rPr>
          <w:rFonts w:ascii="Times New Roman" w:hAnsi="Times New Roman" w:cs="Times New Roman"/>
          <w:color w:val="000000" w:themeColor="text1"/>
          <w:lang w:val="en-GB"/>
        </w:rPr>
        <w:t>L</w:t>
      </w:r>
      <w:r w:rsidR="00B97B9A">
        <w:rPr>
          <w:rFonts w:ascii="Times New Roman" w:hAnsi="Times New Roman" w:cs="Times New Roman"/>
          <w:color w:val="000000" w:themeColor="text1"/>
          <w:lang w:val="en-GB"/>
        </w:rPr>
        <w:t xml:space="preserve">ong-cycle transmission may be related to cases occurring two to three generations prior (since </w:t>
      </w:r>
      <w:r w:rsidR="005F3A19">
        <w:rPr>
          <w:rFonts w:ascii="Times New Roman" w:hAnsi="Times New Roman" w:cs="Times New Roman"/>
          <w:color w:val="000000" w:themeColor="text1"/>
          <w:lang w:val="en-GB"/>
        </w:rPr>
        <w:t xml:space="preserve">evidence suggests </w:t>
      </w:r>
      <w:r w:rsidR="00B97B9A">
        <w:rPr>
          <w:rFonts w:ascii="Times New Roman" w:hAnsi="Times New Roman" w:cs="Times New Roman"/>
          <w:color w:val="000000" w:themeColor="text1"/>
          <w:lang w:val="en-GB"/>
        </w:rPr>
        <w:t>typhoid ba</w:t>
      </w:r>
      <w:bookmarkStart w:id="1" w:name="_GoBack"/>
      <w:bookmarkEnd w:id="1"/>
      <w:r w:rsidR="00B97B9A">
        <w:rPr>
          <w:rFonts w:ascii="Times New Roman" w:hAnsi="Times New Roman" w:cs="Times New Roman"/>
          <w:color w:val="000000" w:themeColor="text1"/>
          <w:lang w:val="en-GB"/>
        </w:rPr>
        <w:t>cteria is not long-lived in the environment</w:t>
      </w:r>
      <w:r w:rsidR="004C0DDC">
        <w:rPr>
          <w:rFonts w:ascii="Times New Roman" w:hAnsi="Times New Roman" w:cs="Times New Roman"/>
          <w:color w:val="000000" w:themeColor="text1"/>
          <w:lang w:val="en-GB"/>
        </w:rPr>
        <w:t xml:space="preserve"> </w:t>
      </w:r>
      <w:r w:rsidR="004041C6">
        <w:rPr>
          <w:rFonts w:ascii="Times New Roman" w:hAnsi="Times New Roman" w:cs="Times New Roman"/>
          <w:color w:val="000000" w:themeColor="text1"/>
          <w:lang w:val="en-GB"/>
        </w:rPr>
        <w:fldChar w:fldCharType="begin"/>
      </w:r>
      <w:r w:rsidR="004041C6">
        <w:rPr>
          <w:rFonts w:ascii="Times New Roman" w:hAnsi="Times New Roman" w:cs="Times New Roman"/>
          <w:color w:val="000000" w:themeColor="text1"/>
          <w:lang w:val="en-GB"/>
        </w:rPr>
        <w:instrText xml:space="preserve"> ADDIN EN.CITE &lt;EndNote&gt;&lt;Cite&gt;&lt;Author&gt;Cho&lt;/Author&gt;&lt;Year&gt;1999&lt;/Year&gt;&lt;RecNum&gt;247&lt;/RecNum&gt;&lt;DisplayText&gt;(4)&lt;/DisplayText&gt;&lt;record&gt;&lt;rec-number&gt;247&lt;/rec-number&gt;&lt;foreign-keys&gt;&lt;key app="EN" db-id="aztpwezd85exzqe9wxq59argfsrx5ssv0arr" timestamp="1576454324"&gt;247&lt;/key&gt;&lt;/foreign-keys&gt;&lt;ref-type name="Journal Article"&gt;17&lt;/ref-type&gt;&lt;contributors&gt;&lt;authors&gt;&lt;author&gt;Cho, Jang-Cheon&lt;/author&gt;&lt;author&gt;Kim, Sang-Jong&lt;/author&gt;&lt;/authors&gt;&lt;/contributors&gt;&lt;titles&gt;&lt;title&gt;Viable, but non-culturable, state of a green fluorescence protein-tagged environmental isolate of Salmonella typhi in groundwater and pond water&lt;/title&gt;&lt;secondary-title&gt;FEMS Microbiology Letters&lt;/secondary-title&gt;&lt;/titles&gt;&lt;periodical&gt;&lt;full-title&gt;FEMS Microbiology Letters&lt;/full-title&gt;&lt;/periodical&gt;&lt;pages&gt;257-264&lt;/pages&gt;&lt;volume&gt;170&lt;/volume&gt;&lt;number&gt;1&lt;/number&gt;&lt;dates&gt;&lt;year&gt;1999&lt;/year&gt;&lt;/dates&gt;&lt;publisher&gt;Oxford Academic&lt;/publisher&gt;&lt;isbn&gt;0378-1097&lt;/isbn&gt;&lt;urls&gt;&lt;related-urls&gt;&lt;url&gt;https://academic.oup.com/femsle/article-pdf/170/1/257/19105424/170-1-257.pdf&lt;/url&gt;&lt;/related-urls&gt;&lt;/urls&gt;&lt;electronic-resource-num&gt;10.1111/j.1574-6968.1999.tb13382.x&lt;/electronic-resource-num&gt;&lt;/record&gt;&lt;/Cite&gt;&lt;/EndNote&gt;</w:instrText>
      </w:r>
      <w:r w:rsidR="004041C6">
        <w:rPr>
          <w:rFonts w:ascii="Times New Roman" w:hAnsi="Times New Roman" w:cs="Times New Roman"/>
          <w:color w:val="000000" w:themeColor="text1"/>
          <w:lang w:val="en-GB"/>
        </w:rPr>
        <w:fldChar w:fldCharType="separate"/>
      </w:r>
      <w:r w:rsidR="004041C6">
        <w:rPr>
          <w:rFonts w:ascii="Times New Roman" w:hAnsi="Times New Roman" w:cs="Times New Roman"/>
          <w:noProof/>
          <w:color w:val="000000" w:themeColor="text1"/>
          <w:lang w:val="en-GB"/>
        </w:rPr>
        <w:t>(4)</w:t>
      </w:r>
      <w:r w:rsidR="004041C6">
        <w:rPr>
          <w:rFonts w:ascii="Times New Roman" w:hAnsi="Times New Roman" w:cs="Times New Roman"/>
          <w:color w:val="000000" w:themeColor="text1"/>
          <w:lang w:val="en-GB"/>
        </w:rPr>
        <w:fldChar w:fldCharType="end"/>
      </w:r>
      <w:r w:rsidR="00B97B9A">
        <w:rPr>
          <w:rFonts w:ascii="Times New Roman" w:hAnsi="Times New Roman" w:cs="Times New Roman"/>
          <w:color w:val="000000" w:themeColor="text1"/>
          <w:lang w:val="en-GB"/>
        </w:rPr>
        <w:t>) and/or cases residing in surrounding populations that could contaminate water catchment areas</w:t>
      </w:r>
      <w:r w:rsidR="0080469F">
        <w:rPr>
          <w:rFonts w:ascii="Times New Roman" w:hAnsi="Times New Roman" w:cs="Times New Roman"/>
          <w:color w:val="000000" w:themeColor="text1"/>
          <w:lang w:val="en-GB"/>
        </w:rPr>
        <w:t>, which would not be captured by our model</w:t>
      </w:r>
      <w:r w:rsidR="00B97B9A">
        <w:rPr>
          <w:rFonts w:ascii="Times New Roman" w:hAnsi="Times New Roman" w:cs="Times New Roman"/>
          <w:color w:val="000000" w:themeColor="text1"/>
          <w:lang w:val="en-GB"/>
        </w:rPr>
        <w:t>.</w:t>
      </w:r>
    </w:p>
    <w:p w14:paraId="341602D2" w14:textId="77777777" w:rsidR="00330F61" w:rsidRDefault="00330F61" w:rsidP="00FB59A7">
      <w:pPr>
        <w:rPr>
          <w:rFonts w:ascii="Times New Roman" w:hAnsi="Times New Roman" w:cs="Times New Roman"/>
          <w:color w:val="000000" w:themeColor="text1"/>
          <w:lang w:val="en-GB"/>
        </w:rPr>
      </w:pPr>
    </w:p>
    <w:p w14:paraId="4B771019" w14:textId="77777777" w:rsidR="00E51F7F" w:rsidRDefault="00E51F7F" w:rsidP="00FB59A7">
      <w:pPr>
        <w:rPr>
          <w:rFonts w:ascii="Times New Roman" w:hAnsi="Times New Roman" w:cs="Times New Roman"/>
          <w:color w:val="000000" w:themeColor="text1"/>
          <w:lang w:val="en-GB"/>
        </w:rPr>
      </w:pPr>
      <w:r>
        <w:rPr>
          <w:rFonts w:ascii="Times New Roman" w:hAnsi="Times New Roman" w:cs="Times New Roman"/>
          <w:color w:val="000000" w:themeColor="text1"/>
          <w:lang w:val="en-GB"/>
        </w:rPr>
        <w:t>REFERENCES</w:t>
      </w:r>
    </w:p>
    <w:p w14:paraId="31B178CF" w14:textId="77777777" w:rsidR="00E51F7F" w:rsidRDefault="00E51F7F" w:rsidP="00FB59A7">
      <w:pPr>
        <w:rPr>
          <w:rFonts w:ascii="Times New Roman" w:hAnsi="Times New Roman" w:cs="Times New Roman"/>
          <w:color w:val="000000" w:themeColor="text1"/>
          <w:lang w:val="en-GB"/>
        </w:rPr>
      </w:pPr>
    </w:p>
    <w:p w14:paraId="46C7784D" w14:textId="77777777" w:rsidR="004041C6" w:rsidRPr="004041C6" w:rsidRDefault="00330F61" w:rsidP="004041C6">
      <w:pPr>
        <w:pStyle w:val="EndNoteBibliography"/>
        <w:rPr>
          <w:noProof/>
        </w:rPr>
      </w:pPr>
      <w:r w:rsidRPr="00DA18E9">
        <w:rPr>
          <w:rFonts w:ascii="Times New Roman" w:hAnsi="Times New Roman" w:cs="Times New Roman"/>
        </w:rPr>
        <w:fldChar w:fldCharType="begin"/>
      </w:r>
      <w:r w:rsidRPr="00DA18E9">
        <w:rPr>
          <w:rFonts w:ascii="Times New Roman" w:hAnsi="Times New Roman" w:cs="Times New Roman"/>
        </w:rPr>
        <w:instrText xml:space="preserve"> ADDIN EN.REFLIST </w:instrText>
      </w:r>
      <w:r w:rsidRPr="00DA18E9">
        <w:rPr>
          <w:rFonts w:ascii="Times New Roman" w:hAnsi="Times New Roman" w:cs="Times New Roman"/>
        </w:rPr>
        <w:fldChar w:fldCharType="separate"/>
      </w:r>
      <w:r w:rsidR="004041C6" w:rsidRPr="004041C6">
        <w:rPr>
          <w:noProof/>
        </w:rPr>
        <w:t>1.</w:t>
      </w:r>
      <w:r w:rsidR="004041C6" w:rsidRPr="004041C6">
        <w:rPr>
          <w:noProof/>
        </w:rPr>
        <w:tab/>
        <w:t>Chui CK, Chen G. Kalman Filtering with Real-Time Applications. 3 ed. Huang TS, Kohonen T, Schroeder MR, editors. Berlin: Springer-Verlag; 1999.</w:t>
      </w:r>
    </w:p>
    <w:p w14:paraId="35AE2137" w14:textId="77777777" w:rsidR="004041C6" w:rsidRPr="004041C6" w:rsidRDefault="004041C6" w:rsidP="004041C6">
      <w:pPr>
        <w:pStyle w:val="EndNoteBibliography"/>
        <w:rPr>
          <w:noProof/>
        </w:rPr>
      </w:pPr>
      <w:r w:rsidRPr="004041C6">
        <w:rPr>
          <w:noProof/>
        </w:rPr>
        <w:lastRenderedPageBreak/>
        <w:t>2.</w:t>
      </w:r>
      <w:r w:rsidRPr="004041C6">
        <w:rPr>
          <w:noProof/>
        </w:rPr>
        <w:tab/>
        <w:t>Harvey AC. Forecasting, structural times series models and the Kalman filter. Cambridge, UK: Press Syndicate of the University of Cambridge; 1989.</w:t>
      </w:r>
    </w:p>
    <w:p w14:paraId="3EF23A59" w14:textId="77777777" w:rsidR="004041C6" w:rsidRPr="004041C6" w:rsidRDefault="004041C6" w:rsidP="004041C6">
      <w:pPr>
        <w:pStyle w:val="EndNoteBibliography"/>
        <w:rPr>
          <w:noProof/>
        </w:rPr>
      </w:pPr>
      <w:r w:rsidRPr="004041C6">
        <w:rPr>
          <w:noProof/>
        </w:rPr>
        <w:t>3.</w:t>
      </w:r>
      <w:r w:rsidRPr="004041C6">
        <w:rPr>
          <w:noProof/>
        </w:rPr>
        <w:tab/>
        <w:t>Bjørnstad O, Finkenstädt B, Grenfell B. Dynamics of measles epidemics: Estimating scaling of transmission rates using a Time Series SIR model. Ecological Monographs. 2002;72(2), DOI: 10.1890/0012-9615(2002)072[0169:DOMEES]2.0.CO;2.</w:t>
      </w:r>
    </w:p>
    <w:p w14:paraId="660F7C4C" w14:textId="77777777" w:rsidR="004041C6" w:rsidRPr="004041C6" w:rsidRDefault="004041C6" w:rsidP="004041C6">
      <w:pPr>
        <w:pStyle w:val="EndNoteBibliography"/>
        <w:rPr>
          <w:noProof/>
        </w:rPr>
      </w:pPr>
      <w:r w:rsidRPr="004041C6">
        <w:rPr>
          <w:noProof/>
        </w:rPr>
        <w:t>4.</w:t>
      </w:r>
      <w:r w:rsidRPr="004041C6">
        <w:rPr>
          <w:noProof/>
        </w:rPr>
        <w:tab/>
        <w:t>Cho J-C, Kim S-J. Viable, but non-culturable, state of a green fluorescence protein-tagged environmental isolate of Salmonella typhi in groundwater and pond water. FEMS Microbiology Letters. 1999;170(1):257-64, DOI: 10.1111/j.1574-6968.1999.tb13382.x.</w:t>
      </w:r>
    </w:p>
    <w:p w14:paraId="44145119" w14:textId="5F47F1AE" w:rsidR="00322AFD" w:rsidRDefault="00330F61" w:rsidP="00FB59A7">
      <w:r w:rsidRPr="00DA18E9">
        <w:rPr>
          <w:rFonts w:ascii="Times New Roman" w:hAnsi="Times New Roman" w:cs="Times New Roman"/>
        </w:rPr>
        <w:fldChar w:fldCharType="end"/>
      </w:r>
    </w:p>
    <w:sectPr w:rsidR="00322AFD" w:rsidSect="00012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tpwezd85exzqe9wxq59argfsrx5ssv0arr&quot;&gt;citations&lt;record-ids&gt;&lt;item&gt;154&lt;/item&gt;&lt;item&gt;235&lt;/item&gt;&lt;item&gt;236&lt;/item&gt;&lt;item&gt;247&lt;/item&gt;&lt;/record-ids&gt;&lt;/item&gt;&lt;/Libraries&gt;"/>
  </w:docVars>
  <w:rsids>
    <w:rsidRoot w:val="00FB59A7"/>
    <w:rsid w:val="00012D30"/>
    <w:rsid w:val="00057E2B"/>
    <w:rsid w:val="000807AE"/>
    <w:rsid w:val="000B6991"/>
    <w:rsid w:val="000E091E"/>
    <w:rsid w:val="00101427"/>
    <w:rsid w:val="0010672C"/>
    <w:rsid w:val="00114847"/>
    <w:rsid w:val="001C6D4A"/>
    <w:rsid w:val="002672FB"/>
    <w:rsid w:val="0028567C"/>
    <w:rsid w:val="00290E27"/>
    <w:rsid w:val="002E5CA6"/>
    <w:rsid w:val="00326388"/>
    <w:rsid w:val="00330F61"/>
    <w:rsid w:val="003D33B3"/>
    <w:rsid w:val="003E2085"/>
    <w:rsid w:val="004041C6"/>
    <w:rsid w:val="00443557"/>
    <w:rsid w:val="004C0DDC"/>
    <w:rsid w:val="004D508A"/>
    <w:rsid w:val="004E3E0B"/>
    <w:rsid w:val="005F3A19"/>
    <w:rsid w:val="0060598D"/>
    <w:rsid w:val="00682D88"/>
    <w:rsid w:val="00694B7E"/>
    <w:rsid w:val="006F3DCC"/>
    <w:rsid w:val="0077665F"/>
    <w:rsid w:val="00800C10"/>
    <w:rsid w:val="0080469F"/>
    <w:rsid w:val="0083208A"/>
    <w:rsid w:val="00834048"/>
    <w:rsid w:val="008447FF"/>
    <w:rsid w:val="008A63AD"/>
    <w:rsid w:val="009270D6"/>
    <w:rsid w:val="009F631E"/>
    <w:rsid w:val="00A173D8"/>
    <w:rsid w:val="00A25413"/>
    <w:rsid w:val="00A51FE0"/>
    <w:rsid w:val="00AC0A27"/>
    <w:rsid w:val="00AE05D9"/>
    <w:rsid w:val="00AE31FA"/>
    <w:rsid w:val="00B670EB"/>
    <w:rsid w:val="00B75CF8"/>
    <w:rsid w:val="00B9264F"/>
    <w:rsid w:val="00B97B9A"/>
    <w:rsid w:val="00BD519F"/>
    <w:rsid w:val="00C54568"/>
    <w:rsid w:val="00C71A5C"/>
    <w:rsid w:val="00C84BCC"/>
    <w:rsid w:val="00CA1F4D"/>
    <w:rsid w:val="00CA5A97"/>
    <w:rsid w:val="00D205AF"/>
    <w:rsid w:val="00D44F52"/>
    <w:rsid w:val="00DA18E9"/>
    <w:rsid w:val="00E51F7F"/>
    <w:rsid w:val="00E66935"/>
    <w:rsid w:val="00EB49DC"/>
    <w:rsid w:val="00EE2A85"/>
    <w:rsid w:val="00EF6C89"/>
    <w:rsid w:val="00F65D88"/>
    <w:rsid w:val="00F9381F"/>
    <w:rsid w:val="00FB59A7"/>
    <w:rsid w:val="00FB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69A637"/>
  <w15:chartTrackingRefBased/>
  <w15:docId w15:val="{EA723E89-3ED3-2E4C-8595-9CE8A1A1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59A7"/>
  </w:style>
  <w:style w:type="paragraph" w:styleId="Heading1">
    <w:name w:val="heading 1"/>
    <w:basedOn w:val="Normal"/>
    <w:next w:val="Normal"/>
    <w:link w:val="Heading1Char"/>
    <w:uiPriority w:val="9"/>
    <w:qFormat/>
    <w:rsid w:val="00FB59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9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link w:val="TOCHeadingChar"/>
    <w:uiPriority w:val="39"/>
    <w:unhideWhenUsed/>
    <w:qFormat/>
    <w:rsid w:val="00FB59A7"/>
    <w:pPr>
      <w:spacing w:before="480" w:line="276" w:lineRule="auto"/>
      <w:outlineLvl w:val="9"/>
    </w:pPr>
    <w:rPr>
      <w:b/>
      <w:bCs/>
      <w:sz w:val="28"/>
      <w:szCs w:val="28"/>
    </w:rPr>
  </w:style>
  <w:style w:type="paragraph" w:styleId="BalloonText">
    <w:name w:val="Balloon Text"/>
    <w:basedOn w:val="Normal"/>
    <w:link w:val="BalloonTextChar"/>
    <w:uiPriority w:val="99"/>
    <w:semiHidden/>
    <w:unhideWhenUsed/>
    <w:rsid w:val="00330F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0F61"/>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330F61"/>
    <w:pPr>
      <w:jc w:val="center"/>
    </w:pPr>
    <w:rPr>
      <w:rFonts w:ascii="Calibri" w:hAnsi="Calibri" w:cs="Calibri"/>
    </w:rPr>
  </w:style>
  <w:style w:type="character" w:customStyle="1" w:styleId="TOCHeadingChar">
    <w:name w:val="TOC Heading Char"/>
    <w:basedOn w:val="Heading1Char"/>
    <w:link w:val="TOCHeading"/>
    <w:uiPriority w:val="39"/>
    <w:rsid w:val="00330F61"/>
    <w:rPr>
      <w:rFonts w:asciiTheme="majorHAnsi" w:eastAsiaTheme="majorEastAsia" w:hAnsiTheme="majorHAnsi" w:cstheme="majorBidi"/>
      <w:b/>
      <w:bCs/>
      <w:color w:val="2F5496" w:themeColor="accent1" w:themeShade="BF"/>
      <w:sz w:val="28"/>
      <w:szCs w:val="28"/>
    </w:rPr>
  </w:style>
  <w:style w:type="character" w:customStyle="1" w:styleId="EndNoteBibliographyTitleChar">
    <w:name w:val="EndNote Bibliography Title Char"/>
    <w:basedOn w:val="TOCHeadingChar"/>
    <w:link w:val="EndNoteBibliographyTitle"/>
    <w:rsid w:val="00330F61"/>
    <w:rPr>
      <w:rFonts w:ascii="Calibri" w:eastAsiaTheme="majorEastAsia" w:hAnsi="Calibri" w:cs="Calibri"/>
      <w:b w:val="0"/>
      <w:bCs w:val="0"/>
      <w:color w:val="2F5496" w:themeColor="accent1" w:themeShade="BF"/>
      <w:sz w:val="28"/>
      <w:szCs w:val="28"/>
    </w:rPr>
  </w:style>
  <w:style w:type="paragraph" w:customStyle="1" w:styleId="EndNoteBibliography">
    <w:name w:val="EndNote Bibliography"/>
    <w:basedOn w:val="Normal"/>
    <w:link w:val="EndNoteBibliographyChar"/>
    <w:rsid w:val="00330F61"/>
    <w:rPr>
      <w:rFonts w:ascii="Calibri" w:hAnsi="Calibri" w:cs="Calibri"/>
    </w:rPr>
  </w:style>
  <w:style w:type="character" w:customStyle="1" w:styleId="EndNoteBibliographyChar">
    <w:name w:val="EndNote Bibliography Char"/>
    <w:basedOn w:val="TOCHeadingChar"/>
    <w:link w:val="EndNoteBibliography"/>
    <w:rsid w:val="00330F61"/>
    <w:rPr>
      <w:rFonts w:ascii="Calibri" w:eastAsiaTheme="majorEastAsia" w:hAnsi="Calibri" w:cs="Calibri"/>
      <w:b w:val="0"/>
      <w:bCs w:val="0"/>
      <w:color w:val="2F5496" w:themeColor="accent1" w:themeShade="BF"/>
      <w:sz w:val="28"/>
      <w:szCs w:val="28"/>
    </w:rPr>
  </w:style>
  <w:style w:type="character" w:styleId="CommentReference">
    <w:name w:val="annotation reference"/>
    <w:basedOn w:val="DefaultParagraphFont"/>
    <w:uiPriority w:val="99"/>
    <w:semiHidden/>
    <w:unhideWhenUsed/>
    <w:rsid w:val="008A63AD"/>
    <w:rPr>
      <w:sz w:val="16"/>
      <w:szCs w:val="16"/>
    </w:rPr>
  </w:style>
  <w:style w:type="paragraph" w:styleId="CommentText">
    <w:name w:val="annotation text"/>
    <w:basedOn w:val="Normal"/>
    <w:link w:val="CommentTextChar"/>
    <w:uiPriority w:val="99"/>
    <w:semiHidden/>
    <w:unhideWhenUsed/>
    <w:rsid w:val="008A63AD"/>
    <w:rPr>
      <w:sz w:val="20"/>
      <w:szCs w:val="20"/>
    </w:rPr>
  </w:style>
  <w:style w:type="character" w:customStyle="1" w:styleId="CommentTextChar">
    <w:name w:val="Comment Text Char"/>
    <w:basedOn w:val="DefaultParagraphFont"/>
    <w:link w:val="CommentText"/>
    <w:uiPriority w:val="99"/>
    <w:semiHidden/>
    <w:rsid w:val="008A63AD"/>
    <w:rPr>
      <w:sz w:val="20"/>
      <w:szCs w:val="20"/>
    </w:rPr>
  </w:style>
  <w:style w:type="paragraph" w:styleId="CommentSubject">
    <w:name w:val="annotation subject"/>
    <w:basedOn w:val="CommentText"/>
    <w:next w:val="CommentText"/>
    <w:link w:val="CommentSubjectChar"/>
    <w:uiPriority w:val="99"/>
    <w:semiHidden/>
    <w:unhideWhenUsed/>
    <w:rsid w:val="008A63AD"/>
    <w:rPr>
      <w:b/>
      <w:bCs/>
    </w:rPr>
  </w:style>
  <w:style w:type="character" w:customStyle="1" w:styleId="CommentSubjectChar">
    <w:name w:val="Comment Subject Char"/>
    <w:basedOn w:val="CommentTextChar"/>
    <w:link w:val="CommentSubject"/>
    <w:uiPriority w:val="99"/>
    <w:semiHidden/>
    <w:rsid w:val="008A63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6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Maile Thayer</dc:creator>
  <cp:keywords/>
  <dc:description/>
  <cp:lastModifiedBy>Maile Thayer</cp:lastModifiedBy>
  <cp:revision>2</cp:revision>
  <dcterms:created xsi:type="dcterms:W3CDTF">2019-12-16T00:01:00Z</dcterms:created>
  <dcterms:modified xsi:type="dcterms:W3CDTF">2019-12-16T00:01:00Z</dcterms:modified>
</cp:coreProperties>
</file>