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E9" w:rsidRDefault="000459E9" w:rsidP="000459E9">
      <w:pPr>
        <w:keepNext/>
      </w:pPr>
      <w:bookmarkStart w:id="0" w:name="_GoBack"/>
      <w:r w:rsidRPr="00D546B9">
        <w:rPr>
          <w:rFonts w:ascii="Times New Roman" w:hAnsi="Times New Roman" w:cs="Times New Roman"/>
          <w:noProof/>
          <w:sz w:val="24"/>
          <w:szCs w:val="24"/>
        </w:rPr>
        <w:drawing>
          <wp:inline distT="0" distB="0" distL="0" distR="0" wp14:anchorId="36ACD786" wp14:editId="1FD4F225">
            <wp:extent cx="5943600" cy="4457700"/>
            <wp:effectExtent l="0" t="0" r="0" b="0"/>
            <wp:docPr id="6" name="Picture 5" descr="Gating 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ing strategy.jpg"/>
                    <pic:cNvPicPr/>
                  </pic:nvPicPr>
                  <pic:blipFill>
                    <a:blip r:embed="rId4" cstate="print"/>
                    <a:stretch>
                      <a:fillRect/>
                    </a:stretch>
                  </pic:blipFill>
                  <pic:spPr>
                    <a:xfrm>
                      <a:off x="0" y="0"/>
                      <a:ext cx="5943600" cy="4457700"/>
                    </a:xfrm>
                    <a:prstGeom prst="rect">
                      <a:avLst/>
                    </a:prstGeom>
                  </pic:spPr>
                </pic:pic>
              </a:graphicData>
            </a:graphic>
          </wp:inline>
        </w:drawing>
      </w:r>
      <w:bookmarkEnd w:id="0"/>
    </w:p>
    <w:p w:rsidR="000459E9" w:rsidRPr="00D546B9" w:rsidRDefault="000459E9" w:rsidP="000459E9">
      <w:pPr>
        <w:jc w:val="both"/>
        <w:rPr>
          <w:rFonts w:ascii="Times New Roman" w:hAnsi="Times New Roman" w:cs="Times New Roman"/>
          <w:sz w:val="24"/>
          <w:szCs w:val="24"/>
        </w:rPr>
      </w:pPr>
      <w:r w:rsidRPr="007F1E16">
        <w:rPr>
          <w:rFonts w:ascii="Times New Roman" w:hAnsi="Times New Roman" w:cs="Times New Roman"/>
          <w:b/>
          <w:sz w:val="24"/>
          <w:szCs w:val="24"/>
        </w:rPr>
        <w:t>S1 Fig. 1:</w:t>
      </w:r>
      <w:r w:rsidRPr="00D546B9">
        <w:rPr>
          <w:rFonts w:ascii="Times New Roman" w:hAnsi="Times New Roman" w:cs="Times New Roman"/>
          <w:sz w:val="24"/>
          <w:szCs w:val="24"/>
        </w:rPr>
        <w:t xml:space="preserve"> </w:t>
      </w:r>
      <w:r w:rsidRPr="00D546B9">
        <w:rPr>
          <w:rFonts w:ascii="Times New Roman" w:hAnsi="Times New Roman" w:cs="Times New Roman"/>
          <w:b/>
          <w:sz w:val="24"/>
          <w:szCs w:val="24"/>
        </w:rPr>
        <w:t xml:space="preserve">Gating strategy used for flow </w:t>
      </w:r>
      <w:proofErr w:type="spellStart"/>
      <w:r w:rsidRPr="00D546B9">
        <w:rPr>
          <w:rFonts w:ascii="Times New Roman" w:hAnsi="Times New Roman" w:cs="Times New Roman"/>
          <w:b/>
          <w:sz w:val="24"/>
          <w:szCs w:val="24"/>
        </w:rPr>
        <w:t>cytometry</w:t>
      </w:r>
      <w:proofErr w:type="spellEnd"/>
      <w:r w:rsidRPr="00D546B9">
        <w:rPr>
          <w:rFonts w:ascii="Times New Roman" w:hAnsi="Times New Roman" w:cs="Times New Roman"/>
          <w:b/>
          <w:sz w:val="24"/>
          <w:szCs w:val="24"/>
        </w:rPr>
        <w:t xml:space="preserve"> analysis of Proliferating PBMCs.</w:t>
      </w:r>
      <w:r w:rsidRPr="00D546B9">
        <w:rPr>
          <w:rFonts w:ascii="Times New Roman" w:hAnsi="Times New Roman" w:cs="Times New Roman"/>
          <w:sz w:val="24"/>
          <w:szCs w:val="24"/>
        </w:rPr>
        <w:t xml:space="preserve"> The PBMCs were stimulated with appropriate stimulant, except for the negative control which was left unstimulated. The cells were plotted as forward Scatter (FSC) vs. Side Scatter (SSC) and the lymphocytes were gated (</w:t>
      </w:r>
      <w:r w:rsidRPr="00D546B9">
        <w:rPr>
          <w:rFonts w:ascii="Times New Roman" w:hAnsi="Times New Roman" w:cs="Times New Roman"/>
          <w:b/>
          <w:sz w:val="24"/>
          <w:szCs w:val="24"/>
        </w:rPr>
        <w:t>Plot1</w:t>
      </w:r>
      <w:r w:rsidRPr="00D546B9">
        <w:rPr>
          <w:rFonts w:ascii="Times New Roman" w:hAnsi="Times New Roman" w:cs="Times New Roman"/>
          <w:sz w:val="24"/>
          <w:szCs w:val="24"/>
        </w:rPr>
        <w:t>). The live cells were gated (</w:t>
      </w:r>
      <w:r w:rsidRPr="00D546B9">
        <w:rPr>
          <w:rFonts w:ascii="Times New Roman" w:hAnsi="Times New Roman" w:cs="Times New Roman"/>
          <w:b/>
          <w:sz w:val="24"/>
          <w:szCs w:val="24"/>
        </w:rPr>
        <w:t>Plot 2</w:t>
      </w:r>
      <w:r w:rsidRPr="00D546B9">
        <w:rPr>
          <w:rFonts w:ascii="Times New Roman" w:hAnsi="Times New Roman" w:cs="Times New Roman"/>
          <w:sz w:val="24"/>
          <w:szCs w:val="24"/>
        </w:rPr>
        <w:t xml:space="preserve">). The cells were then </w:t>
      </w:r>
      <w:proofErr w:type="spellStart"/>
      <w:r w:rsidRPr="00D546B9">
        <w:rPr>
          <w:rFonts w:ascii="Times New Roman" w:hAnsi="Times New Roman" w:cs="Times New Roman"/>
          <w:sz w:val="24"/>
          <w:szCs w:val="24"/>
        </w:rPr>
        <w:t>ploted</w:t>
      </w:r>
      <w:proofErr w:type="spellEnd"/>
      <w:r w:rsidRPr="00D546B9">
        <w:rPr>
          <w:rFonts w:ascii="Times New Roman" w:hAnsi="Times New Roman" w:cs="Times New Roman"/>
          <w:sz w:val="24"/>
          <w:szCs w:val="24"/>
        </w:rPr>
        <w:t xml:space="preserve"> as Histograms as CFSE (FITC) </w:t>
      </w:r>
      <w:proofErr w:type="gramStart"/>
      <w:r w:rsidRPr="00D546B9">
        <w:rPr>
          <w:rFonts w:ascii="Times New Roman" w:hAnsi="Times New Roman" w:cs="Times New Roman"/>
          <w:sz w:val="24"/>
          <w:szCs w:val="24"/>
        </w:rPr>
        <w:t>Vs</w:t>
      </w:r>
      <w:proofErr w:type="gramEnd"/>
      <w:r w:rsidRPr="00D546B9">
        <w:rPr>
          <w:rFonts w:ascii="Times New Roman" w:hAnsi="Times New Roman" w:cs="Times New Roman"/>
          <w:sz w:val="24"/>
          <w:szCs w:val="24"/>
        </w:rPr>
        <w:t>. cell counts. The samples that were stained with CFSE and unstimulated provided the starting population (</w:t>
      </w:r>
      <w:r w:rsidRPr="00D546B9">
        <w:rPr>
          <w:rFonts w:ascii="Times New Roman" w:hAnsi="Times New Roman" w:cs="Times New Roman"/>
          <w:b/>
          <w:sz w:val="24"/>
          <w:szCs w:val="24"/>
        </w:rPr>
        <w:t>Plot 3A</w:t>
      </w:r>
      <w:r w:rsidRPr="00D546B9">
        <w:rPr>
          <w:rFonts w:ascii="Times New Roman" w:hAnsi="Times New Roman" w:cs="Times New Roman"/>
          <w:sz w:val="24"/>
          <w:szCs w:val="24"/>
        </w:rPr>
        <w:t xml:space="preserve">), the samples that were unstained and stimulated with </w:t>
      </w:r>
      <w:proofErr w:type="spellStart"/>
      <w:r w:rsidRPr="00D546B9">
        <w:rPr>
          <w:rFonts w:ascii="Times New Roman" w:hAnsi="Times New Roman" w:cs="Times New Roman"/>
          <w:sz w:val="24"/>
          <w:szCs w:val="24"/>
        </w:rPr>
        <w:t>ConA</w:t>
      </w:r>
      <w:proofErr w:type="spellEnd"/>
      <w:r w:rsidRPr="00D546B9">
        <w:rPr>
          <w:rFonts w:ascii="Times New Roman" w:hAnsi="Times New Roman" w:cs="Times New Roman"/>
          <w:sz w:val="24"/>
          <w:szCs w:val="24"/>
        </w:rPr>
        <w:t xml:space="preserve"> provided the </w:t>
      </w:r>
      <w:proofErr w:type="spellStart"/>
      <w:r w:rsidRPr="00D546B9">
        <w:rPr>
          <w:rFonts w:ascii="Times New Roman" w:hAnsi="Times New Roman" w:cs="Times New Roman"/>
          <w:sz w:val="24"/>
          <w:szCs w:val="24"/>
        </w:rPr>
        <w:t>autoflourescence</w:t>
      </w:r>
      <w:proofErr w:type="spellEnd"/>
      <w:r w:rsidRPr="00D546B9">
        <w:rPr>
          <w:rFonts w:ascii="Times New Roman" w:hAnsi="Times New Roman" w:cs="Times New Roman"/>
          <w:sz w:val="24"/>
          <w:szCs w:val="24"/>
        </w:rPr>
        <w:t xml:space="preserve"> of proliferating cells (</w:t>
      </w:r>
      <w:r w:rsidRPr="00D546B9">
        <w:rPr>
          <w:rFonts w:ascii="Times New Roman" w:hAnsi="Times New Roman" w:cs="Times New Roman"/>
          <w:b/>
          <w:sz w:val="24"/>
          <w:szCs w:val="24"/>
        </w:rPr>
        <w:t>Plot3B</w:t>
      </w:r>
      <w:r w:rsidRPr="00D546B9">
        <w:rPr>
          <w:rFonts w:ascii="Times New Roman" w:hAnsi="Times New Roman" w:cs="Times New Roman"/>
          <w:sz w:val="24"/>
          <w:szCs w:val="24"/>
        </w:rPr>
        <w:t>). Samples that were stained with CFSE and stimulated with the appropriate stimulant (</w:t>
      </w:r>
      <w:proofErr w:type="spellStart"/>
      <w:r w:rsidRPr="00D546B9">
        <w:rPr>
          <w:rFonts w:ascii="Times New Roman" w:hAnsi="Times New Roman" w:cs="Times New Roman"/>
          <w:sz w:val="24"/>
          <w:szCs w:val="24"/>
        </w:rPr>
        <w:t>ConA</w:t>
      </w:r>
      <w:proofErr w:type="spellEnd"/>
      <w:r w:rsidRPr="00D546B9">
        <w:rPr>
          <w:rFonts w:ascii="Times New Roman" w:hAnsi="Times New Roman" w:cs="Times New Roman"/>
          <w:sz w:val="24"/>
          <w:szCs w:val="24"/>
        </w:rPr>
        <w:t>, HPV Ag, SEA or SWAP</w:t>
      </w:r>
      <w:proofErr w:type="gramStart"/>
      <w:r w:rsidRPr="00D546B9">
        <w:rPr>
          <w:rFonts w:ascii="Times New Roman" w:hAnsi="Times New Roman" w:cs="Times New Roman"/>
          <w:sz w:val="24"/>
          <w:szCs w:val="24"/>
        </w:rPr>
        <w:t>)(</w:t>
      </w:r>
      <w:proofErr w:type="gramEnd"/>
      <w:r w:rsidRPr="00D546B9">
        <w:rPr>
          <w:rFonts w:ascii="Times New Roman" w:hAnsi="Times New Roman" w:cs="Times New Roman"/>
          <w:b/>
          <w:sz w:val="24"/>
          <w:szCs w:val="24"/>
        </w:rPr>
        <w:t>Plot 3C</w:t>
      </w:r>
      <w:r w:rsidRPr="00D546B9">
        <w:rPr>
          <w:rFonts w:ascii="Times New Roman" w:hAnsi="Times New Roman" w:cs="Times New Roman"/>
          <w:sz w:val="24"/>
          <w:szCs w:val="24"/>
        </w:rPr>
        <w:t xml:space="preserve">). The data acquired was then </w:t>
      </w:r>
      <w:proofErr w:type="spellStart"/>
      <w:r w:rsidRPr="00D546B9">
        <w:rPr>
          <w:rFonts w:ascii="Times New Roman" w:hAnsi="Times New Roman" w:cs="Times New Roman"/>
          <w:sz w:val="24"/>
          <w:szCs w:val="24"/>
        </w:rPr>
        <w:t>analysed</w:t>
      </w:r>
      <w:proofErr w:type="spellEnd"/>
      <w:r w:rsidRPr="00D546B9">
        <w:rPr>
          <w:rFonts w:ascii="Times New Roman" w:hAnsi="Times New Roman" w:cs="Times New Roman"/>
          <w:sz w:val="24"/>
          <w:szCs w:val="24"/>
        </w:rPr>
        <w:t xml:space="preserve"> using </w:t>
      </w:r>
      <w:proofErr w:type="spellStart"/>
      <w:r w:rsidRPr="00D546B9">
        <w:rPr>
          <w:rFonts w:ascii="Times New Roman" w:hAnsi="Times New Roman" w:cs="Times New Roman"/>
          <w:sz w:val="24"/>
          <w:szCs w:val="24"/>
        </w:rPr>
        <w:t>FlowJo</w:t>
      </w:r>
      <w:proofErr w:type="spellEnd"/>
      <w:r w:rsidRPr="00D546B9">
        <w:rPr>
          <w:rFonts w:ascii="Times New Roman" w:hAnsi="Times New Roman" w:cs="Times New Roman"/>
          <w:sz w:val="24"/>
          <w:szCs w:val="24"/>
        </w:rPr>
        <w:t xml:space="preserve"> Version 10 (</w:t>
      </w:r>
      <w:proofErr w:type="spellStart"/>
      <w:r w:rsidRPr="00D546B9">
        <w:rPr>
          <w:rFonts w:ascii="Times New Roman" w:hAnsi="Times New Roman" w:cs="Times New Roman"/>
          <w:sz w:val="24"/>
          <w:szCs w:val="24"/>
        </w:rPr>
        <w:t>FlowJo</w:t>
      </w:r>
      <w:proofErr w:type="spellEnd"/>
      <w:r w:rsidRPr="00D546B9">
        <w:rPr>
          <w:rFonts w:ascii="Times New Roman" w:hAnsi="Times New Roman" w:cs="Times New Roman"/>
          <w:sz w:val="24"/>
          <w:szCs w:val="24"/>
        </w:rPr>
        <w:t xml:space="preserve"> LLC, USA).</w:t>
      </w:r>
    </w:p>
    <w:p w:rsidR="005350BD" w:rsidRDefault="005350BD" w:rsidP="000459E9">
      <w:pPr>
        <w:pStyle w:val="Caption"/>
      </w:pPr>
    </w:p>
    <w:sectPr w:rsidR="0053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E9"/>
    <w:rsid w:val="000459E9"/>
    <w:rsid w:val="0053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7857C-6874-4E6A-9373-2C3B3A0F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459E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Gent</dc:creator>
  <cp:keywords/>
  <dc:description/>
  <cp:lastModifiedBy>Vicky Gent</cp:lastModifiedBy>
  <cp:revision>1</cp:revision>
  <dcterms:created xsi:type="dcterms:W3CDTF">2018-09-05T12:52:00Z</dcterms:created>
  <dcterms:modified xsi:type="dcterms:W3CDTF">2018-09-05T12:54:00Z</dcterms:modified>
</cp:coreProperties>
</file>