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337" w:rsidRPr="002E4722" w:rsidRDefault="0078570F" w:rsidP="008B6337">
      <w:pPr>
        <w:rPr>
          <w:b/>
          <w:sz w:val="24"/>
          <w:szCs w:val="24"/>
        </w:rPr>
      </w:pPr>
      <w:r>
        <w:rPr>
          <w:b/>
          <w:sz w:val="24"/>
          <w:szCs w:val="24"/>
        </w:rPr>
        <w:t>S1</w:t>
      </w:r>
      <w:r w:rsidR="00DF744F">
        <w:rPr>
          <w:b/>
          <w:sz w:val="24"/>
          <w:szCs w:val="24"/>
        </w:rPr>
        <w:t xml:space="preserve"> </w:t>
      </w:r>
      <w:r w:rsidR="008B6337" w:rsidRPr="002E4722">
        <w:rPr>
          <w:b/>
          <w:sz w:val="24"/>
          <w:szCs w:val="24"/>
        </w:rPr>
        <w:t xml:space="preserve">Table. Summary of studies investigating costs </w:t>
      </w:r>
      <w:r w:rsidR="008B6337">
        <w:rPr>
          <w:b/>
          <w:sz w:val="24"/>
          <w:szCs w:val="24"/>
        </w:rPr>
        <w:t xml:space="preserve">of resistance in </w:t>
      </w:r>
      <w:r w:rsidR="008B6337" w:rsidRPr="00752C09">
        <w:rPr>
          <w:b/>
          <w:i/>
          <w:sz w:val="24"/>
          <w:szCs w:val="24"/>
        </w:rPr>
        <w:t>Aedes</w:t>
      </w:r>
      <w:r w:rsidR="008B6337">
        <w:rPr>
          <w:b/>
          <w:sz w:val="24"/>
          <w:szCs w:val="24"/>
        </w:rPr>
        <w:t xml:space="preserve"> (all </w:t>
      </w:r>
      <w:r w:rsidR="008B6337" w:rsidRPr="002E4722">
        <w:rPr>
          <w:b/>
          <w:i/>
          <w:sz w:val="24"/>
          <w:szCs w:val="24"/>
        </w:rPr>
        <w:t>Ae. aegypti</w:t>
      </w:r>
      <w:r w:rsidR="008B6337" w:rsidRPr="002E4722">
        <w:rPr>
          <w:b/>
          <w:sz w:val="24"/>
          <w:szCs w:val="24"/>
        </w:rPr>
        <w:t>)</w:t>
      </w:r>
    </w:p>
    <w:tbl>
      <w:tblPr>
        <w:tblStyle w:val="TableauListe2"/>
        <w:tblW w:w="13764" w:type="dxa"/>
        <w:tblInd w:w="-567" w:type="dxa"/>
        <w:tblLook w:val="04A0" w:firstRow="1" w:lastRow="0" w:firstColumn="1" w:lastColumn="0" w:noHBand="0" w:noVBand="1"/>
      </w:tblPr>
      <w:tblGrid>
        <w:gridCol w:w="2268"/>
        <w:gridCol w:w="2227"/>
        <w:gridCol w:w="2110"/>
        <w:gridCol w:w="1160"/>
        <w:gridCol w:w="1641"/>
        <w:gridCol w:w="551"/>
        <w:gridCol w:w="572"/>
        <w:gridCol w:w="546"/>
        <w:gridCol w:w="522"/>
        <w:gridCol w:w="546"/>
        <w:gridCol w:w="525"/>
        <w:gridCol w:w="522"/>
        <w:gridCol w:w="574"/>
      </w:tblGrid>
      <w:tr w:rsidR="008B6337" w:rsidRPr="008B6337" w:rsidTr="0078570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hideMark/>
          </w:tcPr>
          <w:p w:rsidR="008B6337" w:rsidRPr="008B6337" w:rsidRDefault="008B6337">
            <w:r w:rsidRPr="008B6337">
              <w:t>Source</w:t>
            </w:r>
          </w:p>
        </w:tc>
        <w:tc>
          <w:tcPr>
            <w:tcW w:w="2227" w:type="dxa"/>
            <w:hideMark/>
          </w:tcPr>
          <w:p w:rsidR="008B6337" w:rsidRPr="008B6337" w:rsidRDefault="008B6337">
            <w:pPr>
              <w:cnfStyle w:val="100000000000" w:firstRow="1" w:lastRow="0" w:firstColumn="0" w:lastColumn="0" w:oddVBand="0" w:evenVBand="0" w:oddHBand="0" w:evenHBand="0" w:firstRowFirstColumn="0" w:firstRowLastColumn="0" w:lastRowFirstColumn="0" w:lastRowLastColumn="0"/>
            </w:pPr>
            <w:r w:rsidRPr="008B6337">
              <w:t>selection regime</w:t>
            </w:r>
          </w:p>
        </w:tc>
        <w:tc>
          <w:tcPr>
            <w:tcW w:w="2110" w:type="dxa"/>
            <w:hideMark/>
          </w:tcPr>
          <w:p w:rsidR="008B6337" w:rsidRPr="008B6337" w:rsidRDefault="008B6337">
            <w:pPr>
              <w:cnfStyle w:val="100000000000" w:firstRow="1" w:lastRow="0" w:firstColumn="0" w:lastColumn="0" w:oddVBand="0" w:evenVBand="0" w:oddHBand="0" w:evenHBand="0" w:firstRowFirstColumn="0" w:firstRowLastColumn="0" w:lastRowFirstColumn="0" w:lastRowLastColumn="0"/>
            </w:pPr>
            <w:r w:rsidRPr="008B6337">
              <w:t>comparison</w:t>
            </w:r>
          </w:p>
        </w:tc>
        <w:tc>
          <w:tcPr>
            <w:tcW w:w="1160" w:type="dxa"/>
            <w:hideMark/>
          </w:tcPr>
          <w:p w:rsidR="008B6337" w:rsidRPr="008B6337" w:rsidRDefault="008B6337">
            <w:pPr>
              <w:cnfStyle w:val="100000000000" w:firstRow="1" w:lastRow="0" w:firstColumn="0" w:lastColumn="0" w:oddVBand="0" w:evenVBand="0" w:oddHBand="0" w:evenHBand="0" w:firstRowFirstColumn="0" w:firstRowLastColumn="0" w:lastRowFirstColumn="0" w:lastRowLastColumn="0"/>
            </w:pPr>
            <w:r w:rsidRPr="008B6337">
              <w:t>resistance</w:t>
            </w:r>
          </w:p>
        </w:tc>
        <w:tc>
          <w:tcPr>
            <w:tcW w:w="1641" w:type="dxa"/>
            <w:hideMark/>
          </w:tcPr>
          <w:p w:rsidR="008B6337" w:rsidRPr="008B6337" w:rsidRDefault="008B6337">
            <w:pPr>
              <w:cnfStyle w:val="100000000000" w:firstRow="1" w:lastRow="0" w:firstColumn="0" w:lastColumn="0" w:oddVBand="0" w:evenVBand="0" w:oddHBand="0" w:evenHBand="0" w:firstRowFirstColumn="0" w:firstRowLastColumn="0" w:lastRowFirstColumn="0" w:lastRowLastColumn="0"/>
            </w:pPr>
            <w:r w:rsidRPr="008B6337">
              <w:t>mechanism(s)</w:t>
            </w:r>
          </w:p>
        </w:tc>
        <w:tc>
          <w:tcPr>
            <w:tcW w:w="551" w:type="dxa"/>
            <w:hideMark/>
          </w:tcPr>
          <w:p w:rsidR="008B6337" w:rsidRPr="008B6337" w:rsidRDefault="008B6337">
            <w:pPr>
              <w:cnfStyle w:val="100000000000" w:firstRow="1" w:lastRow="0" w:firstColumn="0" w:lastColumn="0" w:oddVBand="0" w:evenVBand="0" w:oddHBand="0" w:evenHBand="0" w:firstRowFirstColumn="0" w:firstRowLastColumn="0" w:lastRowFirstColumn="0" w:lastRowLastColumn="0"/>
            </w:pPr>
            <w:proofErr w:type="spellStart"/>
            <w:r w:rsidRPr="008B6337">
              <w:t>LdR</w:t>
            </w:r>
            <w:proofErr w:type="spellEnd"/>
          </w:p>
        </w:tc>
        <w:tc>
          <w:tcPr>
            <w:tcW w:w="572" w:type="dxa"/>
            <w:hideMark/>
          </w:tcPr>
          <w:p w:rsidR="008B6337" w:rsidRPr="008B6337" w:rsidRDefault="008B6337">
            <w:pPr>
              <w:cnfStyle w:val="100000000000" w:firstRow="1" w:lastRow="0" w:firstColumn="0" w:lastColumn="0" w:oddVBand="0" w:evenVBand="0" w:oddHBand="0" w:evenHBand="0" w:firstRowFirstColumn="0" w:firstRowLastColumn="0" w:lastRowFirstColumn="0" w:lastRowLastColumn="0"/>
            </w:pPr>
            <w:proofErr w:type="spellStart"/>
            <w:r w:rsidRPr="008B6337">
              <w:t>AdS</w:t>
            </w:r>
            <w:proofErr w:type="spellEnd"/>
          </w:p>
        </w:tc>
        <w:tc>
          <w:tcPr>
            <w:tcW w:w="546" w:type="dxa"/>
            <w:hideMark/>
          </w:tcPr>
          <w:p w:rsidR="008B6337" w:rsidRPr="008B6337" w:rsidRDefault="008B6337">
            <w:pPr>
              <w:cnfStyle w:val="100000000000" w:firstRow="1" w:lastRow="0" w:firstColumn="0" w:lastColumn="0" w:oddVBand="0" w:evenVBand="0" w:oddHBand="0" w:evenHBand="0" w:firstRowFirstColumn="0" w:firstRowLastColumn="0" w:lastRowFirstColumn="0" w:lastRowLastColumn="0"/>
            </w:pPr>
            <w:r w:rsidRPr="008B6337">
              <w:t>Lon</w:t>
            </w:r>
          </w:p>
        </w:tc>
        <w:tc>
          <w:tcPr>
            <w:tcW w:w="522" w:type="dxa"/>
            <w:hideMark/>
          </w:tcPr>
          <w:p w:rsidR="008B6337" w:rsidRPr="008B6337" w:rsidRDefault="008B6337">
            <w:pPr>
              <w:cnfStyle w:val="100000000000" w:firstRow="1" w:lastRow="0" w:firstColumn="0" w:lastColumn="0" w:oddVBand="0" w:evenVBand="0" w:oddHBand="0" w:evenHBand="0" w:firstRowFirstColumn="0" w:firstRowLastColumn="0" w:lastRowFirstColumn="0" w:lastRowLastColumn="0"/>
            </w:pPr>
            <w:proofErr w:type="spellStart"/>
            <w:r w:rsidRPr="008B6337">
              <w:t>Siz</w:t>
            </w:r>
            <w:proofErr w:type="spellEnd"/>
          </w:p>
        </w:tc>
        <w:tc>
          <w:tcPr>
            <w:tcW w:w="546" w:type="dxa"/>
            <w:hideMark/>
          </w:tcPr>
          <w:p w:rsidR="008B6337" w:rsidRPr="008B6337" w:rsidRDefault="008B6337">
            <w:pPr>
              <w:cnfStyle w:val="100000000000" w:firstRow="1" w:lastRow="0" w:firstColumn="0" w:lastColumn="0" w:oddVBand="0" w:evenVBand="0" w:oddHBand="0" w:evenHBand="0" w:firstRowFirstColumn="0" w:firstRowLastColumn="0" w:lastRowFirstColumn="0" w:lastRowLastColumn="0"/>
            </w:pPr>
            <w:r w:rsidRPr="008B6337">
              <w:t>Fed</w:t>
            </w:r>
          </w:p>
        </w:tc>
        <w:tc>
          <w:tcPr>
            <w:tcW w:w="525" w:type="dxa"/>
            <w:hideMark/>
          </w:tcPr>
          <w:p w:rsidR="008B6337" w:rsidRPr="008B6337" w:rsidRDefault="008B6337">
            <w:pPr>
              <w:cnfStyle w:val="100000000000" w:firstRow="1" w:lastRow="0" w:firstColumn="0" w:lastColumn="0" w:oddVBand="0" w:evenVBand="0" w:oddHBand="0" w:evenHBand="0" w:firstRowFirstColumn="0" w:firstRowLastColumn="0" w:lastRowFirstColumn="0" w:lastRowLastColumn="0"/>
            </w:pPr>
            <w:proofErr w:type="spellStart"/>
            <w:r w:rsidRPr="008B6337">
              <w:t>Fec</w:t>
            </w:r>
            <w:proofErr w:type="spellEnd"/>
          </w:p>
        </w:tc>
        <w:tc>
          <w:tcPr>
            <w:tcW w:w="522" w:type="dxa"/>
            <w:hideMark/>
          </w:tcPr>
          <w:p w:rsidR="008B6337" w:rsidRPr="008B6337" w:rsidRDefault="008B6337">
            <w:pPr>
              <w:cnfStyle w:val="100000000000" w:firstRow="1" w:lastRow="0" w:firstColumn="0" w:lastColumn="0" w:oddVBand="0" w:evenVBand="0" w:oddHBand="0" w:evenHBand="0" w:firstRowFirstColumn="0" w:firstRowLastColumn="0" w:lastRowFirstColumn="0" w:lastRowLastColumn="0"/>
            </w:pPr>
            <w:r w:rsidRPr="008B6337">
              <w:t>Ins</w:t>
            </w:r>
          </w:p>
        </w:tc>
        <w:tc>
          <w:tcPr>
            <w:tcW w:w="574" w:type="dxa"/>
            <w:hideMark/>
          </w:tcPr>
          <w:p w:rsidR="008B6337" w:rsidRPr="008B6337" w:rsidRDefault="008B6337">
            <w:pPr>
              <w:cnfStyle w:val="100000000000" w:firstRow="1" w:lastRow="0" w:firstColumn="0" w:lastColumn="0" w:oddVBand="0" w:evenVBand="0" w:oddHBand="0" w:evenHBand="0" w:firstRowFirstColumn="0" w:firstRowLastColumn="0" w:lastRowFirstColumn="0" w:lastRowLastColumn="0"/>
            </w:pPr>
            <w:r w:rsidRPr="008B6337">
              <w:t>Ref</w:t>
            </w:r>
          </w:p>
        </w:tc>
      </w:tr>
      <w:tr w:rsidR="008B6337" w:rsidRPr="008B6337" w:rsidTr="007857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hideMark/>
          </w:tcPr>
          <w:p w:rsidR="008B6337" w:rsidRPr="008B6337" w:rsidRDefault="008B6337">
            <w:r w:rsidRPr="008B6337">
              <w:t>Brazil (field lines)</w:t>
            </w:r>
          </w:p>
        </w:tc>
        <w:tc>
          <w:tcPr>
            <w:tcW w:w="2227"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diflubenzuron: 6-7 g</w:t>
            </w:r>
          </w:p>
        </w:tc>
        <w:tc>
          <w:tcPr>
            <w:tcW w:w="2110"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selected/unselected</w:t>
            </w:r>
          </w:p>
        </w:tc>
        <w:tc>
          <w:tcPr>
            <w:tcW w:w="1160"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≈4x</w:t>
            </w:r>
          </w:p>
        </w:tc>
        <w:tc>
          <w:tcPr>
            <w:tcW w:w="1641"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51"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72"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46"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rPr>
                <w:b/>
                <w:bCs/>
              </w:rPr>
            </w:pPr>
            <w:r w:rsidRPr="008B6337">
              <w:rPr>
                <w:b/>
                <w:bCs/>
              </w:rPr>
              <w:t>↓</w:t>
            </w:r>
          </w:p>
        </w:tc>
        <w:tc>
          <w:tcPr>
            <w:tcW w:w="522"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46"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rPr>
                <w:b/>
                <w:bCs/>
              </w:rPr>
            </w:pPr>
            <w:r w:rsidRPr="008B6337">
              <w:rPr>
                <w:b/>
                <w:bCs/>
              </w:rPr>
              <w:t>↓</w:t>
            </w:r>
          </w:p>
        </w:tc>
        <w:tc>
          <w:tcPr>
            <w:tcW w:w="525"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rPr>
                <w:b/>
                <w:bCs/>
              </w:rPr>
            </w:pPr>
            <w:r w:rsidRPr="008B6337">
              <w:rPr>
                <w:b/>
                <w:bCs/>
              </w:rPr>
              <w:t>↓</w:t>
            </w:r>
          </w:p>
        </w:tc>
        <w:tc>
          <w:tcPr>
            <w:tcW w:w="522"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rPr>
                <w:b/>
                <w:bCs/>
              </w:rPr>
            </w:pPr>
            <w:r w:rsidRPr="008B6337">
              <w:rPr>
                <w:b/>
                <w:bCs/>
              </w:rPr>
              <w:t>↓</w:t>
            </w:r>
          </w:p>
        </w:tc>
        <w:tc>
          <w:tcPr>
            <w:tcW w:w="574"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t>[1</w:t>
            </w:r>
            <w:r w:rsidRPr="008B6337">
              <w:t>]</w:t>
            </w:r>
          </w:p>
        </w:tc>
      </w:tr>
      <w:tr w:rsidR="008B6337" w:rsidRPr="008B6337" w:rsidTr="0078570F">
        <w:trPr>
          <w:trHeight w:val="255"/>
        </w:trPr>
        <w:tc>
          <w:tcPr>
            <w:cnfStyle w:val="001000000000" w:firstRow="0" w:lastRow="0" w:firstColumn="1" w:lastColumn="0" w:oddVBand="0" w:evenVBand="0" w:oddHBand="0" w:evenHBand="0" w:firstRowFirstColumn="0" w:firstRowLastColumn="0" w:lastRowFirstColumn="0" w:lastRowLastColumn="0"/>
            <w:tcW w:w="2268" w:type="dxa"/>
            <w:hideMark/>
          </w:tcPr>
          <w:p w:rsidR="008B6337" w:rsidRPr="008B6337" w:rsidRDefault="008B6337">
            <w:r w:rsidRPr="008B6337">
              <w:t>Rockefeller strain</w:t>
            </w:r>
          </w:p>
        </w:tc>
        <w:tc>
          <w:tcPr>
            <w:tcW w:w="2227"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1016I+1534C crossed into Rockefeller</w:t>
            </w:r>
          </w:p>
        </w:tc>
        <w:tc>
          <w:tcPr>
            <w:tcW w:w="2110"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Rock-kdr/Rockefeller</w:t>
            </w:r>
          </w:p>
        </w:tc>
        <w:tc>
          <w:tcPr>
            <w:tcW w:w="1160"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≈100x</w:t>
            </w:r>
          </w:p>
        </w:tc>
        <w:tc>
          <w:tcPr>
            <w:tcW w:w="1641"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rPr>
                <w:i/>
                <w:iCs/>
              </w:rPr>
            </w:pPr>
            <w:r w:rsidRPr="008B6337">
              <w:rPr>
                <w:i/>
                <w:iCs/>
              </w:rPr>
              <w:t xml:space="preserve">kdr </w:t>
            </w:r>
            <w:r w:rsidRPr="008B6337">
              <w:t>1016I+1534C</w:t>
            </w:r>
          </w:p>
        </w:tc>
        <w:tc>
          <w:tcPr>
            <w:tcW w:w="551"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rPr>
                <w:b/>
                <w:bCs/>
              </w:rPr>
            </w:pPr>
            <w:r w:rsidRPr="008B6337">
              <w:rPr>
                <w:b/>
                <w:bCs/>
              </w:rPr>
              <w:t>↓</w:t>
            </w:r>
          </w:p>
        </w:tc>
        <w:tc>
          <w:tcPr>
            <w:tcW w:w="572"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w:t>
            </w:r>
          </w:p>
        </w:tc>
        <w:tc>
          <w:tcPr>
            <w:tcW w:w="546"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w:t>
            </w:r>
          </w:p>
        </w:tc>
        <w:tc>
          <w:tcPr>
            <w:tcW w:w="522"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n/a</w:t>
            </w:r>
          </w:p>
        </w:tc>
        <w:tc>
          <w:tcPr>
            <w:tcW w:w="546"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n/a</w:t>
            </w:r>
          </w:p>
        </w:tc>
        <w:tc>
          <w:tcPr>
            <w:tcW w:w="525"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rPr>
                <w:b/>
                <w:bCs/>
              </w:rPr>
            </w:pPr>
            <w:r w:rsidRPr="008B6337">
              <w:rPr>
                <w:b/>
                <w:bCs/>
              </w:rPr>
              <w:t>↓</w:t>
            </w:r>
          </w:p>
        </w:tc>
        <w:tc>
          <w:tcPr>
            <w:tcW w:w="522"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n/a</w:t>
            </w:r>
          </w:p>
        </w:tc>
        <w:tc>
          <w:tcPr>
            <w:tcW w:w="574"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t>[2</w:t>
            </w:r>
            <w:r w:rsidRPr="008B6337">
              <w:t>]</w:t>
            </w:r>
          </w:p>
        </w:tc>
      </w:tr>
      <w:tr w:rsidR="008B6337" w:rsidRPr="008B6337" w:rsidTr="007857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hideMark/>
          </w:tcPr>
          <w:p w:rsidR="008B6337" w:rsidRPr="008B6337" w:rsidRDefault="008B6337">
            <w:r w:rsidRPr="008B6337">
              <w:t>Taiwan strain (Per-R)</w:t>
            </w:r>
          </w:p>
        </w:tc>
        <w:tc>
          <w:tcPr>
            <w:tcW w:w="2227"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 xml:space="preserve">permethrin selection </w:t>
            </w:r>
            <w:r w:rsidRPr="008B6337">
              <w:rPr>
                <w:i/>
                <w:iCs/>
              </w:rPr>
              <w:t>withdrawn</w:t>
            </w:r>
            <w:r w:rsidRPr="008B6337">
              <w:t xml:space="preserve"> for 15 g</w:t>
            </w:r>
          </w:p>
        </w:tc>
        <w:tc>
          <w:tcPr>
            <w:tcW w:w="2110"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resistant/resistance reversed</w:t>
            </w:r>
          </w:p>
        </w:tc>
        <w:tc>
          <w:tcPr>
            <w:tcW w:w="1160"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5x</w:t>
            </w:r>
          </w:p>
        </w:tc>
        <w:tc>
          <w:tcPr>
            <w:tcW w:w="1641"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rPr>
                <w:i/>
                <w:iCs/>
              </w:rPr>
              <w:t>kdr</w:t>
            </w:r>
            <w:r w:rsidRPr="008B6337">
              <w:t xml:space="preserve"> V1016I+D1763Y</w:t>
            </w:r>
          </w:p>
        </w:tc>
        <w:tc>
          <w:tcPr>
            <w:tcW w:w="551"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72"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46"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22"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46"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25"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22"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74"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t>[3</w:t>
            </w:r>
            <w:r w:rsidRPr="008B6337">
              <w:t>]</w:t>
            </w:r>
          </w:p>
        </w:tc>
      </w:tr>
      <w:tr w:rsidR="008B6337" w:rsidRPr="008B6337" w:rsidTr="0078570F">
        <w:trPr>
          <w:trHeight w:val="255"/>
        </w:trPr>
        <w:tc>
          <w:tcPr>
            <w:cnfStyle w:val="001000000000" w:firstRow="0" w:lastRow="0" w:firstColumn="1" w:lastColumn="0" w:oddVBand="0" w:evenVBand="0" w:oddHBand="0" w:evenHBand="0" w:firstRowFirstColumn="0" w:firstRowLastColumn="0" w:lastRowFirstColumn="0" w:lastRowLastColumn="0"/>
            <w:tcW w:w="2268" w:type="dxa"/>
            <w:hideMark/>
          </w:tcPr>
          <w:p w:rsidR="008B6337" w:rsidRPr="008B6337" w:rsidRDefault="008B6337">
            <w:r w:rsidRPr="008B6337">
              <w:t>Brazil (Rec-R strain)</w:t>
            </w:r>
          </w:p>
        </w:tc>
        <w:tc>
          <w:tcPr>
            <w:tcW w:w="2227"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 xml:space="preserve">temephos selection </w:t>
            </w:r>
            <w:r w:rsidRPr="008B6337">
              <w:rPr>
                <w:i/>
                <w:iCs/>
              </w:rPr>
              <w:t>withdrawn</w:t>
            </w:r>
            <w:r w:rsidRPr="008B6337">
              <w:t xml:space="preserve"> for 21 g</w:t>
            </w:r>
          </w:p>
        </w:tc>
        <w:tc>
          <w:tcPr>
            <w:tcW w:w="2110"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resistant/resistance reversed</w:t>
            </w:r>
          </w:p>
        </w:tc>
        <w:tc>
          <w:tcPr>
            <w:tcW w:w="1160"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40x</w:t>
            </w:r>
          </w:p>
        </w:tc>
        <w:tc>
          <w:tcPr>
            <w:tcW w:w="1641"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esterases, GSTs</w:t>
            </w:r>
          </w:p>
        </w:tc>
        <w:tc>
          <w:tcPr>
            <w:tcW w:w="551"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rPr>
                <w:b/>
                <w:bCs/>
              </w:rPr>
            </w:pPr>
            <w:r w:rsidRPr="008B6337">
              <w:rPr>
                <w:b/>
                <w:bCs/>
              </w:rPr>
              <w:t>↓</w:t>
            </w:r>
          </w:p>
        </w:tc>
        <w:tc>
          <w:tcPr>
            <w:tcW w:w="572"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rPr>
                <w:b/>
                <w:bCs/>
              </w:rPr>
            </w:pPr>
            <w:r w:rsidRPr="008B6337">
              <w:rPr>
                <w:b/>
                <w:bCs/>
              </w:rPr>
              <w:t>↓</w:t>
            </w:r>
          </w:p>
        </w:tc>
        <w:tc>
          <w:tcPr>
            <w:tcW w:w="546"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rPr>
                <w:b/>
                <w:bCs/>
              </w:rPr>
            </w:pPr>
            <w:r w:rsidRPr="008B6337">
              <w:rPr>
                <w:b/>
                <w:bCs/>
              </w:rPr>
              <w:t>↓</w:t>
            </w:r>
          </w:p>
        </w:tc>
        <w:tc>
          <w:tcPr>
            <w:tcW w:w="522"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n/a</w:t>
            </w:r>
          </w:p>
        </w:tc>
        <w:tc>
          <w:tcPr>
            <w:tcW w:w="546"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n/a</w:t>
            </w:r>
          </w:p>
        </w:tc>
        <w:tc>
          <w:tcPr>
            <w:tcW w:w="525"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rPr>
                <w:b/>
                <w:bCs/>
              </w:rPr>
            </w:pPr>
            <w:r w:rsidRPr="008B6337">
              <w:rPr>
                <w:b/>
                <w:bCs/>
              </w:rPr>
              <w:t>↓</w:t>
            </w:r>
          </w:p>
        </w:tc>
        <w:tc>
          <w:tcPr>
            <w:tcW w:w="522"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n/a</w:t>
            </w:r>
          </w:p>
        </w:tc>
        <w:tc>
          <w:tcPr>
            <w:tcW w:w="574"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t>[</w:t>
            </w:r>
            <w:r w:rsidRPr="008B6337">
              <w:t>4]</w:t>
            </w:r>
          </w:p>
        </w:tc>
      </w:tr>
      <w:tr w:rsidR="008B6337" w:rsidRPr="008B6337" w:rsidTr="007857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hideMark/>
          </w:tcPr>
          <w:p w:rsidR="008B6337" w:rsidRPr="008B6337" w:rsidRDefault="008B6337">
            <w:r w:rsidRPr="008B6337">
              <w:t>Brazil (3 field lines)</w:t>
            </w:r>
          </w:p>
        </w:tc>
        <w:tc>
          <w:tcPr>
            <w:tcW w:w="2227"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deltamethrin: 9 g</w:t>
            </w:r>
          </w:p>
        </w:tc>
        <w:tc>
          <w:tcPr>
            <w:tcW w:w="2110"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selected/unselected</w:t>
            </w:r>
          </w:p>
        </w:tc>
        <w:tc>
          <w:tcPr>
            <w:tcW w:w="1160"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6x</w:t>
            </w:r>
          </w:p>
        </w:tc>
        <w:tc>
          <w:tcPr>
            <w:tcW w:w="1641"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51"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rPr>
                <w:b/>
                <w:bCs/>
              </w:rPr>
            </w:pPr>
            <w:r w:rsidRPr="008B6337">
              <w:rPr>
                <w:b/>
                <w:bCs/>
              </w:rPr>
              <w:t>↓</w:t>
            </w:r>
          </w:p>
        </w:tc>
        <w:tc>
          <w:tcPr>
            <w:tcW w:w="572"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46"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rPr>
                <w:b/>
                <w:bCs/>
              </w:rPr>
            </w:pPr>
            <w:r w:rsidRPr="008B6337">
              <w:rPr>
                <w:b/>
                <w:bCs/>
              </w:rPr>
              <w:t>↓</w:t>
            </w:r>
          </w:p>
        </w:tc>
        <w:tc>
          <w:tcPr>
            <w:tcW w:w="522"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46"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rPr>
                <w:b/>
                <w:bCs/>
              </w:rPr>
            </w:pPr>
            <w:r w:rsidRPr="008B6337">
              <w:rPr>
                <w:b/>
                <w:bCs/>
              </w:rPr>
              <w:t>↓</w:t>
            </w:r>
          </w:p>
        </w:tc>
        <w:tc>
          <w:tcPr>
            <w:tcW w:w="525"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rPr>
                <w:b/>
                <w:bCs/>
              </w:rPr>
            </w:pPr>
            <w:r w:rsidRPr="008B6337">
              <w:rPr>
                <w:b/>
                <w:bCs/>
              </w:rPr>
              <w:t>↓</w:t>
            </w:r>
          </w:p>
        </w:tc>
        <w:tc>
          <w:tcPr>
            <w:tcW w:w="522"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74"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t>[</w:t>
            </w:r>
            <w:r w:rsidRPr="008B6337">
              <w:t>5]</w:t>
            </w:r>
          </w:p>
        </w:tc>
      </w:tr>
      <w:tr w:rsidR="008B6337" w:rsidRPr="008B6337" w:rsidTr="0078570F">
        <w:trPr>
          <w:trHeight w:val="255"/>
        </w:trPr>
        <w:tc>
          <w:tcPr>
            <w:cnfStyle w:val="001000000000" w:firstRow="0" w:lastRow="0" w:firstColumn="1" w:lastColumn="0" w:oddVBand="0" w:evenVBand="0" w:oddHBand="0" w:evenHBand="0" w:firstRowFirstColumn="0" w:firstRowLastColumn="0" w:lastRowFirstColumn="0" w:lastRowLastColumn="0"/>
            <w:tcW w:w="2268" w:type="dxa"/>
            <w:hideMark/>
          </w:tcPr>
          <w:p w:rsidR="008B6337" w:rsidRPr="008B6337" w:rsidRDefault="008B6337">
            <w:r w:rsidRPr="008B6337">
              <w:t>Thai strain (PMD-R)</w:t>
            </w:r>
          </w:p>
        </w:tc>
        <w:tc>
          <w:tcPr>
            <w:tcW w:w="2227"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permethrin: 10 years</w:t>
            </w:r>
          </w:p>
        </w:tc>
        <w:tc>
          <w:tcPr>
            <w:tcW w:w="2110"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selected/unselected</w:t>
            </w:r>
          </w:p>
        </w:tc>
        <w:tc>
          <w:tcPr>
            <w:tcW w:w="1160"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n/a</w:t>
            </w:r>
          </w:p>
        </w:tc>
        <w:tc>
          <w:tcPr>
            <w:tcW w:w="1641"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rPr>
                <w:i/>
                <w:iCs/>
              </w:rPr>
              <w:t>kdr</w:t>
            </w:r>
            <w:r w:rsidRPr="008B6337">
              <w:t xml:space="preserve"> F1534C</w:t>
            </w:r>
          </w:p>
        </w:tc>
        <w:tc>
          <w:tcPr>
            <w:tcW w:w="551"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w:t>
            </w:r>
          </w:p>
        </w:tc>
        <w:tc>
          <w:tcPr>
            <w:tcW w:w="572"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w:t>
            </w:r>
          </w:p>
        </w:tc>
        <w:tc>
          <w:tcPr>
            <w:tcW w:w="546"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w:t>
            </w:r>
          </w:p>
        </w:tc>
        <w:tc>
          <w:tcPr>
            <w:tcW w:w="522"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rPr>
                <w:b/>
                <w:bCs/>
              </w:rPr>
            </w:pPr>
            <w:r w:rsidRPr="008B6337">
              <w:rPr>
                <w:b/>
                <w:bCs/>
              </w:rPr>
              <w:t>↓</w:t>
            </w:r>
          </w:p>
        </w:tc>
        <w:tc>
          <w:tcPr>
            <w:tcW w:w="546"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n/a</w:t>
            </w:r>
          </w:p>
        </w:tc>
        <w:tc>
          <w:tcPr>
            <w:tcW w:w="525" w:type="dxa"/>
            <w:hideMark/>
          </w:tcPr>
          <w:p w:rsidR="008B6337" w:rsidRPr="00380360" w:rsidRDefault="008B6337">
            <w:pPr>
              <w:cnfStyle w:val="000000000000" w:firstRow="0" w:lastRow="0" w:firstColumn="0" w:lastColumn="0" w:oddVBand="0" w:evenVBand="0" w:oddHBand="0" w:evenHBand="0" w:firstRowFirstColumn="0" w:firstRowLastColumn="0" w:lastRowFirstColumn="0" w:lastRowLastColumn="0"/>
              <w:rPr>
                <w:b/>
              </w:rPr>
            </w:pPr>
            <w:r w:rsidRPr="00380360">
              <w:rPr>
                <w:b/>
              </w:rPr>
              <w:t>↑</w:t>
            </w:r>
          </w:p>
        </w:tc>
        <w:tc>
          <w:tcPr>
            <w:tcW w:w="522"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w:t>
            </w:r>
          </w:p>
        </w:tc>
        <w:tc>
          <w:tcPr>
            <w:tcW w:w="574"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t>[</w:t>
            </w:r>
            <w:r w:rsidRPr="008B6337">
              <w:t>6]</w:t>
            </w:r>
          </w:p>
        </w:tc>
      </w:tr>
      <w:tr w:rsidR="008B6337" w:rsidRPr="008B6337" w:rsidTr="007857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hideMark/>
          </w:tcPr>
          <w:p w:rsidR="008B6337" w:rsidRPr="008B6337" w:rsidRDefault="008B6337">
            <w:r w:rsidRPr="008B6337">
              <w:t>Colombia (field line)</w:t>
            </w:r>
          </w:p>
        </w:tc>
        <w:tc>
          <w:tcPr>
            <w:tcW w:w="2227"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lambda-cyhalothrin for 9-10 g</w:t>
            </w:r>
          </w:p>
        </w:tc>
        <w:tc>
          <w:tcPr>
            <w:tcW w:w="2110"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selected/unselected</w:t>
            </w:r>
          </w:p>
        </w:tc>
        <w:tc>
          <w:tcPr>
            <w:tcW w:w="1160"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8-22x</w:t>
            </w:r>
          </w:p>
        </w:tc>
        <w:tc>
          <w:tcPr>
            <w:tcW w:w="1641"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51"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w:t>
            </w:r>
          </w:p>
        </w:tc>
        <w:tc>
          <w:tcPr>
            <w:tcW w:w="572"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w:t>
            </w:r>
          </w:p>
        </w:tc>
        <w:tc>
          <w:tcPr>
            <w:tcW w:w="546"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rPr>
                <w:b/>
                <w:bCs/>
              </w:rPr>
            </w:pPr>
            <w:r w:rsidRPr="008B6337">
              <w:rPr>
                <w:b/>
                <w:bCs/>
              </w:rPr>
              <w:t>↓</w:t>
            </w:r>
          </w:p>
        </w:tc>
        <w:tc>
          <w:tcPr>
            <w:tcW w:w="522"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rPr>
                <w:b/>
                <w:bCs/>
              </w:rPr>
            </w:pPr>
            <w:r w:rsidRPr="008B6337">
              <w:rPr>
                <w:b/>
                <w:bCs/>
              </w:rPr>
              <w:t>↓</w:t>
            </w:r>
          </w:p>
        </w:tc>
        <w:tc>
          <w:tcPr>
            <w:tcW w:w="546"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25"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rPr>
                <w:b/>
                <w:bCs/>
              </w:rPr>
            </w:pPr>
            <w:r w:rsidRPr="008B6337">
              <w:rPr>
                <w:b/>
                <w:bCs/>
              </w:rPr>
              <w:t>↓</w:t>
            </w:r>
          </w:p>
        </w:tc>
        <w:tc>
          <w:tcPr>
            <w:tcW w:w="522"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rsidRPr="008B6337">
              <w:t>n/a</w:t>
            </w:r>
          </w:p>
        </w:tc>
        <w:tc>
          <w:tcPr>
            <w:tcW w:w="574" w:type="dxa"/>
            <w:hideMark/>
          </w:tcPr>
          <w:p w:rsidR="008B6337" w:rsidRPr="008B6337" w:rsidRDefault="008B6337">
            <w:pPr>
              <w:cnfStyle w:val="000000100000" w:firstRow="0" w:lastRow="0" w:firstColumn="0" w:lastColumn="0" w:oddVBand="0" w:evenVBand="0" w:oddHBand="1" w:evenHBand="0" w:firstRowFirstColumn="0" w:firstRowLastColumn="0" w:lastRowFirstColumn="0" w:lastRowLastColumn="0"/>
            </w:pPr>
            <w:r>
              <w:t>[</w:t>
            </w:r>
            <w:r w:rsidRPr="008B6337">
              <w:t>7]</w:t>
            </w:r>
          </w:p>
        </w:tc>
      </w:tr>
      <w:tr w:rsidR="008B6337" w:rsidRPr="008B6337" w:rsidTr="0078570F">
        <w:trPr>
          <w:trHeight w:val="255"/>
        </w:trPr>
        <w:tc>
          <w:tcPr>
            <w:cnfStyle w:val="001000000000" w:firstRow="0" w:lastRow="0" w:firstColumn="1" w:lastColumn="0" w:oddVBand="0" w:evenVBand="0" w:oddHBand="0" w:evenHBand="0" w:firstRowFirstColumn="0" w:firstRowLastColumn="0" w:lastRowFirstColumn="0" w:lastRowLastColumn="0"/>
            <w:tcW w:w="2268" w:type="dxa"/>
            <w:hideMark/>
          </w:tcPr>
          <w:p w:rsidR="008B6337" w:rsidRPr="008B6337" w:rsidRDefault="008B6337">
            <w:r w:rsidRPr="008B6337">
              <w:t>Bora Bora strain</w:t>
            </w:r>
          </w:p>
        </w:tc>
        <w:tc>
          <w:tcPr>
            <w:tcW w:w="2227"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 xml:space="preserve">3 </w:t>
            </w:r>
            <w:r w:rsidRPr="00F1321F">
              <w:rPr>
                <w:i/>
              </w:rPr>
              <w:t>Bti</w:t>
            </w:r>
            <w:r w:rsidRPr="008B6337">
              <w:t xml:space="preserve"> toxins: up to 22 g</w:t>
            </w:r>
          </w:p>
        </w:tc>
        <w:tc>
          <w:tcPr>
            <w:tcW w:w="2110"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selected/unselected</w:t>
            </w:r>
          </w:p>
        </w:tc>
        <w:tc>
          <w:tcPr>
            <w:tcW w:w="1160"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6-35x</w:t>
            </w:r>
          </w:p>
        </w:tc>
        <w:tc>
          <w:tcPr>
            <w:tcW w:w="1641"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n/a</w:t>
            </w:r>
          </w:p>
        </w:tc>
        <w:tc>
          <w:tcPr>
            <w:tcW w:w="551"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rPr>
                <w:b/>
                <w:bCs/>
              </w:rPr>
            </w:pPr>
            <w:r w:rsidRPr="008B6337">
              <w:rPr>
                <w:b/>
                <w:bCs/>
              </w:rPr>
              <w:t>↓</w:t>
            </w:r>
          </w:p>
        </w:tc>
        <w:tc>
          <w:tcPr>
            <w:tcW w:w="572"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w:t>
            </w:r>
          </w:p>
        </w:tc>
        <w:tc>
          <w:tcPr>
            <w:tcW w:w="546"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w:t>
            </w:r>
          </w:p>
        </w:tc>
        <w:tc>
          <w:tcPr>
            <w:tcW w:w="522"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w:t>
            </w:r>
          </w:p>
        </w:tc>
        <w:tc>
          <w:tcPr>
            <w:tcW w:w="546"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n/a</w:t>
            </w:r>
          </w:p>
        </w:tc>
        <w:tc>
          <w:tcPr>
            <w:tcW w:w="525"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rPr>
                <w:b/>
                <w:bCs/>
              </w:rPr>
            </w:pPr>
            <w:r w:rsidRPr="008B6337">
              <w:rPr>
                <w:b/>
                <w:bCs/>
              </w:rPr>
              <w:t>↓*</w:t>
            </w:r>
          </w:p>
        </w:tc>
        <w:tc>
          <w:tcPr>
            <w:tcW w:w="522"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rsidRPr="008B6337">
              <w:t>=</w:t>
            </w:r>
          </w:p>
        </w:tc>
        <w:tc>
          <w:tcPr>
            <w:tcW w:w="574" w:type="dxa"/>
            <w:hideMark/>
          </w:tcPr>
          <w:p w:rsidR="008B6337" w:rsidRPr="008B6337" w:rsidRDefault="008B6337">
            <w:pPr>
              <w:cnfStyle w:val="000000000000" w:firstRow="0" w:lastRow="0" w:firstColumn="0" w:lastColumn="0" w:oddVBand="0" w:evenVBand="0" w:oddHBand="0" w:evenHBand="0" w:firstRowFirstColumn="0" w:firstRowLastColumn="0" w:lastRowFirstColumn="0" w:lastRowLastColumn="0"/>
            </w:pPr>
            <w:r>
              <w:t>[</w:t>
            </w:r>
            <w:r w:rsidRPr="008B6337">
              <w:t>8]</w:t>
            </w:r>
          </w:p>
        </w:tc>
      </w:tr>
    </w:tbl>
    <w:p w:rsidR="008B6337" w:rsidRDefault="008B6337" w:rsidP="008B6337">
      <w:r>
        <w:t>g</w:t>
      </w:r>
      <w:r w:rsidR="00F1321F">
        <w:t xml:space="preserve">, </w:t>
      </w:r>
      <w:r>
        <w:t xml:space="preserve">generations; </w:t>
      </w:r>
      <w:r w:rsidR="00F1321F" w:rsidRPr="00F1321F">
        <w:rPr>
          <w:i/>
        </w:rPr>
        <w:t>Bti</w:t>
      </w:r>
      <w:r w:rsidR="00F1321F">
        <w:rPr>
          <w:i/>
        </w:rPr>
        <w:t xml:space="preserve">, </w:t>
      </w:r>
      <w:r w:rsidR="00F1321F" w:rsidRPr="00F1321F">
        <w:rPr>
          <w:i/>
        </w:rPr>
        <w:t xml:space="preserve">Bacillus thuringiensis </w:t>
      </w:r>
      <w:proofErr w:type="spellStart"/>
      <w:r w:rsidR="00F1321F" w:rsidRPr="00F1321F">
        <w:rPr>
          <w:i/>
        </w:rPr>
        <w:t>israelensis</w:t>
      </w:r>
      <w:proofErr w:type="spellEnd"/>
      <w:r w:rsidR="00F1321F">
        <w:t xml:space="preserve">; </w:t>
      </w:r>
      <w:r>
        <w:t>n/a</w:t>
      </w:r>
      <w:r w:rsidR="00F1321F">
        <w:t xml:space="preserve">, </w:t>
      </w:r>
      <w:r>
        <w:t>not applicable or available;↓</w:t>
      </w:r>
      <w:r w:rsidR="00F1321F">
        <w:t xml:space="preserve">, </w:t>
      </w:r>
      <w:r>
        <w:t>significant reduction (evidence for 'cost'); ↑</w:t>
      </w:r>
      <w:r w:rsidR="00F1321F">
        <w:t xml:space="preserve">, </w:t>
      </w:r>
      <w:r>
        <w:t>significant increase; =</w:t>
      </w:r>
      <w:r w:rsidR="00F1321F">
        <w:t>,</w:t>
      </w:r>
      <w:r>
        <w:t xml:space="preserve"> no significant difference; </w:t>
      </w:r>
      <w:r w:rsidR="00F1321F">
        <w:t>↓*</w:t>
      </w:r>
      <w:r w:rsidR="00F1321F">
        <w:t xml:space="preserve">, </w:t>
      </w:r>
      <w:r w:rsidR="00F1321F">
        <w:t xml:space="preserve">significant reduction </w:t>
      </w:r>
      <w:r w:rsidR="00F1321F">
        <w:t xml:space="preserve">and </w:t>
      </w:r>
      <w:r>
        <w:t xml:space="preserve">reduced dried egg viability; </w:t>
      </w:r>
      <w:proofErr w:type="spellStart"/>
      <w:r>
        <w:t>LdR</w:t>
      </w:r>
      <w:proofErr w:type="spellEnd"/>
      <w:r w:rsidR="00F1321F">
        <w:t xml:space="preserve">, larval development rate; </w:t>
      </w:r>
      <w:proofErr w:type="spellStart"/>
      <w:r w:rsidR="00F1321F">
        <w:t>AdS</w:t>
      </w:r>
      <w:proofErr w:type="spellEnd"/>
      <w:r w:rsidR="00F1321F">
        <w:t xml:space="preserve">, survival to adult; Lon, longevity; </w:t>
      </w:r>
      <w:proofErr w:type="spellStart"/>
      <w:r w:rsidR="00F1321F">
        <w:t>Siz</w:t>
      </w:r>
      <w:proofErr w:type="spellEnd"/>
      <w:r w:rsidR="00F1321F">
        <w:t xml:space="preserve">, adult size; Fed, blood-feeding; </w:t>
      </w:r>
      <w:proofErr w:type="spellStart"/>
      <w:r w:rsidR="00F1321F">
        <w:t>Fec</w:t>
      </w:r>
      <w:proofErr w:type="spellEnd"/>
      <w:r w:rsidR="00F1321F">
        <w:t xml:space="preserve">, </w:t>
      </w:r>
      <w:r>
        <w:t>fecundity</w:t>
      </w:r>
      <w:r w:rsidR="00F1321F">
        <w:t xml:space="preserve">; Ins, </w:t>
      </w:r>
      <w:bookmarkStart w:id="0" w:name="_GoBack"/>
      <w:bookmarkEnd w:id="0"/>
      <w:r>
        <w:t>insemination rate</w:t>
      </w:r>
    </w:p>
    <w:p w:rsidR="00CE28EC" w:rsidRPr="00CE28EC" w:rsidRDefault="00CE28EC" w:rsidP="00CE28EC">
      <w:pPr>
        <w:spacing w:after="0" w:line="240" w:lineRule="auto"/>
        <w:ind w:left="426" w:hanging="426"/>
        <w:rPr>
          <w:rFonts w:cs="Arial"/>
          <w:noProof/>
          <w:sz w:val="20"/>
        </w:rPr>
      </w:pPr>
      <w:r w:rsidRPr="00CE28EC">
        <w:rPr>
          <w:rFonts w:cs="Arial"/>
          <w:noProof/>
          <w:sz w:val="20"/>
        </w:rPr>
        <w:t>1.</w:t>
      </w:r>
      <w:r w:rsidRPr="00CE28EC">
        <w:rPr>
          <w:rFonts w:cs="Arial"/>
          <w:noProof/>
          <w:sz w:val="20"/>
        </w:rPr>
        <w:tab/>
        <w:t>Belinato TA, Valle D. The Impact of Selection with Diflubenzuron, a Chitin Synthesis Inhibitor, on the Fitness of Two Brazilian Aedes aegypti Field Populations. PLoS ONE. 2015;10(6):e0130719. doi: 10.1371/journal.pone.0130719. PMID: 26107715</w:t>
      </w:r>
    </w:p>
    <w:p w:rsidR="00CE28EC" w:rsidRPr="00CE28EC" w:rsidRDefault="00CE28EC" w:rsidP="00CE28EC">
      <w:pPr>
        <w:spacing w:after="0" w:line="240" w:lineRule="auto"/>
        <w:ind w:left="426" w:hanging="426"/>
        <w:rPr>
          <w:rFonts w:cs="Arial"/>
          <w:noProof/>
          <w:sz w:val="20"/>
        </w:rPr>
      </w:pPr>
      <w:r w:rsidRPr="00CE28EC">
        <w:rPr>
          <w:rFonts w:cs="Arial"/>
          <w:noProof/>
          <w:sz w:val="20"/>
        </w:rPr>
        <w:t>2.</w:t>
      </w:r>
      <w:r w:rsidRPr="00CE28EC">
        <w:rPr>
          <w:rFonts w:cs="Arial"/>
          <w:noProof/>
          <w:sz w:val="20"/>
        </w:rPr>
        <w:tab/>
        <w:t>Brito LP, Linss JG, Lima-Camara TN, Belinato TA, Peixoto AA, Lima JB, et al. Assessing the effects of Aedes aegypti kdr mutations on pyrethroid resistance and its fitness cost. PLoS ONE. 2013;8(4):e60878. doi: 10.1371/journal.pone.0060878. PMID: 23593337</w:t>
      </w:r>
    </w:p>
    <w:p w:rsidR="00CE28EC" w:rsidRPr="00CE28EC" w:rsidRDefault="00CE28EC" w:rsidP="00CE28EC">
      <w:pPr>
        <w:spacing w:after="0" w:line="240" w:lineRule="auto"/>
        <w:ind w:left="426" w:hanging="426"/>
        <w:rPr>
          <w:rFonts w:cs="Arial"/>
          <w:noProof/>
          <w:sz w:val="20"/>
        </w:rPr>
      </w:pPr>
      <w:r w:rsidRPr="00CE28EC">
        <w:rPr>
          <w:rFonts w:cs="Arial"/>
          <w:noProof/>
          <w:sz w:val="20"/>
        </w:rPr>
        <w:t>3.</w:t>
      </w:r>
      <w:r w:rsidRPr="00CE28EC">
        <w:rPr>
          <w:rFonts w:cs="Arial"/>
          <w:noProof/>
          <w:sz w:val="20"/>
        </w:rPr>
        <w:tab/>
        <w:t xml:space="preserve">Chang C, Huang X-Y, Chang P-C, Wu H-H, Dai S-M. Inheritance and stability of sodium channel mutations associated with permethrin knockdown resistance in Aedes aegypti. Pestic Biochem Physiol. 2012;104(2):136-42. doi: </w:t>
      </w:r>
      <w:hyperlink r:id="rId4" w:history="1">
        <w:r w:rsidRPr="00CE28EC">
          <w:rPr>
            <w:rStyle w:val="Lienhypertexte"/>
            <w:rFonts w:cs="Arial"/>
            <w:noProof/>
            <w:sz w:val="20"/>
          </w:rPr>
          <w:t>http://dx.doi.org/10.1016/j.pestbp.2012.06.003</w:t>
        </w:r>
      </w:hyperlink>
      <w:r w:rsidRPr="00CE28EC">
        <w:rPr>
          <w:rFonts w:cs="Arial"/>
          <w:noProof/>
          <w:sz w:val="20"/>
        </w:rPr>
        <w:t>.</w:t>
      </w:r>
    </w:p>
    <w:p w:rsidR="00CE28EC" w:rsidRPr="00CE28EC" w:rsidRDefault="00CE28EC" w:rsidP="00CE28EC">
      <w:pPr>
        <w:spacing w:after="0" w:line="240" w:lineRule="auto"/>
        <w:ind w:left="426" w:hanging="426"/>
        <w:rPr>
          <w:rFonts w:cs="Arial"/>
          <w:noProof/>
          <w:sz w:val="20"/>
        </w:rPr>
      </w:pPr>
      <w:r w:rsidRPr="00CE28EC">
        <w:rPr>
          <w:rFonts w:cs="Arial"/>
          <w:noProof/>
          <w:sz w:val="20"/>
          <w:lang w:val="fr-FR"/>
        </w:rPr>
        <w:t>4.</w:t>
      </w:r>
      <w:r w:rsidRPr="00CE28EC">
        <w:rPr>
          <w:rFonts w:cs="Arial"/>
          <w:noProof/>
          <w:sz w:val="20"/>
          <w:lang w:val="fr-FR"/>
        </w:rPr>
        <w:tab/>
        <w:t xml:space="preserve">Diniz DF, de Melo-Santos MA, Santos EM, Beserra EB, Helvecio E, de Carvalho-Leandro D, et al. </w:t>
      </w:r>
      <w:r w:rsidRPr="00CE28EC">
        <w:rPr>
          <w:rFonts w:cs="Arial"/>
          <w:noProof/>
          <w:sz w:val="20"/>
        </w:rPr>
        <w:t>Fitness cost in field and laboratory Aedes aegypti populations associated with resistance to the insecticide temephos. Parasit Vectors. 2015;8:662. doi: 10.1186/s13071-015-1276-5. PMID: 26715037</w:t>
      </w:r>
    </w:p>
    <w:p w:rsidR="00CE28EC" w:rsidRPr="00CE28EC" w:rsidRDefault="00CE28EC" w:rsidP="00CE28EC">
      <w:pPr>
        <w:spacing w:after="0" w:line="240" w:lineRule="auto"/>
        <w:ind w:left="426" w:hanging="426"/>
        <w:rPr>
          <w:rFonts w:cs="Arial"/>
          <w:noProof/>
          <w:sz w:val="20"/>
        </w:rPr>
      </w:pPr>
      <w:r w:rsidRPr="00CE28EC">
        <w:rPr>
          <w:rFonts w:cs="Arial"/>
          <w:noProof/>
          <w:sz w:val="20"/>
        </w:rPr>
        <w:t>5.</w:t>
      </w:r>
      <w:r w:rsidRPr="00CE28EC">
        <w:rPr>
          <w:rFonts w:cs="Arial"/>
          <w:noProof/>
          <w:sz w:val="20"/>
        </w:rPr>
        <w:tab/>
        <w:t>Martins AJ, Ribeiro CD, Bellinato DF, Peixoto AA, Valle D, Lima JB. Effect of insecticide resistance on development, longevity and reproduction of field or laboratory selected Aedes aegypti populations. PLoS ONE. 2012;7(3):e31889. doi: 10.1371/journal.pone.0031889. PMID: 22431967</w:t>
      </w:r>
    </w:p>
    <w:p w:rsidR="00CE28EC" w:rsidRPr="00CE28EC" w:rsidRDefault="00CE28EC" w:rsidP="00CE28EC">
      <w:pPr>
        <w:spacing w:after="0" w:line="240" w:lineRule="auto"/>
        <w:ind w:left="426" w:hanging="426"/>
        <w:rPr>
          <w:rFonts w:cs="Arial"/>
          <w:noProof/>
          <w:sz w:val="20"/>
        </w:rPr>
      </w:pPr>
      <w:r w:rsidRPr="00CE28EC">
        <w:rPr>
          <w:rFonts w:cs="Arial"/>
          <w:noProof/>
          <w:sz w:val="20"/>
        </w:rPr>
        <w:t>6.</w:t>
      </w:r>
      <w:r w:rsidRPr="00CE28EC">
        <w:rPr>
          <w:rFonts w:cs="Arial"/>
          <w:noProof/>
          <w:sz w:val="20"/>
        </w:rPr>
        <w:tab/>
        <w:t>Plernsub S, Stenhouse SA, Tippawangkosol P, Lumjuan N, Yanola J, Choochote W, et al. Relative developmental and reproductive fitness associated with F1534C homozygous knockdown resistant gene in Aedes aegypti from Thailand. Trop Biomed. 2013;30(4):621-30. PMID: 24522132.</w:t>
      </w:r>
    </w:p>
    <w:p w:rsidR="00CE28EC" w:rsidRPr="00CE28EC" w:rsidRDefault="00CE28EC" w:rsidP="00CE28EC">
      <w:pPr>
        <w:spacing w:after="0" w:line="240" w:lineRule="auto"/>
        <w:ind w:left="426" w:hanging="426"/>
        <w:rPr>
          <w:rFonts w:cs="Arial"/>
          <w:noProof/>
          <w:sz w:val="20"/>
        </w:rPr>
      </w:pPr>
      <w:r w:rsidRPr="00CE28EC">
        <w:rPr>
          <w:rFonts w:cs="Arial"/>
          <w:noProof/>
          <w:sz w:val="20"/>
        </w:rPr>
        <w:t>7.</w:t>
      </w:r>
      <w:r w:rsidRPr="00CE28EC">
        <w:rPr>
          <w:rFonts w:cs="Arial"/>
          <w:noProof/>
          <w:sz w:val="20"/>
        </w:rPr>
        <w:tab/>
        <w:t>Jaramillo ON, Fonseca-Gonzalez I, Chaverra-Rodriguez D. Geometric morphometrics of nine field isolates of Aedes aegypti with different resistance levels to lambda-cyhalothrin and relative fitness of one artificially selected for resistance. PLoS ONE. 2014;9(5):e96379. doi: 10.1371/journal.pone.0096379. PMID: 24801598</w:t>
      </w:r>
    </w:p>
    <w:p w:rsidR="00CE28EC" w:rsidRDefault="00CE28EC" w:rsidP="0078570F">
      <w:pPr>
        <w:ind w:left="426" w:hanging="426"/>
      </w:pPr>
      <w:r w:rsidRPr="00CE28EC">
        <w:rPr>
          <w:rFonts w:cs="Arial"/>
          <w:noProof/>
          <w:sz w:val="20"/>
        </w:rPr>
        <w:t>8.</w:t>
      </w:r>
      <w:r w:rsidRPr="00CE28EC">
        <w:rPr>
          <w:rFonts w:cs="Arial"/>
          <w:noProof/>
          <w:sz w:val="20"/>
        </w:rPr>
        <w:tab/>
        <w:t>Paris M, David JP, Despres L. Fitness costs of resistance to Bti toxins in the dengue vector Aedes aegypti. Ecotoxicology. 2011;20(6):1184-94. doi: 10.1007/s10646-011-0663-8. PMID: 21461926</w:t>
      </w:r>
    </w:p>
    <w:sectPr w:rsidR="00CE28EC" w:rsidSect="0075247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79"/>
    <w:rsid w:val="00227662"/>
    <w:rsid w:val="002E4722"/>
    <w:rsid w:val="00380360"/>
    <w:rsid w:val="00527417"/>
    <w:rsid w:val="005A1FE8"/>
    <w:rsid w:val="006A3B20"/>
    <w:rsid w:val="00752479"/>
    <w:rsid w:val="00752C09"/>
    <w:rsid w:val="0078570F"/>
    <w:rsid w:val="008B6337"/>
    <w:rsid w:val="00CA4041"/>
    <w:rsid w:val="00CE28EC"/>
    <w:rsid w:val="00D6233E"/>
    <w:rsid w:val="00DF744F"/>
    <w:rsid w:val="00E138D7"/>
    <w:rsid w:val="00EE4735"/>
    <w:rsid w:val="00F1321F"/>
    <w:rsid w:val="00F6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B95BE-9E24-47C8-AE4C-54DC0B8C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E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1Clair">
    <w:name w:val="List Table 1 Light"/>
    <w:basedOn w:val="TableauNormal"/>
    <w:uiPriority w:val="46"/>
    <w:rsid w:val="0022766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
    <w:name w:val="List Table 2"/>
    <w:basedOn w:val="TableauNormal"/>
    <w:uiPriority w:val="47"/>
    <w:rsid w:val="008B63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enhypertexte">
    <w:name w:val="Hyperlink"/>
    <w:basedOn w:val="Policepardfaut"/>
    <w:uiPriority w:val="99"/>
    <w:unhideWhenUsed/>
    <w:rsid w:val="008B6337"/>
    <w:rPr>
      <w:color w:val="0563C1" w:themeColor="hyperlink"/>
      <w:u w:val="single"/>
    </w:rPr>
  </w:style>
  <w:style w:type="paragraph" w:styleId="Textedebulles">
    <w:name w:val="Balloon Text"/>
    <w:basedOn w:val="Normal"/>
    <w:link w:val="TextedebullesCar"/>
    <w:uiPriority w:val="99"/>
    <w:semiHidden/>
    <w:unhideWhenUsed/>
    <w:rsid w:val="00F604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0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9760">
      <w:bodyDiv w:val="1"/>
      <w:marLeft w:val="0"/>
      <w:marRight w:val="0"/>
      <w:marTop w:val="0"/>
      <w:marBottom w:val="0"/>
      <w:divBdr>
        <w:top w:val="none" w:sz="0" w:space="0" w:color="auto"/>
        <w:left w:val="none" w:sz="0" w:space="0" w:color="auto"/>
        <w:bottom w:val="none" w:sz="0" w:space="0" w:color="auto"/>
        <w:right w:val="none" w:sz="0" w:space="0" w:color="auto"/>
      </w:divBdr>
    </w:div>
    <w:div w:id="347291584">
      <w:bodyDiv w:val="1"/>
      <w:marLeft w:val="0"/>
      <w:marRight w:val="0"/>
      <w:marTop w:val="0"/>
      <w:marBottom w:val="0"/>
      <w:divBdr>
        <w:top w:val="none" w:sz="0" w:space="0" w:color="auto"/>
        <w:left w:val="none" w:sz="0" w:space="0" w:color="auto"/>
        <w:bottom w:val="none" w:sz="0" w:space="0" w:color="auto"/>
        <w:right w:val="none" w:sz="0" w:space="0" w:color="auto"/>
      </w:divBdr>
    </w:div>
    <w:div w:id="543641434">
      <w:bodyDiv w:val="1"/>
      <w:marLeft w:val="0"/>
      <w:marRight w:val="0"/>
      <w:marTop w:val="0"/>
      <w:marBottom w:val="0"/>
      <w:divBdr>
        <w:top w:val="none" w:sz="0" w:space="0" w:color="auto"/>
        <w:left w:val="none" w:sz="0" w:space="0" w:color="auto"/>
        <w:bottom w:val="none" w:sz="0" w:space="0" w:color="auto"/>
        <w:right w:val="none" w:sz="0" w:space="0" w:color="auto"/>
      </w:divBdr>
    </w:div>
    <w:div w:id="1421439602">
      <w:bodyDiv w:val="1"/>
      <w:marLeft w:val="0"/>
      <w:marRight w:val="0"/>
      <w:marTop w:val="0"/>
      <w:marBottom w:val="0"/>
      <w:divBdr>
        <w:top w:val="none" w:sz="0" w:space="0" w:color="auto"/>
        <w:left w:val="none" w:sz="0" w:space="0" w:color="auto"/>
        <w:bottom w:val="none" w:sz="0" w:space="0" w:color="auto"/>
        <w:right w:val="none" w:sz="0" w:space="0" w:color="auto"/>
      </w:divBdr>
    </w:div>
    <w:div w:id="1517232845">
      <w:bodyDiv w:val="1"/>
      <w:marLeft w:val="0"/>
      <w:marRight w:val="0"/>
      <w:marTop w:val="0"/>
      <w:marBottom w:val="0"/>
      <w:divBdr>
        <w:top w:val="none" w:sz="0" w:space="0" w:color="auto"/>
        <w:left w:val="none" w:sz="0" w:space="0" w:color="auto"/>
        <w:bottom w:val="none" w:sz="0" w:space="0" w:color="auto"/>
        <w:right w:val="none" w:sz="0" w:space="0" w:color="auto"/>
      </w:divBdr>
    </w:div>
    <w:div w:id="1738360008">
      <w:bodyDiv w:val="1"/>
      <w:marLeft w:val="0"/>
      <w:marRight w:val="0"/>
      <w:marTop w:val="0"/>
      <w:marBottom w:val="0"/>
      <w:divBdr>
        <w:top w:val="none" w:sz="0" w:space="0" w:color="auto"/>
        <w:left w:val="none" w:sz="0" w:space="0" w:color="auto"/>
        <w:bottom w:val="none" w:sz="0" w:space="0" w:color="auto"/>
        <w:right w:val="none" w:sz="0" w:space="0" w:color="auto"/>
      </w:divBdr>
    </w:div>
    <w:div w:id="18969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1016/j.pestbp.2012.06.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564</Words>
  <Characters>3105</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Weetman</dc:creator>
  <cp:keywords/>
  <dc:description/>
  <cp:lastModifiedBy>Fabrice CHANDRE</cp:lastModifiedBy>
  <cp:revision>3</cp:revision>
  <cp:lastPrinted>2019-07-05T11:41:00Z</cp:lastPrinted>
  <dcterms:created xsi:type="dcterms:W3CDTF">2018-01-12T15:24:00Z</dcterms:created>
  <dcterms:modified xsi:type="dcterms:W3CDTF">2019-07-05T12:08:00Z</dcterms:modified>
</cp:coreProperties>
</file>