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49" w:rsidRPr="00594B95" w:rsidRDefault="00A87849" w:rsidP="00A87849">
      <w:pPr>
        <w:rPr>
          <w:b/>
        </w:rPr>
      </w:pPr>
    </w:p>
    <w:tbl>
      <w:tblPr>
        <w:tblW w:w="5000" w:type="pct"/>
        <w:jc w:val="center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962"/>
        <w:gridCol w:w="1232"/>
        <w:gridCol w:w="820"/>
        <w:gridCol w:w="1134"/>
        <w:gridCol w:w="911"/>
        <w:gridCol w:w="2324"/>
        <w:gridCol w:w="924"/>
      </w:tblGrid>
      <w:tr w:rsidR="00A87849" w:rsidRPr="00594B95" w:rsidTr="0085318E">
        <w:trPr>
          <w:trHeight w:val="594"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849" w:rsidRPr="00594B95" w:rsidRDefault="00A87849" w:rsidP="0085318E">
            <w:pPr>
              <w:spacing w:line="240" w:lineRule="auto"/>
              <w:jc w:val="left"/>
              <w:rPr>
                <w:b/>
                <w:i/>
                <w:iCs/>
                <w:color w:val="000000"/>
              </w:rPr>
            </w:pPr>
            <w:proofErr w:type="spellStart"/>
            <w:r w:rsidRPr="00594B95">
              <w:rPr>
                <w:b/>
                <w:color w:val="000000"/>
              </w:rPr>
              <w:t>mAb</w:t>
            </w:r>
            <w:proofErr w:type="spellEnd"/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849" w:rsidRPr="00594B95" w:rsidRDefault="00A87849" w:rsidP="0085318E">
            <w:pPr>
              <w:spacing w:line="240" w:lineRule="auto"/>
              <w:jc w:val="left"/>
              <w:rPr>
                <w:b/>
                <w:color w:val="000000"/>
              </w:rPr>
            </w:pPr>
            <w:r w:rsidRPr="00594B95">
              <w:rPr>
                <w:b/>
                <w:color w:val="000000"/>
              </w:rPr>
              <w:t xml:space="preserve">Viral </w:t>
            </w:r>
          </w:p>
          <w:p w:rsidR="00A87849" w:rsidRPr="00594B95" w:rsidRDefault="00A87849" w:rsidP="0085318E">
            <w:pPr>
              <w:spacing w:line="240" w:lineRule="auto"/>
              <w:jc w:val="left"/>
              <w:rPr>
                <w:b/>
                <w:color w:val="000000"/>
              </w:rPr>
            </w:pPr>
            <w:r w:rsidRPr="00594B95">
              <w:rPr>
                <w:b/>
                <w:color w:val="000000"/>
              </w:rPr>
              <w:t>Serotype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849" w:rsidRPr="00594B95" w:rsidRDefault="00A87849" w:rsidP="0085318E">
            <w:pPr>
              <w:spacing w:line="240" w:lineRule="auto"/>
              <w:jc w:val="left"/>
              <w:rPr>
                <w:b/>
                <w:color w:val="000000"/>
              </w:rPr>
            </w:pPr>
            <w:r w:rsidRPr="00594B95">
              <w:rPr>
                <w:b/>
                <w:color w:val="000000"/>
              </w:rPr>
              <w:t xml:space="preserve">Number of </w:t>
            </w:r>
          </w:p>
          <w:p w:rsidR="00A87849" w:rsidRPr="00594B95" w:rsidRDefault="00A87849" w:rsidP="0085318E">
            <w:pPr>
              <w:spacing w:line="240" w:lineRule="auto"/>
              <w:jc w:val="left"/>
              <w:rPr>
                <w:b/>
                <w:i/>
                <w:iCs/>
                <w:color w:val="000000"/>
              </w:rPr>
            </w:pPr>
            <w:r w:rsidRPr="00594B95">
              <w:rPr>
                <w:b/>
                <w:color w:val="000000"/>
              </w:rPr>
              <w:t>blood meals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849" w:rsidRPr="00DB7ED2" w:rsidRDefault="00A87849" w:rsidP="0085318E">
            <w:pPr>
              <w:spacing w:line="240" w:lineRule="auto"/>
              <w:jc w:val="left"/>
              <w:rPr>
                <w:b/>
                <w:color w:val="000000"/>
              </w:rPr>
            </w:pPr>
            <w:r w:rsidRPr="00DB7ED2">
              <w:rPr>
                <w:b/>
                <w:color w:val="000000"/>
              </w:rPr>
              <w:t xml:space="preserve">Percentage of infected mosquitoes </w:t>
            </w:r>
          </w:p>
          <w:p w:rsidR="00A87849" w:rsidRPr="00DB7ED2" w:rsidRDefault="00A87849" w:rsidP="0085318E">
            <w:pPr>
              <w:spacing w:line="240" w:lineRule="auto"/>
              <w:jc w:val="left"/>
              <w:rPr>
                <w:b/>
                <w:i/>
                <w:iCs/>
                <w:color w:val="000000"/>
              </w:rPr>
            </w:pPr>
            <w:r w:rsidRPr="00DB7ED2">
              <w:rPr>
                <w:b/>
                <w:color w:val="000000"/>
              </w:rPr>
              <w:t>(Total number of mosquitoes tested)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849" w:rsidRPr="00DB7ED2" w:rsidRDefault="00A87849" w:rsidP="0085318E">
            <w:pPr>
              <w:spacing w:line="240" w:lineRule="auto"/>
              <w:jc w:val="left"/>
              <w:rPr>
                <w:b/>
                <w:i/>
                <w:iCs/>
                <w:color w:val="000000"/>
              </w:rPr>
            </w:pPr>
            <w:r w:rsidRPr="00DB7ED2">
              <w:rPr>
                <w:b/>
                <w:color w:val="000000"/>
              </w:rPr>
              <w:t>OR</w:t>
            </w:r>
          </w:p>
          <w:p w:rsidR="00A87849" w:rsidRPr="00DB7ED2" w:rsidRDefault="00A87849" w:rsidP="0085318E">
            <w:pPr>
              <w:spacing w:line="240" w:lineRule="auto"/>
              <w:jc w:val="left"/>
              <w:rPr>
                <w:b/>
                <w:i/>
                <w:iCs/>
                <w:color w:val="000000"/>
              </w:rPr>
            </w:pPr>
            <w:r w:rsidRPr="00DB7ED2">
              <w:rPr>
                <w:b/>
                <w:color w:val="000000"/>
              </w:rPr>
              <w:t>(95% CI)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87849" w:rsidRPr="00DB7ED2" w:rsidRDefault="00A87849" w:rsidP="0085318E">
            <w:pPr>
              <w:spacing w:line="240" w:lineRule="auto"/>
              <w:jc w:val="left"/>
              <w:rPr>
                <w:b/>
                <w:i/>
                <w:iCs/>
                <w:color w:val="000000"/>
              </w:rPr>
            </w:pPr>
            <w:r w:rsidRPr="00DB7ED2">
              <w:rPr>
                <w:b/>
                <w:i/>
                <w:iCs/>
                <w:color w:val="000000"/>
              </w:rPr>
              <w:t>P</w:t>
            </w:r>
          </w:p>
        </w:tc>
      </w:tr>
      <w:tr w:rsidR="00A87849" w:rsidRPr="00594B95" w:rsidTr="0085318E">
        <w:trPr>
          <w:trHeight w:hRule="exact" w:val="303"/>
          <w:jc w:val="center"/>
        </w:trPr>
        <w:tc>
          <w:tcPr>
            <w:tcW w:w="550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849" w:rsidRPr="00594B95" w:rsidRDefault="00A87849" w:rsidP="0085318E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849" w:rsidRPr="00594B95" w:rsidRDefault="00A87849" w:rsidP="0085318E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849" w:rsidRPr="00594B95" w:rsidRDefault="00A87849" w:rsidP="0085318E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849" w:rsidRPr="00594B95" w:rsidRDefault="00A87849" w:rsidP="0085318E">
            <w:pPr>
              <w:spacing w:line="240" w:lineRule="auto"/>
              <w:jc w:val="left"/>
              <w:rPr>
                <w:b/>
                <w:color w:val="000000"/>
              </w:rPr>
            </w:pPr>
            <w:r w:rsidRPr="00704FFC">
              <w:rPr>
                <w:b/>
                <w:color w:val="000000"/>
              </w:rPr>
              <w:t>PC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849" w:rsidRPr="00594B95" w:rsidRDefault="00A87849" w:rsidP="0085318E">
            <w:pPr>
              <w:spacing w:line="240" w:lineRule="auto"/>
              <w:jc w:val="left"/>
              <w:rPr>
                <w:b/>
                <w:i/>
                <w:iCs/>
                <w:color w:val="000000"/>
              </w:rPr>
            </w:pPr>
            <w:proofErr w:type="spellStart"/>
            <w:r w:rsidRPr="00594B95">
              <w:rPr>
                <w:b/>
                <w:color w:val="000000"/>
              </w:rPr>
              <w:t>mAb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849" w:rsidRPr="00594B95" w:rsidRDefault="00A87849" w:rsidP="0085318E">
            <w:pPr>
              <w:spacing w:line="240" w:lineRule="auto"/>
              <w:jc w:val="left"/>
              <w:rPr>
                <w:b/>
                <w:color w:val="000000"/>
              </w:rPr>
            </w:pPr>
            <w:r w:rsidRPr="00594B95">
              <w:rPr>
                <w:b/>
                <w:color w:val="000000"/>
              </w:rPr>
              <w:t>NC</w:t>
            </w:r>
          </w:p>
        </w:tc>
        <w:tc>
          <w:tcPr>
            <w:tcW w:w="12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849" w:rsidRPr="00594B95" w:rsidRDefault="00A87849" w:rsidP="0085318E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A87849" w:rsidRPr="00594B95" w:rsidRDefault="00A87849" w:rsidP="0085318E">
            <w:pPr>
              <w:jc w:val="left"/>
              <w:rPr>
                <w:b/>
                <w:i/>
                <w:iCs/>
                <w:color w:val="000000"/>
              </w:rPr>
            </w:pPr>
          </w:p>
        </w:tc>
      </w:tr>
      <w:tr w:rsidR="00A87849" w:rsidRPr="00594B95" w:rsidTr="0085318E">
        <w:trPr>
          <w:trHeight w:hRule="exact" w:val="288"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747(4)B7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DENV-1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3 (162)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2 (179)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86 (170)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0.00 (0.00-0.01)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b/>
                <w:color w:val="000000"/>
              </w:rPr>
            </w:pPr>
            <w:r w:rsidRPr="00AD4981">
              <w:rPr>
                <w:b/>
                <w:color w:val="000000"/>
              </w:rPr>
              <w:t>&lt;0.001</w:t>
            </w:r>
          </w:p>
        </w:tc>
      </w:tr>
      <w:tr w:rsidR="00A87849" w:rsidRPr="00594B95" w:rsidTr="0085318E">
        <w:trPr>
          <w:trHeight w:hRule="exact" w:val="288"/>
          <w:jc w:val="center"/>
        </w:trPr>
        <w:tc>
          <w:tcPr>
            <w:tcW w:w="550" w:type="pct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5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DENV-2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0 (30)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63 (30)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97 (37)</w:t>
            </w:r>
          </w:p>
        </w:tc>
        <w:tc>
          <w:tcPr>
            <w:tcW w:w="1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proofErr w:type="spellStart"/>
            <w:r w:rsidRPr="00AD4981">
              <w:rPr>
                <w:color w:val="000000"/>
              </w:rPr>
              <w:t>NA</w:t>
            </w:r>
            <w:r w:rsidRPr="00AD4981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501" w:type="pct"/>
            <w:tcBorders>
              <w:left w:val="nil"/>
              <w:bottom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b/>
                <w:color w:val="000000"/>
              </w:rPr>
            </w:pPr>
            <w:proofErr w:type="spellStart"/>
            <w:r w:rsidRPr="00AD4981">
              <w:rPr>
                <w:color w:val="000000"/>
              </w:rPr>
              <w:t>NA</w:t>
            </w:r>
            <w:r w:rsidRPr="00AD4981">
              <w:rPr>
                <w:color w:val="000000"/>
                <w:vertAlign w:val="superscript"/>
              </w:rPr>
              <w:t>a</w:t>
            </w:r>
            <w:proofErr w:type="spellEnd"/>
          </w:p>
        </w:tc>
      </w:tr>
      <w:tr w:rsidR="00A87849" w:rsidRPr="00594B95" w:rsidTr="0085318E">
        <w:trPr>
          <w:trHeight w:hRule="exact" w:val="288"/>
          <w:jc w:val="center"/>
        </w:trPr>
        <w:tc>
          <w:tcPr>
            <w:tcW w:w="550" w:type="pct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5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DENV-3</w:t>
            </w:r>
          </w:p>
        </w:tc>
        <w:tc>
          <w:tcPr>
            <w:tcW w:w="6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0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  <w:tc>
          <w:tcPr>
            <w:tcW w:w="4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  <w:tc>
          <w:tcPr>
            <w:tcW w:w="1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  <w:tc>
          <w:tcPr>
            <w:tcW w:w="501" w:type="pct"/>
            <w:tcBorders>
              <w:left w:val="nil"/>
              <w:bottom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</w:tr>
      <w:tr w:rsidR="00A87849" w:rsidRPr="00594B95" w:rsidTr="0085318E">
        <w:trPr>
          <w:trHeight w:hRule="exact" w:val="288"/>
          <w:jc w:val="center"/>
        </w:trPr>
        <w:tc>
          <w:tcPr>
            <w:tcW w:w="55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5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DENV-4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6</w:t>
            </w:r>
          </w:p>
        </w:tc>
        <w:tc>
          <w:tcPr>
            <w:tcW w:w="4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6 (51)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20 (55)</w:t>
            </w:r>
          </w:p>
        </w:tc>
        <w:tc>
          <w:tcPr>
            <w:tcW w:w="4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76 (75)</w:t>
            </w:r>
          </w:p>
        </w:tc>
        <w:tc>
          <w:tcPr>
            <w:tcW w:w="1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0.07 (0.03-0.20)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b/>
                <w:color w:val="000000"/>
              </w:rPr>
            </w:pPr>
            <w:r w:rsidRPr="00AD4981">
              <w:rPr>
                <w:b/>
                <w:color w:val="000000"/>
              </w:rPr>
              <w:t>&lt;0.001</w:t>
            </w:r>
          </w:p>
        </w:tc>
      </w:tr>
      <w:tr w:rsidR="00A87849" w:rsidRPr="00594B95" w:rsidTr="0085318E">
        <w:trPr>
          <w:trHeight w:hRule="exact" w:val="288"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753(3)C10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DENV-1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3 (170)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4 (187)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87 (180)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0.00 (0.00-0.01)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b/>
                <w:color w:val="000000"/>
              </w:rPr>
            </w:pPr>
            <w:r w:rsidRPr="00AD4981">
              <w:rPr>
                <w:b/>
                <w:color w:val="000000"/>
              </w:rPr>
              <w:t>&lt;0.001</w:t>
            </w:r>
          </w:p>
        </w:tc>
      </w:tr>
      <w:tr w:rsidR="00A87849" w:rsidRPr="00594B95" w:rsidTr="0085318E">
        <w:trPr>
          <w:trHeight w:hRule="exact" w:val="288"/>
          <w:jc w:val="center"/>
        </w:trPr>
        <w:tc>
          <w:tcPr>
            <w:tcW w:w="550" w:type="pct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DENV-2</w:t>
            </w: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0 (30)</w:t>
            </w:r>
          </w:p>
        </w:tc>
        <w:tc>
          <w:tcPr>
            <w:tcW w:w="614" w:type="pct"/>
            <w:tcBorders>
              <w:left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90 (30)</w:t>
            </w:r>
          </w:p>
        </w:tc>
        <w:tc>
          <w:tcPr>
            <w:tcW w:w="494" w:type="pct"/>
            <w:tcBorders>
              <w:left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97 (37)</w:t>
            </w:r>
          </w:p>
        </w:tc>
        <w:tc>
          <w:tcPr>
            <w:tcW w:w="1249" w:type="pct"/>
            <w:tcBorders>
              <w:left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proofErr w:type="spellStart"/>
            <w:r w:rsidRPr="00AD4981">
              <w:rPr>
                <w:color w:val="000000"/>
              </w:rPr>
              <w:t>NA</w:t>
            </w:r>
            <w:r w:rsidRPr="00AD4981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501" w:type="pct"/>
            <w:tcBorders>
              <w:lef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  <w:vertAlign w:val="superscript"/>
              </w:rPr>
            </w:pPr>
            <w:proofErr w:type="spellStart"/>
            <w:r w:rsidRPr="00AD4981">
              <w:rPr>
                <w:color w:val="000000"/>
              </w:rPr>
              <w:t>NA</w:t>
            </w:r>
            <w:r w:rsidRPr="00AD4981">
              <w:rPr>
                <w:color w:val="000000"/>
                <w:vertAlign w:val="superscript"/>
              </w:rPr>
              <w:t>a</w:t>
            </w:r>
            <w:proofErr w:type="spellEnd"/>
          </w:p>
        </w:tc>
      </w:tr>
      <w:tr w:rsidR="00A87849" w:rsidRPr="00594B95" w:rsidTr="0085318E">
        <w:trPr>
          <w:trHeight w:hRule="exact" w:val="288"/>
          <w:jc w:val="center"/>
        </w:trPr>
        <w:tc>
          <w:tcPr>
            <w:tcW w:w="550" w:type="pct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DENV-3</w:t>
            </w: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0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  <w:tc>
          <w:tcPr>
            <w:tcW w:w="614" w:type="pct"/>
            <w:tcBorders>
              <w:left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  <w:tc>
          <w:tcPr>
            <w:tcW w:w="494" w:type="pct"/>
            <w:tcBorders>
              <w:left w:val="nil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  <w:tc>
          <w:tcPr>
            <w:tcW w:w="1249" w:type="pct"/>
            <w:tcBorders>
              <w:left w:val="nil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  <w:tc>
          <w:tcPr>
            <w:tcW w:w="501" w:type="pct"/>
            <w:tcBorders>
              <w:lef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NA</w:t>
            </w:r>
          </w:p>
        </w:tc>
      </w:tr>
      <w:tr w:rsidR="00A87849" w:rsidRPr="00594B95" w:rsidTr="0085318E">
        <w:trPr>
          <w:trHeight w:hRule="exact" w:val="288"/>
          <w:jc w:val="center"/>
        </w:trPr>
        <w:tc>
          <w:tcPr>
            <w:tcW w:w="55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5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DENV-4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6</w:t>
            </w:r>
          </w:p>
        </w:tc>
        <w:tc>
          <w:tcPr>
            <w:tcW w:w="4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6 (51)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2 (59)</w:t>
            </w:r>
          </w:p>
        </w:tc>
        <w:tc>
          <w:tcPr>
            <w:tcW w:w="4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76 (75)</w:t>
            </w:r>
          </w:p>
        </w:tc>
        <w:tc>
          <w:tcPr>
            <w:tcW w:w="1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color w:val="000000"/>
              </w:rPr>
            </w:pPr>
            <w:r w:rsidRPr="00AD4981">
              <w:rPr>
                <w:color w:val="000000"/>
              </w:rPr>
              <w:t>0.00 (0.00-0.03)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A87849" w:rsidRPr="00AD4981" w:rsidRDefault="00A87849" w:rsidP="0085318E">
            <w:pPr>
              <w:keepNext/>
              <w:keepLines/>
              <w:jc w:val="left"/>
              <w:rPr>
                <w:b/>
                <w:color w:val="000000"/>
              </w:rPr>
            </w:pPr>
            <w:r w:rsidRPr="00AD4981">
              <w:rPr>
                <w:b/>
                <w:color w:val="000000"/>
              </w:rPr>
              <w:t>&lt;0.001</w:t>
            </w:r>
          </w:p>
        </w:tc>
      </w:tr>
    </w:tbl>
    <w:p w:rsidR="00A87849" w:rsidRPr="004E1855" w:rsidRDefault="00A87849" w:rsidP="00A87849">
      <w:pPr>
        <w:rPr>
          <w:sz w:val="18"/>
          <w:szCs w:val="18"/>
        </w:rPr>
      </w:pPr>
      <w:proofErr w:type="spellStart"/>
      <w:proofErr w:type="gramStart"/>
      <w:r w:rsidRPr="004E1855">
        <w:rPr>
          <w:color w:val="333333"/>
          <w:sz w:val="18"/>
          <w:szCs w:val="18"/>
          <w:vertAlign w:val="superscript"/>
        </w:rPr>
        <w:t>a</w:t>
      </w:r>
      <w:r w:rsidRPr="004E1855">
        <w:rPr>
          <w:bCs/>
          <w:sz w:val="18"/>
          <w:szCs w:val="18"/>
        </w:rPr>
        <w:t>All</w:t>
      </w:r>
      <w:proofErr w:type="spellEnd"/>
      <w:proofErr w:type="gramEnd"/>
      <w:r w:rsidRPr="004E1855">
        <w:rPr>
          <w:bCs/>
          <w:sz w:val="18"/>
          <w:szCs w:val="18"/>
        </w:rPr>
        <w:t xml:space="preserve"> blood meals were positive with patients’ DENV-reactive IgG, so the model failed. </w:t>
      </w:r>
    </w:p>
    <w:p w:rsidR="00B07996" w:rsidRDefault="00B07996">
      <w:bookmarkStart w:id="0" w:name="_GoBack"/>
      <w:bookmarkEnd w:id="0"/>
    </w:p>
    <w:sectPr w:rsidR="00B0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4"/>
    <w:rsid w:val="000A0C4F"/>
    <w:rsid w:val="002039FE"/>
    <w:rsid w:val="00370584"/>
    <w:rsid w:val="006F3421"/>
    <w:rsid w:val="009E2F4B"/>
    <w:rsid w:val="00A87849"/>
    <w:rsid w:val="00B07996"/>
    <w:rsid w:val="00C15DF9"/>
    <w:rsid w:val="00E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6BB99-9166-4156-AED7-28F8459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49"/>
    <w:pPr>
      <w:spacing w:after="0" w:line="48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Vu Tuan</dc:creator>
  <cp:keywords/>
  <dc:description/>
  <cp:lastModifiedBy>Trung Vu Tuan</cp:lastModifiedBy>
  <cp:revision>2</cp:revision>
  <dcterms:created xsi:type="dcterms:W3CDTF">2019-10-04T09:28:00Z</dcterms:created>
  <dcterms:modified xsi:type="dcterms:W3CDTF">2019-10-04T09:28:00Z</dcterms:modified>
</cp:coreProperties>
</file>