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5C" w:rsidRPr="006B08B7" w:rsidRDefault="006B08B7">
      <w:r w:rsidRPr="006B08B7">
        <w:t>Supplementary Methods</w:t>
      </w:r>
    </w:p>
    <w:p w:rsidR="006B08B7" w:rsidRPr="006B08B7" w:rsidRDefault="006B08B7">
      <w:r w:rsidRPr="006B08B7">
        <w:t>Subsampling strategy</w:t>
      </w:r>
    </w:p>
    <w:p w:rsidR="006B08B7" w:rsidRDefault="006B08B7" w:rsidP="006B08B7">
      <w:pPr>
        <w:pStyle w:val="NoSpacing"/>
        <w:rPr>
          <w:color w:val="000000" w:themeColor="text1"/>
        </w:rPr>
      </w:pPr>
    </w:p>
    <w:p w:rsidR="006B08B7" w:rsidRDefault="006B08B7" w:rsidP="006B08B7">
      <w:pPr>
        <w:pStyle w:val="NoSpacing"/>
        <w:rPr>
          <w:color w:val="000000" w:themeColor="text1"/>
        </w:rPr>
      </w:pPr>
      <w:r>
        <w:rPr>
          <w:color w:val="000000" w:themeColor="text1"/>
        </w:rPr>
        <w:t>The</w:t>
      </w:r>
      <w:r w:rsidRPr="006B08B7">
        <w:rPr>
          <w:color w:val="000000" w:themeColor="text1"/>
        </w:rPr>
        <w:t xml:space="preserve"> depth and consistency of sequencing was not ideal due to technical difficulties in </w:t>
      </w:r>
      <w:proofErr w:type="spellStart"/>
      <w:r w:rsidRPr="006B08B7">
        <w:rPr>
          <w:color w:val="000000" w:themeColor="text1"/>
        </w:rPr>
        <w:t>amplicon</w:t>
      </w:r>
      <w:proofErr w:type="spellEnd"/>
      <w:r w:rsidRPr="006B08B7">
        <w:rPr>
          <w:color w:val="000000" w:themeColor="text1"/>
        </w:rPr>
        <w:t xml:space="preserve"> generation leading to over- and under-representation of some samples in the libraries. </w:t>
      </w:r>
      <w:r>
        <w:rPr>
          <w:color w:val="000000" w:themeColor="text1"/>
        </w:rPr>
        <w:t>We chose</w:t>
      </w:r>
      <w:r w:rsidRPr="006B08B7">
        <w:rPr>
          <w:color w:val="000000" w:themeColor="text1"/>
        </w:rPr>
        <w:t xml:space="preserve"> to subsample to 200 reads </w:t>
      </w:r>
      <w:r>
        <w:rPr>
          <w:color w:val="000000" w:themeColor="text1"/>
        </w:rPr>
        <w:t>as</w:t>
      </w:r>
      <w:r w:rsidRPr="006B08B7">
        <w:rPr>
          <w:color w:val="000000" w:themeColor="text1"/>
        </w:rPr>
        <w:t xml:space="preserve"> a compromise between decent</w:t>
      </w:r>
      <w:r>
        <w:rPr>
          <w:color w:val="000000" w:themeColor="text1"/>
        </w:rPr>
        <w:t xml:space="preserve"> sequencing</w:t>
      </w:r>
      <w:r w:rsidRPr="006B08B7">
        <w:rPr>
          <w:color w:val="000000" w:themeColor="text1"/>
        </w:rPr>
        <w:t xml:space="preserve"> depth and loss of samples</w:t>
      </w:r>
      <w:r>
        <w:rPr>
          <w:color w:val="000000" w:themeColor="text1"/>
        </w:rPr>
        <w:t xml:space="preserve">, though ideally this rarefaction </w:t>
      </w:r>
      <w:r w:rsidR="00F40FA4">
        <w:rPr>
          <w:color w:val="000000" w:themeColor="text1"/>
        </w:rPr>
        <w:t xml:space="preserve">level </w:t>
      </w:r>
      <w:r>
        <w:rPr>
          <w:color w:val="000000" w:themeColor="text1"/>
        </w:rPr>
        <w:t>would have been significantly higher</w:t>
      </w:r>
      <w:r w:rsidRPr="006B08B7">
        <w:rPr>
          <w:color w:val="000000" w:themeColor="text1"/>
        </w:rPr>
        <w:t xml:space="preserve">. </w:t>
      </w:r>
    </w:p>
    <w:p w:rsidR="006B08B7" w:rsidRDefault="006B08B7" w:rsidP="006B08B7">
      <w:pPr>
        <w:pStyle w:val="NoSpacing"/>
        <w:rPr>
          <w:color w:val="000000" w:themeColor="text1"/>
        </w:rPr>
      </w:pPr>
    </w:p>
    <w:p w:rsidR="006B08B7" w:rsidRPr="006B08B7" w:rsidRDefault="006B08B7" w:rsidP="006B08B7">
      <w:pPr>
        <w:pStyle w:val="NoSpacing"/>
        <w:rPr>
          <w:color w:val="000000" w:themeColor="text1"/>
        </w:rPr>
      </w:pPr>
      <w:r w:rsidRPr="006B08B7">
        <w:rPr>
          <w:color w:val="000000" w:themeColor="text1"/>
        </w:rPr>
        <w:t xml:space="preserve">Before choosing </w:t>
      </w:r>
      <w:r>
        <w:rPr>
          <w:color w:val="000000" w:themeColor="text1"/>
        </w:rPr>
        <w:t>200 reads as an acceptable subsample</w:t>
      </w:r>
      <w:r w:rsidRPr="006B08B7">
        <w:rPr>
          <w:color w:val="000000" w:themeColor="text1"/>
        </w:rPr>
        <w:t xml:space="preserve"> we compared trends and patterns in the data at different depths and found that a larger number of reads, for example 1,000 per swab, did not make a significant difference to the results but many more swabs then fell below the threshold. At 200 reads, only 5% of samples had to be discarded and the median </w:t>
      </w:r>
      <w:proofErr w:type="spellStart"/>
      <w:r w:rsidRPr="006B08B7">
        <w:rPr>
          <w:color w:val="000000" w:themeColor="text1"/>
        </w:rPr>
        <w:t>chao</w:t>
      </w:r>
      <w:proofErr w:type="spellEnd"/>
      <w:r w:rsidRPr="006B08B7">
        <w:rPr>
          <w:color w:val="000000" w:themeColor="text1"/>
        </w:rPr>
        <w:t xml:space="preserve"> index (observed OTUs/</w:t>
      </w:r>
      <w:proofErr w:type="spellStart"/>
      <w:r w:rsidRPr="006B08B7">
        <w:rPr>
          <w:color w:val="000000" w:themeColor="text1"/>
        </w:rPr>
        <w:t>chao</w:t>
      </w:r>
      <w:proofErr w:type="spellEnd"/>
      <w:r w:rsidRPr="006B08B7">
        <w:rPr>
          <w:color w:val="000000" w:themeColor="text1"/>
        </w:rPr>
        <w:t xml:space="preserve"> estimate) was still 0.947. </w:t>
      </w:r>
    </w:p>
    <w:p w:rsidR="006B08B7" w:rsidRPr="006B08B7" w:rsidRDefault="006B08B7" w:rsidP="006B08B7">
      <w:pPr>
        <w:pStyle w:val="NoSpacing"/>
        <w:rPr>
          <w:color w:val="000000" w:themeColor="text1"/>
        </w:rPr>
      </w:pPr>
    </w:p>
    <w:p w:rsidR="006B08B7" w:rsidRDefault="006B08B7" w:rsidP="006B08B7">
      <w:pPr>
        <w:pStyle w:val="NoSpacing"/>
        <w:rPr>
          <w:color w:val="000000" w:themeColor="text1"/>
        </w:rPr>
      </w:pPr>
      <w:r w:rsidRPr="006B08B7">
        <w:rPr>
          <w:color w:val="000000" w:themeColor="text1"/>
        </w:rPr>
        <w:t xml:space="preserve">For an example of the impact of the different subsampling levels, </w:t>
      </w:r>
      <w:r w:rsidR="00F40FA4">
        <w:rPr>
          <w:color w:val="000000" w:themeColor="text1"/>
        </w:rPr>
        <w:t>consider</w:t>
      </w:r>
      <w:r w:rsidRPr="006B08B7">
        <w:rPr>
          <w:color w:val="000000" w:themeColor="text1"/>
        </w:rPr>
        <w:t xml:space="preserve"> the 27 longitudinal swabs from participant ARI0073</w:t>
      </w:r>
      <w:r w:rsidR="00F40FA4">
        <w:rPr>
          <w:color w:val="000000" w:themeColor="text1"/>
        </w:rPr>
        <w:t xml:space="preserve"> (figure below)</w:t>
      </w:r>
      <w:r w:rsidRPr="006B08B7">
        <w:rPr>
          <w:color w:val="000000" w:themeColor="text1"/>
        </w:rPr>
        <w:t xml:space="preserve">. The makeup of the </w:t>
      </w:r>
      <w:proofErr w:type="spellStart"/>
      <w:r w:rsidRPr="006B08B7">
        <w:rPr>
          <w:color w:val="000000" w:themeColor="text1"/>
        </w:rPr>
        <w:t>microbiota</w:t>
      </w:r>
      <w:proofErr w:type="spellEnd"/>
      <w:r w:rsidRPr="006B08B7">
        <w:rPr>
          <w:color w:val="000000" w:themeColor="text1"/>
        </w:rPr>
        <w:t xml:space="preserve"> is changed very little by subsampling to 200 reads. Only one swab is lost by subsampling to this level. By subsampling at a higher level such as 1,000 reads, several more swabs are lost which compromises the continuity of sampling. </w:t>
      </w:r>
    </w:p>
    <w:p w:rsidR="006B08B7" w:rsidRPr="006B08B7" w:rsidRDefault="006B08B7" w:rsidP="006B08B7">
      <w:pPr>
        <w:pStyle w:val="NoSpacing"/>
        <w:rPr>
          <w:color w:val="000000" w:themeColor="text1"/>
        </w:rPr>
      </w:pPr>
    </w:p>
    <w:p w:rsidR="006B08B7" w:rsidRPr="006B08B7" w:rsidRDefault="006B08B7" w:rsidP="006B08B7">
      <w:pPr>
        <w:pStyle w:val="NoSpacing"/>
        <w:rPr>
          <w:color w:val="000000" w:themeColor="text1"/>
        </w:rPr>
      </w:pPr>
      <w:r w:rsidRPr="006B08B7">
        <w:rPr>
          <w:noProof/>
          <w:color w:val="000000" w:themeColor="text1"/>
          <w:lang w:eastAsia="en-GB"/>
        </w:rPr>
        <w:drawing>
          <wp:inline distT="0" distB="0" distL="0" distR="0" wp14:anchorId="0F1A97E2" wp14:editId="0A41853B">
            <wp:extent cx="3116580" cy="40768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_subsampl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6" cy="40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A4" w:rsidRDefault="00F40FA4" w:rsidP="006B08B7">
      <w:pPr>
        <w:pStyle w:val="NoSpacing"/>
        <w:rPr>
          <w:color w:val="000000" w:themeColor="text1"/>
        </w:rPr>
      </w:pPr>
    </w:p>
    <w:p w:rsidR="006B08B7" w:rsidRDefault="006B08B7" w:rsidP="00F40FA4">
      <w:pPr>
        <w:pStyle w:val="NoSpacing"/>
      </w:pPr>
      <w:r w:rsidRPr="006B08B7">
        <w:rPr>
          <w:color w:val="000000" w:themeColor="text1"/>
        </w:rPr>
        <w:t xml:space="preserve">In our dataset just 15 OTUs account for &gt;98% of the aggregated proportional abundance, permitting us to sample less deeply but still observe the key trends. It is supported by the </w:t>
      </w:r>
      <w:proofErr w:type="spellStart"/>
      <w:r w:rsidRPr="006B08B7">
        <w:rPr>
          <w:color w:val="000000" w:themeColor="text1"/>
        </w:rPr>
        <w:t>chao</w:t>
      </w:r>
      <w:proofErr w:type="spellEnd"/>
      <w:r w:rsidRPr="006B08B7">
        <w:rPr>
          <w:color w:val="000000" w:themeColor="text1"/>
        </w:rPr>
        <w:t xml:space="preserve"> index: 46% of samples have an index of 1, and 88% of samples have an index &gt;0.7, meaning that the diversity in most swabs is adequately sampled by 200 reads. This would certainly not be possible with more diverse </w:t>
      </w:r>
      <w:proofErr w:type="spellStart"/>
      <w:r w:rsidRPr="006B08B7">
        <w:rPr>
          <w:color w:val="000000" w:themeColor="text1"/>
        </w:rPr>
        <w:t>microbiota</w:t>
      </w:r>
      <w:proofErr w:type="spellEnd"/>
      <w:r w:rsidRPr="006B08B7">
        <w:rPr>
          <w:color w:val="000000" w:themeColor="text1"/>
        </w:rPr>
        <w:t xml:space="preserve"> samples, such as from faeces</w:t>
      </w:r>
      <w:r w:rsidR="00F40FA4">
        <w:rPr>
          <w:color w:val="000000" w:themeColor="text1"/>
        </w:rPr>
        <w:t xml:space="preserve">, but appears to be sufficient for this study. </w:t>
      </w:r>
      <w:bookmarkStart w:id="0" w:name="_GoBack"/>
      <w:bookmarkEnd w:id="0"/>
    </w:p>
    <w:sectPr w:rsidR="006B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7"/>
    <w:rsid w:val="006B08B7"/>
    <w:rsid w:val="007328CA"/>
    <w:rsid w:val="00F40124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E7EC8-66FA-4367-A1B1-4F49985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Salter</dc:creator>
  <cp:keywords/>
  <dc:description/>
  <cp:lastModifiedBy>Susannah Salter</cp:lastModifiedBy>
  <cp:revision>1</cp:revision>
  <dcterms:created xsi:type="dcterms:W3CDTF">2017-08-04T10:48:00Z</dcterms:created>
  <dcterms:modified xsi:type="dcterms:W3CDTF">2017-08-04T11:43:00Z</dcterms:modified>
</cp:coreProperties>
</file>