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Pr="009B4F76" w:rsidRDefault="00D87AF7" w:rsidP="005B567D">
      <w:pPr>
        <w:pStyle w:val="TableTitle"/>
      </w:pPr>
      <w:r w:rsidRPr="009B4F76">
        <w:t xml:space="preserve">STROBE </w:t>
      </w:r>
      <w:r w:rsidR="00F0752A" w:rsidRPr="009B4F76">
        <w:t>S</w:t>
      </w:r>
      <w:r w:rsidRPr="009B4F76">
        <w:t xml:space="preserve">tatement—checklist of items that should be </w:t>
      </w:r>
      <w:r w:rsidR="00B60EFB" w:rsidRPr="009B4F76">
        <w:t xml:space="preserve">included </w:t>
      </w:r>
      <w:r w:rsidRPr="009B4F76">
        <w:t>in r</w:t>
      </w:r>
      <w:r w:rsidR="004A32C8" w:rsidRPr="009B4F76">
        <w:t>eports of observational studies</w:t>
      </w:r>
    </w:p>
    <w:p w:rsidR="004A32C8" w:rsidRPr="009B4F76"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4651"/>
        <w:gridCol w:w="1440"/>
        <w:gridCol w:w="6334"/>
      </w:tblGrid>
      <w:tr w:rsidR="00191A23" w:rsidRPr="009B4F76" w:rsidTr="00C55EED">
        <w:tc>
          <w:tcPr>
            <w:tcW w:w="1951" w:type="dxa"/>
          </w:tcPr>
          <w:p w:rsidR="00191A23" w:rsidRPr="009B4F76"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9B4F76" w:rsidRDefault="00191A23" w:rsidP="0022554A">
            <w:pPr>
              <w:pStyle w:val="TableHeader"/>
              <w:tabs>
                <w:tab w:val="left" w:pos="5400"/>
              </w:tabs>
              <w:jc w:val="center"/>
              <w:rPr>
                <w:bCs/>
                <w:sz w:val="20"/>
              </w:rPr>
            </w:pPr>
            <w:r w:rsidRPr="009B4F76">
              <w:rPr>
                <w:bCs/>
                <w:sz w:val="20"/>
              </w:rPr>
              <w:t>Item No.</w:t>
            </w:r>
          </w:p>
        </w:tc>
        <w:tc>
          <w:tcPr>
            <w:tcW w:w="4651" w:type="dxa"/>
            <w:vAlign w:val="bottom"/>
          </w:tcPr>
          <w:p w:rsidR="00191A23" w:rsidRPr="009B4F76" w:rsidRDefault="00191A23" w:rsidP="0022554A">
            <w:pPr>
              <w:pStyle w:val="TableHeader"/>
              <w:tabs>
                <w:tab w:val="left" w:pos="5400"/>
              </w:tabs>
              <w:jc w:val="center"/>
              <w:rPr>
                <w:bCs/>
                <w:sz w:val="20"/>
              </w:rPr>
            </w:pPr>
            <w:r w:rsidRPr="009B4F76">
              <w:rPr>
                <w:bCs/>
                <w:sz w:val="20"/>
              </w:rPr>
              <w:t>Recommendation</w:t>
            </w:r>
          </w:p>
        </w:tc>
        <w:tc>
          <w:tcPr>
            <w:tcW w:w="1440" w:type="dxa"/>
          </w:tcPr>
          <w:p w:rsidR="00191A23" w:rsidRPr="009B4F76" w:rsidRDefault="00191A23" w:rsidP="00976EE1">
            <w:pPr>
              <w:pStyle w:val="TableHeader"/>
              <w:tabs>
                <w:tab w:val="left" w:pos="5400"/>
              </w:tabs>
              <w:jc w:val="center"/>
              <w:rPr>
                <w:bCs/>
                <w:sz w:val="20"/>
              </w:rPr>
            </w:pPr>
            <w:r w:rsidRPr="009B4F76">
              <w:rPr>
                <w:bCs/>
                <w:sz w:val="20"/>
              </w:rPr>
              <w:t xml:space="preserve">Page </w:t>
            </w:r>
            <w:r w:rsidRPr="009B4F76">
              <w:rPr>
                <w:bCs/>
                <w:sz w:val="20"/>
              </w:rPr>
              <w:br/>
              <w:t>No.</w:t>
            </w:r>
          </w:p>
        </w:tc>
        <w:tc>
          <w:tcPr>
            <w:tcW w:w="6334" w:type="dxa"/>
          </w:tcPr>
          <w:p w:rsidR="00191A23" w:rsidRPr="009B4F76" w:rsidRDefault="00517788" w:rsidP="00517788">
            <w:pPr>
              <w:pStyle w:val="TableHeader"/>
              <w:tabs>
                <w:tab w:val="left" w:pos="5400"/>
              </w:tabs>
              <w:jc w:val="center"/>
              <w:rPr>
                <w:bCs/>
                <w:sz w:val="20"/>
              </w:rPr>
            </w:pPr>
            <w:r w:rsidRPr="009B4F76">
              <w:rPr>
                <w:bCs/>
                <w:sz w:val="20"/>
              </w:rPr>
              <w:t>Relevant t</w:t>
            </w:r>
            <w:r w:rsidR="00191A23" w:rsidRPr="009B4F76">
              <w:rPr>
                <w:bCs/>
                <w:sz w:val="20"/>
              </w:rPr>
              <w:t>ext from manuscript</w:t>
            </w:r>
          </w:p>
        </w:tc>
      </w:tr>
      <w:tr w:rsidR="00191A23" w:rsidRPr="009B4F76" w:rsidTr="00C55EED">
        <w:tc>
          <w:tcPr>
            <w:tcW w:w="1951" w:type="dxa"/>
            <w:vMerge w:val="restart"/>
          </w:tcPr>
          <w:p w:rsidR="00191A23" w:rsidRPr="009B4F76"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9B4F76">
              <w:rPr>
                <w:b/>
                <w:sz w:val="20"/>
              </w:rPr>
              <w:t>Title and abstract</w:t>
            </w:r>
            <w:bookmarkEnd w:id="9"/>
            <w:bookmarkEnd w:id="10"/>
          </w:p>
        </w:tc>
        <w:tc>
          <w:tcPr>
            <w:tcW w:w="616" w:type="dxa"/>
            <w:vMerge w:val="restart"/>
          </w:tcPr>
          <w:p w:rsidR="00191A23" w:rsidRPr="009B4F76" w:rsidRDefault="00191A23" w:rsidP="0022554A">
            <w:pPr>
              <w:tabs>
                <w:tab w:val="left" w:pos="5400"/>
              </w:tabs>
              <w:jc w:val="center"/>
              <w:rPr>
                <w:sz w:val="20"/>
              </w:rPr>
            </w:pPr>
            <w:r w:rsidRPr="009B4F76">
              <w:rPr>
                <w:sz w:val="20"/>
              </w:rPr>
              <w:t>1</w:t>
            </w:r>
          </w:p>
        </w:tc>
        <w:tc>
          <w:tcPr>
            <w:tcW w:w="4651" w:type="dxa"/>
          </w:tcPr>
          <w:p w:rsidR="00191A23" w:rsidRPr="009B4F76" w:rsidRDefault="00191A23" w:rsidP="0022554A">
            <w:pPr>
              <w:tabs>
                <w:tab w:val="left" w:pos="5400"/>
              </w:tabs>
              <w:rPr>
                <w:sz w:val="20"/>
              </w:rPr>
            </w:pPr>
            <w:r w:rsidRPr="009B4F76">
              <w:rPr>
                <w:sz w:val="20"/>
              </w:rPr>
              <w:t>(</w:t>
            </w:r>
            <w:r w:rsidRPr="009B4F76">
              <w:rPr>
                <w:i/>
                <w:sz w:val="20"/>
              </w:rPr>
              <w:t>a</w:t>
            </w:r>
            <w:r w:rsidRPr="009B4F76">
              <w:rPr>
                <w:sz w:val="20"/>
              </w:rPr>
              <w:t>) Indicate the study’s design with a commonly used term in the title or the abstract</w:t>
            </w:r>
          </w:p>
        </w:tc>
        <w:tc>
          <w:tcPr>
            <w:tcW w:w="1440" w:type="dxa"/>
          </w:tcPr>
          <w:p w:rsidR="00191A23" w:rsidRPr="009B4F76" w:rsidRDefault="00E65241" w:rsidP="0022554A">
            <w:pPr>
              <w:tabs>
                <w:tab w:val="left" w:pos="5400"/>
              </w:tabs>
              <w:rPr>
                <w:sz w:val="20"/>
              </w:rPr>
            </w:pPr>
            <w:r w:rsidRPr="009B4F76">
              <w:rPr>
                <w:sz w:val="20"/>
              </w:rPr>
              <w:t>2</w:t>
            </w:r>
          </w:p>
        </w:tc>
        <w:tc>
          <w:tcPr>
            <w:tcW w:w="6334" w:type="dxa"/>
          </w:tcPr>
          <w:p w:rsidR="008E45F5" w:rsidRPr="009B4F76" w:rsidRDefault="00E65241" w:rsidP="0022554A">
            <w:pPr>
              <w:tabs>
                <w:tab w:val="left" w:pos="5400"/>
              </w:tabs>
              <w:rPr>
                <w:sz w:val="20"/>
              </w:rPr>
            </w:pPr>
            <w:r w:rsidRPr="009B4F76">
              <w:rPr>
                <w:sz w:val="20"/>
              </w:rPr>
              <w:t>This prospective study was conducted in 2007 through 2009</w:t>
            </w:r>
            <w:r w:rsidR="001328C5" w:rsidRPr="009B4F76">
              <w:rPr>
                <w:sz w:val="20"/>
              </w:rPr>
              <w:t>; study participants were followed-up annually</w:t>
            </w:r>
            <w:r w:rsidR="002F3A2E" w:rsidRPr="009B4F76">
              <w:rPr>
                <w:sz w:val="20"/>
              </w:rPr>
              <w:t>.</w:t>
            </w:r>
            <w:r w:rsidRPr="009B4F76">
              <w:rPr>
                <w:sz w:val="20"/>
              </w:rPr>
              <w:t xml:space="preserve"> </w:t>
            </w:r>
          </w:p>
        </w:tc>
      </w:tr>
      <w:tr w:rsidR="00191A23" w:rsidRPr="009B4F76" w:rsidTr="00C55EED">
        <w:tc>
          <w:tcPr>
            <w:tcW w:w="1951" w:type="dxa"/>
            <w:vMerge/>
          </w:tcPr>
          <w:p w:rsidR="00191A23" w:rsidRPr="009B4F76"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9B4F76" w:rsidRDefault="00191A23" w:rsidP="0022554A">
            <w:pPr>
              <w:tabs>
                <w:tab w:val="left" w:pos="5400"/>
              </w:tabs>
              <w:jc w:val="center"/>
              <w:rPr>
                <w:sz w:val="20"/>
              </w:rPr>
            </w:pPr>
          </w:p>
        </w:tc>
        <w:tc>
          <w:tcPr>
            <w:tcW w:w="4651" w:type="dxa"/>
          </w:tcPr>
          <w:p w:rsidR="00191A23" w:rsidRPr="009B4F76" w:rsidRDefault="00191A23" w:rsidP="0022554A">
            <w:pPr>
              <w:tabs>
                <w:tab w:val="left" w:pos="5400"/>
              </w:tabs>
              <w:rPr>
                <w:sz w:val="20"/>
              </w:rPr>
            </w:pPr>
            <w:r w:rsidRPr="009B4F76">
              <w:rPr>
                <w:sz w:val="20"/>
              </w:rPr>
              <w:t>(</w:t>
            </w:r>
            <w:r w:rsidRPr="009B4F76">
              <w:rPr>
                <w:i/>
                <w:sz w:val="20"/>
              </w:rPr>
              <w:t>b</w:t>
            </w:r>
            <w:r w:rsidRPr="009B4F76">
              <w:rPr>
                <w:sz w:val="20"/>
              </w:rPr>
              <w:t>) Provide in the abstract an informative and balanced summary of what was done and what was found</w:t>
            </w:r>
          </w:p>
        </w:tc>
        <w:tc>
          <w:tcPr>
            <w:tcW w:w="1440" w:type="dxa"/>
          </w:tcPr>
          <w:p w:rsidR="00191A23" w:rsidRPr="009B4F76" w:rsidRDefault="00E65241" w:rsidP="0022554A">
            <w:pPr>
              <w:tabs>
                <w:tab w:val="left" w:pos="5400"/>
              </w:tabs>
              <w:rPr>
                <w:sz w:val="20"/>
              </w:rPr>
            </w:pPr>
            <w:r w:rsidRPr="009B4F76">
              <w:rPr>
                <w:sz w:val="20"/>
              </w:rPr>
              <w:t>2</w:t>
            </w:r>
          </w:p>
        </w:tc>
        <w:tc>
          <w:tcPr>
            <w:tcW w:w="6334" w:type="dxa"/>
          </w:tcPr>
          <w:p w:rsidR="00191A23" w:rsidRPr="009B4F76" w:rsidRDefault="00ED0637" w:rsidP="0022554A">
            <w:pPr>
              <w:tabs>
                <w:tab w:val="left" w:pos="5400"/>
              </w:tabs>
              <w:rPr>
                <w:sz w:val="20"/>
              </w:rPr>
            </w:pPr>
            <w:r w:rsidRPr="009B4F76">
              <w:rPr>
                <w:sz w:val="20"/>
              </w:rPr>
              <w:t xml:space="preserve">This study evaluated the persistence of rabies virus-neutralizing antibodies (RVNA) annually for 4 years post-vaccination. (…) </w:t>
            </w:r>
            <w:r w:rsidR="00E65241" w:rsidRPr="009B4F76">
              <w:rPr>
                <w:sz w:val="20"/>
              </w:rPr>
              <w:t xml:space="preserve">The long-term RVNA persistence was good, with 85–88.0% of the non-boosted participants evaluated at each yearly follow-up visit remaining seroconverted. Similar RVNA persistence profiles were observed in participants originally given PEP or </w:t>
            </w:r>
            <w:proofErr w:type="spellStart"/>
            <w:r w:rsidR="00E65241" w:rsidRPr="009B4F76">
              <w:rPr>
                <w:sz w:val="20"/>
              </w:rPr>
              <w:t>PrEP</w:t>
            </w:r>
            <w:proofErr w:type="spellEnd"/>
            <w:r w:rsidR="00E65241" w:rsidRPr="009B4F76">
              <w:rPr>
                <w:sz w:val="20"/>
              </w:rPr>
              <w:t xml:space="preserve"> in 2005, and the GMT of the study population remained &gt;1 IU/mL 4 years after vaccination. At the end of the study, 51 subjects (11.9% of the interviewed population) had received at least one dose of booster since their vaccination in 2005.</w:t>
            </w:r>
          </w:p>
        </w:tc>
      </w:tr>
      <w:tr w:rsidR="00191A23" w:rsidRPr="009B4F76" w:rsidTr="00C55EED">
        <w:tc>
          <w:tcPr>
            <w:tcW w:w="8658" w:type="dxa"/>
            <w:gridSpan w:val="4"/>
          </w:tcPr>
          <w:p w:rsidR="00191A23" w:rsidRPr="009B4F76" w:rsidRDefault="00191A23" w:rsidP="0022554A">
            <w:pPr>
              <w:pStyle w:val="TableSubHead"/>
              <w:tabs>
                <w:tab w:val="left" w:pos="5400"/>
              </w:tabs>
              <w:rPr>
                <w:sz w:val="20"/>
              </w:rPr>
            </w:pPr>
            <w:bookmarkStart w:id="13" w:name="bold7"/>
            <w:bookmarkStart w:id="14" w:name="italic8"/>
            <w:bookmarkEnd w:id="11"/>
            <w:bookmarkEnd w:id="12"/>
            <w:r w:rsidRPr="009B4F76">
              <w:rPr>
                <w:sz w:val="20"/>
              </w:rPr>
              <w:t>Introduction</w:t>
            </w:r>
          </w:p>
        </w:tc>
        <w:bookmarkEnd w:id="13"/>
        <w:bookmarkEnd w:id="14"/>
        <w:tc>
          <w:tcPr>
            <w:tcW w:w="6334" w:type="dxa"/>
          </w:tcPr>
          <w:p w:rsidR="00191A23" w:rsidRPr="009B4F76" w:rsidRDefault="00191A23" w:rsidP="0022554A">
            <w:pPr>
              <w:pStyle w:val="TableSubHead"/>
              <w:tabs>
                <w:tab w:val="left" w:pos="5400"/>
              </w:tabs>
              <w:rPr>
                <w:sz w:val="20"/>
              </w:rPr>
            </w:pPr>
          </w:p>
        </w:tc>
      </w:tr>
      <w:tr w:rsidR="00191A23" w:rsidRPr="009B4F76" w:rsidTr="00C55EED">
        <w:tc>
          <w:tcPr>
            <w:tcW w:w="1951" w:type="dxa"/>
          </w:tcPr>
          <w:p w:rsidR="00191A23" w:rsidRPr="009B4F76" w:rsidRDefault="00191A23" w:rsidP="0022554A">
            <w:pPr>
              <w:tabs>
                <w:tab w:val="left" w:pos="5400"/>
              </w:tabs>
              <w:rPr>
                <w:bCs/>
                <w:sz w:val="20"/>
              </w:rPr>
            </w:pPr>
            <w:bookmarkStart w:id="15" w:name="bold8"/>
            <w:bookmarkStart w:id="16" w:name="italic9"/>
            <w:r w:rsidRPr="009B4F76">
              <w:rPr>
                <w:bCs/>
                <w:sz w:val="20"/>
              </w:rPr>
              <w:t>Background/</w:t>
            </w:r>
            <w:bookmarkStart w:id="17" w:name="bold9"/>
            <w:bookmarkStart w:id="18" w:name="italic10"/>
            <w:bookmarkEnd w:id="15"/>
            <w:bookmarkEnd w:id="16"/>
            <w:r w:rsidRPr="009B4F76">
              <w:rPr>
                <w:bCs/>
                <w:sz w:val="20"/>
              </w:rPr>
              <w:t>rationale</w:t>
            </w:r>
            <w:bookmarkEnd w:id="17"/>
            <w:bookmarkEnd w:id="18"/>
          </w:p>
        </w:tc>
        <w:tc>
          <w:tcPr>
            <w:tcW w:w="616" w:type="dxa"/>
          </w:tcPr>
          <w:p w:rsidR="00191A23" w:rsidRPr="009B4F76" w:rsidRDefault="00191A23" w:rsidP="0022554A">
            <w:pPr>
              <w:tabs>
                <w:tab w:val="left" w:pos="5400"/>
              </w:tabs>
              <w:jc w:val="center"/>
              <w:rPr>
                <w:sz w:val="20"/>
              </w:rPr>
            </w:pPr>
            <w:r w:rsidRPr="009B4F76">
              <w:rPr>
                <w:sz w:val="20"/>
              </w:rPr>
              <w:t>2</w:t>
            </w:r>
          </w:p>
        </w:tc>
        <w:tc>
          <w:tcPr>
            <w:tcW w:w="4651" w:type="dxa"/>
          </w:tcPr>
          <w:p w:rsidR="00191A23" w:rsidRPr="009B4F76" w:rsidRDefault="00191A23" w:rsidP="0022554A">
            <w:pPr>
              <w:tabs>
                <w:tab w:val="left" w:pos="5400"/>
              </w:tabs>
              <w:rPr>
                <w:sz w:val="20"/>
              </w:rPr>
            </w:pPr>
            <w:r w:rsidRPr="009B4F76">
              <w:rPr>
                <w:sz w:val="20"/>
              </w:rPr>
              <w:t>Explain the scientific background and rationale for the investigation being reported</w:t>
            </w:r>
          </w:p>
        </w:tc>
        <w:tc>
          <w:tcPr>
            <w:tcW w:w="1440" w:type="dxa"/>
          </w:tcPr>
          <w:p w:rsidR="00191A23" w:rsidRPr="009B4F76" w:rsidRDefault="005338CE" w:rsidP="0022554A">
            <w:pPr>
              <w:tabs>
                <w:tab w:val="left" w:pos="5400"/>
              </w:tabs>
              <w:rPr>
                <w:sz w:val="20"/>
              </w:rPr>
            </w:pPr>
            <w:r w:rsidRPr="009B4F76">
              <w:rPr>
                <w:sz w:val="20"/>
              </w:rPr>
              <w:t>5</w:t>
            </w:r>
          </w:p>
        </w:tc>
        <w:tc>
          <w:tcPr>
            <w:tcW w:w="6334" w:type="dxa"/>
          </w:tcPr>
          <w:p w:rsidR="00191A23" w:rsidRPr="009B4F76" w:rsidRDefault="004B2B1F" w:rsidP="0022554A">
            <w:pPr>
              <w:tabs>
                <w:tab w:val="left" w:pos="5400"/>
              </w:tabs>
              <w:rPr>
                <w:sz w:val="20"/>
              </w:rPr>
            </w:pPr>
            <w:r w:rsidRPr="009B4F76">
              <w:rPr>
                <w:sz w:val="20"/>
              </w:rPr>
              <w:t>Following the rabies outbreak in 2005, more than 3,500 inhabitants of Augusto Correa received either post-exposure (PEP) or a pre-exposure (</w:t>
            </w:r>
            <w:proofErr w:type="spellStart"/>
            <w:r w:rsidRPr="009B4F76">
              <w:rPr>
                <w:sz w:val="20"/>
              </w:rPr>
              <w:t>PrEP</w:t>
            </w:r>
            <w:proofErr w:type="spellEnd"/>
            <w:r w:rsidRPr="009B4F76">
              <w:rPr>
                <w:sz w:val="20"/>
              </w:rPr>
              <w:t xml:space="preserve">) prophylaxis. A few people were given booster vaccinations after possible rabies re-exposure, mostly following dog, bat, and monkey bites. </w:t>
            </w:r>
          </w:p>
        </w:tc>
      </w:tr>
      <w:tr w:rsidR="00191A23" w:rsidRPr="009B4F76" w:rsidTr="00C55EED">
        <w:tc>
          <w:tcPr>
            <w:tcW w:w="1951" w:type="dxa"/>
          </w:tcPr>
          <w:p w:rsidR="00191A23" w:rsidRPr="009B4F76" w:rsidRDefault="00191A23" w:rsidP="0022554A">
            <w:pPr>
              <w:tabs>
                <w:tab w:val="left" w:pos="5400"/>
              </w:tabs>
              <w:rPr>
                <w:bCs/>
                <w:sz w:val="20"/>
              </w:rPr>
            </w:pPr>
            <w:bookmarkStart w:id="19" w:name="bold10" w:colFirst="0" w:colLast="0"/>
            <w:bookmarkStart w:id="20" w:name="italic11" w:colFirst="0" w:colLast="0"/>
            <w:r w:rsidRPr="009B4F76">
              <w:rPr>
                <w:bCs/>
                <w:sz w:val="20"/>
              </w:rPr>
              <w:t>Objectives</w:t>
            </w:r>
          </w:p>
        </w:tc>
        <w:tc>
          <w:tcPr>
            <w:tcW w:w="616" w:type="dxa"/>
          </w:tcPr>
          <w:p w:rsidR="00191A23" w:rsidRPr="009B4F76" w:rsidRDefault="00191A23" w:rsidP="0022554A">
            <w:pPr>
              <w:tabs>
                <w:tab w:val="left" w:pos="5400"/>
              </w:tabs>
              <w:jc w:val="center"/>
              <w:rPr>
                <w:sz w:val="20"/>
              </w:rPr>
            </w:pPr>
            <w:r w:rsidRPr="009B4F76">
              <w:rPr>
                <w:sz w:val="20"/>
              </w:rPr>
              <w:t>3</w:t>
            </w:r>
          </w:p>
        </w:tc>
        <w:tc>
          <w:tcPr>
            <w:tcW w:w="4651" w:type="dxa"/>
          </w:tcPr>
          <w:p w:rsidR="00191A23" w:rsidRPr="009B4F76" w:rsidRDefault="00191A23" w:rsidP="0022554A">
            <w:pPr>
              <w:tabs>
                <w:tab w:val="left" w:pos="5400"/>
              </w:tabs>
              <w:rPr>
                <w:sz w:val="20"/>
              </w:rPr>
            </w:pPr>
            <w:r w:rsidRPr="009B4F76">
              <w:rPr>
                <w:sz w:val="20"/>
              </w:rPr>
              <w:t xml:space="preserve">State specific objectives, including any </w:t>
            </w:r>
            <w:proofErr w:type="spellStart"/>
            <w:r w:rsidRPr="009B4F76">
              <w:rPr>
                <w:sz w:val="20"/>
              </w:rPr>
              <w:t>prespecified</w:t>
            </w:r>
            <w:proofErr w:type="spellEnd"/>
            <w:r w:rsidRPr="009B4F76">
              <w:rPr>
                <w:sz w:val="20"/>
              </w:rPr>
              <w:t xml:space="preserve"> hypotheses</w:t>
            </w:r>
          </w:p>
        </w:tc>
        <w:tc>
          <w:tcPr>
            <w:tcW w:w="1440" w:type="dxa"/>
          </w:tcPr>
          <w:p w:rsidR="00191A23" w:rsidRPr="009B4F76" w:rsidRDefault="005338CE" w:rsidP="0022554A">
            <w:pPr>
              <w:tabs>
                <w:tab w:val="left" w:pos="5400"/>
              </w:tabs>
              <w:rPr>
                <w:sz w:val="20"/>
              </w:rPr>
            </w:pPr>
            <w:r w:rsidRPr="009B4F76">
              <w:rPr>
                <w:sz w:val="20"/>
              </w:rPr>
              <w:t>6-7</w:t>
            </w:r>
            <w:r w:rsidR="00061FCE" w:rsidRPr="009B4F76">
              <w:rPr>
                <w:sz w:val="20"/>
              </w:rPr>
              <w:t xml:space="preserve"> (Methods)</w:t>
            </w:r>
          </w:p>
        </w:tc>
        <w:tc>
          <w:tcPr>
            <w:tcW w:w="6334" w:type="dxa"/>
          </w:tcPr>
          <w:p w:rsidR="00191A23" w:rsidRPr="009B4F76" w:rsidRDefault="005338CE" w:rsidP="0022554A">
            <w:pPr>
              <w:tabs>
                <w:tab w:val="left" w:pos="5400"/>
              </w:tabs>
              <w:rPr>
                <w:sz w:val="20"/>
              </w:rPr>
            </w:pPr>
            <w:r w:rsidRPr="009B4F76">
              <w:rPr>
                <w:sz w:val="20"/>
              </w:rPr>
              <w:t xml:space="preserve">The primary objective was to evaluate the persistence of RVNA following </w:t>
            </w:r>
            <w:proofErr w:type="spellStart"/>
            <w:r w:rsidRPr="009B4F76">
              <w:rPr>
                <w:sz w:val="20"/>
              </w:rPr>
              <w:t>PrEP</w:t>
            </w:r>
            <w:proofErr w:type="spellEnd"/>
            <w:r w:rsidRPr="009B4F76">
              <w:rPr>
                <w:sz w:val="20"/>
              </w:rPr>
              <w:t xml:space="preserve"> or PEP. Secondary objectives included describing RVNA titers following receipt of PVRV booster doses, estimating the incidence of clinical cases of rabies in the study population, and determining the correlation between the anti-rabies antibody titers obtained by the rapid fluorescent focus inhibition test (RFFIT) and a commercially available enzyme-linked </w:t>
            </w:r>
            <w:proofErr w:type="spellStart"/>
            <w:r w:rsidRPr="009B4F76">
              <w:rPr>
                <w:sz w:val="20"/>
              </w:rPr>
              <w:t>immunosorbent</w:t>
            </w:r>
            <w:proofErr w:type="spellEnd"/>
            <w:r w:rsidRPr="009B4F76">
              <w:rPr>
                <w:sz w:val="20"/>
              </w:rPr>
              <w:t xml:space="preserve"> assay (ELISA).</w:t>
            </w:r>
          </w:p>
        </w:tc>
      </w:tr>
      <w:tr w:rsidR="00191A23" w:rsidRPr="009B4F76" w:rsidTr="00C55EED">
        <w:tc>
          <w:tcPr>
            <w:tcW w:w="8658" w:type="dxa"/>
            <w:gridSpan w:val="4"/>
          </w:tcPr>
          <w:p w:rsidR="00191A23" w:rsidRPr="009B4F76" w:rsidRDefault="00191A23" w:rsidP="0022554A">
            <w:pPr>
              <w:pStyle w:val="TableSubHead"/>
              <w:tabs>
                <w:tab w:val="left" w:pos="5400"/>
              </w:tabs>
              <w:rPr>
                <w:sz w:val="20"/>
              </w:rPr>
            </w:pPr>
            <w:bookmarkStart w:id="21" w:name="bold11"/>
            <w:bookmarkStart w:id="22" w:name="italic12"/>
            <w:bookmarkEnd w:id="19"/>
            <w:bookmarkEnd w:id="20"/>
            <w:r w:rsidRPr="009B4F76">
              <w:rPr>
                <w:sz w:val="20"/>
              </w:rPr>
              <w:t>Methods</w:t>
            </w:r>
          </w:p>
        </w:tc>
        <w:bookmarkEnd w:id="21"/>
        <w:bookmarkEnd w:id="22"/>
        <w:tc>
          <w:tcPr>
            <w:tcW w:w="6334" w:type="dxa"/>
          </w:tcPr>
          <w:p w:rsidR="00191A23" w:rsidRPr="009B4F76" w:rsidRDefault="00191A23" w:rsidP="0022554A">
            <w:pPr>
              <w:pStyle w:val="TableSubHead"/>
              <w:tabs>
                <w:tab w:val="left" w:pos="5400"/>
              </w:tabs>
              <w:rPr>
                <w:sz w:val="20"/>
              </w:rPr>
            </w:pPr>
          </w:p>
        </w:tc>
      </w:tr>
      <w:tr w:rsidR="00191A23" w:rsidRPr="009B4F76" w:rsidTr="00C55EED">
        <w:tc>
          <w:tcPr>
            <w:tcW w:w="1951" w:type="dxa"/>
          </w:tcPr>
          <w:p w:rsidR="00191A23" w:rsidRPr="009B4F76" w:rsidRDefault="00191A23" w:rsidP="0022554A">
            <w:pPr>
              <w:tabs>
                <w:tab w:val="left" w:pos="5400"/>
              </w:tabs>
              <w:rPr>
                <w:bCs/>
                <w:sz w:val="20"/>
              </w:rPr>
            </w:pPr>
            <w:bookmarkStart w:id="23" w:name="bold12" w:colFirst="0" w:colLast="0"/>
            <w:bookmarkStart w:id="24" w:name="italic13" w:colFirst="0" w:colLast="0"/>
            <w:r w:rsidRPr="009B4F76">
              <w:rPr>
                <w:bCs/>
                <w:sz w:val="20"/>
              </w:rPr>
              <w:t>Study design</w:t>
            </w:r>
          </w:p>
        </w:tc>
        <w:tc>
          <w:tcPr>
            <w:tcW w:w="616" w:type="dxa"/>
          </w:tcPr>
          <w:p w:rsidR="00191A23" w:rsidRPr="009B4F76" w:rsidRDefault="00191A23" w:rsidP="0022554A">
            <w:pPr>
              <w:tabs>
                <w:tab w:val="left" w:pos="5400"/>
              </w:tabs>
              <w:jc w:val="center"/>
              <w:rPr>
                <w:sz w:val="20"/>
              </w:rPr>
            </w:pPr>
            <w:r w:rsidRPr="009B4F76">
              <w:rPr>
                <w:sz w:val="20"/>
              </w:rPr>
              <w:t>4</w:t>
            </w:r>
          </w:p>
        </w:tc>
        <w:tc>
          <w:tcPr>
            <w:tcW w:w="4651" w:type="dxa"/>
          </w:tcPr>
          <w:p w:rsidR="00191A23" w:rsidRPr="009B4F76" w:rsidRDefault="00191A23" w:rsidP="0022554A">
            <w:pPr>
              <w:tabs>
                <w:tab w:val="left" w:pos="5400"/>
              </w:tabs>
              <w:rPr>
                <w:sz w:val="20"/>
              </w:rPr>
            </w:pPr>
            <w:r w:rsidRPr="009B4F76">
              <w:rPr>
                <w:sz w:val="20"/>
              </w:rPr>
              <w:t>Present key elements of study design early in the paper</w:t>
            </w:r>
          </w:p>
        </w:tc>
        <w:tc>
          <w:tcPr>
            <w:tcW w:w="1440" w:type="dxa"/>
          </w:tcPr>
          <w:p w:rsidR="00191A23" w:rsidRPr="009B4F76" w:rsidRDefault="00DE1C8B" w:rsidP="0022554A">
            <w:pPr>
              <w:tabs>
                <w:tab w:val="left" w:pos="5400"/>
              </w:tabs>
              <w:rPr>
                <w:sz w:val="20"/>
              </w:rPr>
            </w:pPr>
            <w:r w:rsidRPr="009B4F76">
              <w:rPr>
                <w:sz w:val="20"/>
              </w:rPr>
              <w:t>5-6</w:t>
            </w:r>
          </w:p>
        </w:tc>
        <w:tc>
          <w:tcPr>
            <w:tcW w:w="6334" w:type="dxa"/>
          </w:tcPr>
          <w:p w:rsidR="00191A23" w:rsidRPr="009B4F76" w:rsidRDefault="00DE1C8B" w:rsidP="0022554A">
            <w:pPr>
              <w:tabs>
                <w:tab w:val="left" w:pos="5400"/>
              </w:tabs>
              <w:rPr>
                <w:sz w:val="20"/>
              </w:rPr>
            </w:pPr>
            <w:r w:rsidRPr="009B4F76">
              <w:rPr>
                <w:sz w:val="20"/>
              </w:rPr>
              <w:t xml:space="preserve">This was a single-site, prospective epidemiological study designed to evaluate the persistence of RVNA in a population at risk of vampire bat rabies and who had previously received either </w:t>
            </w:r>
            <w:proofErr w:type="spellStart"/>
            <w:r w:rsidRPr="009B4F76">
              <w:rPr>
                <w:sz w:val="20"/>
              </w:rPr>
              <w:t>PrEP</w:t>
            </w:r>
            <w:proofErr w:type="spellEnd"/>
            <w:r w:rsidRPr="009B4F76">
              <w:rPr>
                <w:sz w:val="20"/>
              </w:rPr>
              <w:t xml:space="preserve"> or PEP regimens. The </w:t>
            </w:r>
            <w:r w:rsidRPr="009B4F76">
              <w:rPr>
                <w:sz w:val="20"/>
              </w:rPr>
              <w:lastRenderedPageBreak/>
              <w:t>study also aimed at providing additional data on the need for booster vaccination against rabies. The results of 3 years of follow-up are presented here.</w:t>
            </w:r>
          </w:p>
        </w:tc>
      </w:tr>
      <w:tr w:rsidR="00191A23" w:rsidRPr="009B4F76" w:rsidTr="00C55EED">
        <w:tc>
          <w:tcPr>
            <w:tcW w:w="1951" w:type="dxa"/>
          </w:tcPr>
          <w:p w:rsidR="00191A23" w:rsidRPr="009B4F76" w:rsidRDefault="00191A23" w:rsidP="0022554A">
            <w:pPr>
              <w:tabs>
                <w:tab w:val="left" w:pos="5400"/>
              </w:tabs>
              <w:rPr>
                <w:bCs/>
                <w:sz w:val="20"/>
              </w:rPr>
            </w:pPr>
            <w:bookmarkStart w:id="25" w:name="bold13" w:colFirst="0" w:colLast="0"/>
            <w:bookmarkStart w:id="26" w:name="italic14" w:colFirst="0" w:colLast="0"/>
            <w:bookmarkEnd w:id="23"/>
            <w:bookmarkEnd w:id="24"/>
            <w:r w:rsidRPr="009B4F76">
              <w:rPr>
                <w:bCs/>
                <w:sz w:val="20"/>
              </w:rPr>
              <w:lastRenderedPageBreak/>
              <w:t>Setting</w:t>
            </w:r>
          </w:p>
        </w:tc>
        <w:tc>
          <w:tcPr>
            <w:tcW w:w="616" w:type="dxa"/>
          </w:tcPr>
          <w:p w:rsidR="00191A23" w:rsidRPr="009B4F76" w:rsidRDefault="00191A23" w:rsidP="0022554A">
            <w:pPr>
              <w:tabs>
                <w:tab w:val="left" w:pos="5400"/>
              </w:tabs>
              <w:jc w:val="center"/>
              <w:rPr>
                <w:sz w:val="20"/>
              </w:rPr>
            </w:pPr>
            <w:r w:rsidRPr="009B4F76">
              <w:rPr>
                <w:sz w:val="20"/>
              </w:rPr>
              <w:t>5</w:t>
            </w:r>
          </w:p>
        </w:tc>
        <w:tc>
          <w:tcPr>
            <w:tcW w:w="4651" w:type="dxa"/>
          </w:tcPr>
          <w:p w:rsidR="00191A23" w:rsidRPr="009B4F76" w:rsidRDefault="00191A23" w:rsidP="0022554A">
            <w:pPr>
              <w:tabs>
                <w:tab w:val="left" w:pos="5400"/>
              </w:tabs>
              <w:rPr>
                <w:sz w:val="20"/>
              </w:rPr>
            </w:pPr>
            <w:r w:rsidRPr="009B4F76">
              <w:rPr>
                <w:sz w:val="20"/>
              </w:rPr>
              <w:t>Describe the setting, locations, and relevant dates, including periods of recruitment, exposure, follow-up, and data collection</w:t>
            </w:r>
          </w:p>
        </w:tc>
        <w:tc>
          <w:tcPr>
            <w:tcW w:w="1440" w:type="dxa"/>
          </w:tcPr>
          <w:p w:rsidR="00191A23" w:rsidRPr="009B4F76" w:rsidRDefault="00DE1C8B" w:rsidP="0022554A">
            <w:pPr>
              <w:tabs>
                <w:tab w:val="left" w:pos="5400"/>
              </w:tabs>
              <w:rPr>
                <w:sz w:val="20"/>
              </w:rPr>
            </w:pPr>
            <w:r w:rsidRPr="009B4F76">
              <w:rPr>
                <w:sz w:val="20"/>
              </w:rPr>
              <w:t>6</w:t>
            </w:r>
          </w:p>
        </w:tc>
        <w:tc>
          <w:tcPr>
            <w:tcW w:w="6334" w:type="dxa"/>
          </w:tcPr>
          <w:p w:rsidR="00191A23" w:rsidRPr="009B4F76" w:rsidRDefault="00DE1C8B" w:rsidP="00C55EED">
            <w:pPr>
              <w:tabs>
                <w:tab w:val="left" w:pos="5400"/>
              </w:tabs>
              <w:rPr>
                <w:sz w:val="20"/>
              </w:rPr>
            </w:pPr>
            <w:r w:rsidRPr="009B4F76">
              <w:rPr>
                <w:sz w:val="20"/>
              </w:rPr>
              <w:t>This prospective study was conducted in 2007 through 2009 at the Arai health unit (USF Arai 3) in Augusto Correa, to evaluate the persistence of RVNAs in those who had been vaccinated in 2005.</w:t>
            </w:r>
          </w:p>
        </w:tc>
      </w:tr>
      <w:bookmarkEnd w:id="25"/>
      <w:bookmarkEnd w:id="26"/>
      <w:tr w:rsidR="00191A23" w:rsidRPr="009B4F76" w:rsidTr="00C55EED">
        <w:tc>
          <w:tcPr>
            <w:tcW w:w="1951" w:type="dxa"/>
            <w:vMerge w:val="restart"/>
          </w:tcPr>
          <w:p w:rsidR="00191A23" w:rsidRPr="009B4F76" w:rsidRDefault="00191A23" w:rsidP="0022554A">
            <w:pPr>
              <w:tabs>
                <w:tab w:val="left" w:pos="5400"/>
              </w:tabs>
              <w:rPr>
                <w:bCs/>
                <w:sz w:val="20"/>
              </w:rPr>
            </w:pPr>
            <w:r w:rsidRPr="009B4F76">
              <w:rPr>
                <w:bCs/>
                <w:sz w:val="20"/>
              </w:rPr>
              <w:t>Participants</w:t>
            </w:r>
          </w:p>
        </w:tc>
        <w:tc>
          <w:tcPr>
            <w:tcW w:w="616" w:type="dxa"/>
            <w:vMerge w:val="restart"/>
          </w:tcPr>
          <w:p w:rsidR="00191A23" w:rsidRPr="009B4F76" w:rsidRDefault="00191A23" w:rsidP="0022554A">
            <w:pPr>
              <w:tabs>
                <w:tab w:val="left" w:pos="5400"/>
              </w:tabs>
              <w:jc w:val="center"/>
              <w:rPr>
                <w:sz w:val="20"/>
              </w:rPr>
            </w:pPr>
            <w:r w:rsidRPr="009B4F76">
              <w:rPr>
                <w:sz w:val="20"/>
              </w:rPr>
              <w:t>6</w:t>
            </w:r>
          </w:p>
        </w:tc>
        <w:tc>
          <w:tcPr>
            <w:tcW w:w="4651" w:type="dxa"/>
          </w:tcPr>
          <w:p w:rsidR="00191A23" w:rsidRPr="009B4F76" w:rsidRDefault="00191A23" w:rsidP="0022554A">
            <w:pPr>
              <w:tabs>
                <w:tab w:val="left" w:pos="5400"/>
              </w:tabs>
              <w:rPr>
                <w:sz w:val="20"/>
              </w:rPr>
            </w:pPr>
            <w:r w:rsidRPr="009B4F76">
              <w:rPr>
                <w:sz w:val="20"/>
              </w:rPr>
              <w:t>(</w:t>
            </w:r>
            <w:r w:rsidRPr="009B4F76">
              <w:rPr>
                <w:i/>
                <w:sz w:val="20"/>
              </w:rPr>
              <w:t>a</w:t>
            </w:r>
            <w:r w:rsidRPr="009B4F76">
              <w:rPr>
                <w:sz w:val="20"/>
              </w:rPr>
              <w:t xml:space="preserve">) </w:t>
            </w:r>
            <w:r w:rsidRPr="009B4F76">
              <w:rPr>
                <w:i/>
                <w:sz w:val="20"/>
              </w:rPr>
              <w:t>Cohort study</w:t>
            </w:r>
            <w:r w:rsidRPr="009B4F76">
              <w:rPr>
                <w:sz w:val="20"/>
              </w:rPr>
              <w:t>—Give the eligibility criteria, and the sources and methods of selection of participants. Describe methods of follow-up</w:t>
            </w:r>
          </w:p>
          <w:p w:rsidR="00191A23" w:rsidRPr="009B4F76" w:rsidRDefault="00191A23" w:rsidP="0022554A">
            <w:pPr>
              <w:tabs>
                <w:tab w:val="left" w:pos="5400"/>
              </w:tabs>
              <w:rPr>
                <w:sz w:val="20"/>
              </w:rPr>
            </w:pPr>
            <w:r w:rsidRPr="009B4F76">
              <w:rPr>
                <w:i/>
                <w:sz w:val="20"/>
              </w:rPr>
              <w:t>Case-control study</w:t>
            </w:r>
            <w:r w:rsidRPr="009B4F76">
              <w:rPr>
                <w:sz w:val="20"/>
              </w:rPr>
              <w:t>—Give the eligibility criteria, and the sources and methods of case ascertainment and control selection. Give the rationale for the choice of cases and controls</w:t>
            </w:r>
          </w:p>
          <w:p w:rsidR="00191A23" w:rsidRPr="009B4F76" w:rsidRDefault="00191A23" w:rsidP="0022554A">
            <w:pPr>
              <w:tabs>
                <w:tab w:val="left" w:pos="5400"/>
              </w:tabs>
              <w:rPr>
                <w:sz w:val="20"/>
              </w:rPr>
            </w:pPr>
            <w:r w:rsidRPr="009B4F76">
              <w:rPr>
                <w:i/>
                <w:sz w:val="20"/>
              </w:rPr>
              <w:t>Cross-sectional study</w:t>
            </w:r>
            <w:r w:rsidRPr="009B4F76">
              <w:rPr>
                <w:sz w:val="20"/>
              </w:rPr>
              <w:t>—Give the eligibility criteria, and the sources and methods of selection of participants</w:t>
            </w:r>
          </w:p>
        </w:tc>
        <w:tc>
          <w:tcPr>
            <w:tcW w:w="1440" w:type="dxa"/>
          </w:tcPr>
          <w:p w:rsidR="00191A23" w:rsidRPr="009B4F76" w:rsidRDefault="000C6828" w:rsidP="0022554A">
            <w:pPr>
              <w:tabs>
                <w:tab w:val="left" w:pos="5400"/>
              </w:tabs>
              <w:rPr>
                <w:sz w:val="20"/>
              </w:rPr>
            </w:pPr>
            <w:r w:rsidRPr="009B4F76">
              <w:rPr>
                <w:sz w:val="20"/>
              </w:rPr>
              <w:t>6</w:t>
            </w:r>
          </w:p>
          <w:p w:rsidR="00B5769E" w:rsidRPr="009B4F76" w:rsidRDefault="00B5769E" w:rsidP="0022554A">
            <w:pPr>
              <w:tabs>
                <w:tab w:val="left" w:pos="5400"/>
              </w:tabs>
              <w:rPr>
                <w:sz w:val="20"/>
              </w:rPr>
            </w:pPr>
          </w:p>
          <w:p w:rsidR="00B5769E" w:rsidRPr="009B4F76" w:rsidRDefault="00B5769E" w:rsidP="0022554A">
            <w:pPr>
              <w:tabs>
                <w:tab w:val="left" w:pos="5400"/>
              </w:tabs>
              <w:rPr>
                <w:sz w:val="20"/>
              </w:rPr>
            </w:pPr>
          </w:p>
          <w:p w:rsidR="001328C5" w:rsidRPr="009B4F76" w:rsidRDefault="001328C5" w:rsidP="0022554A">
            <w:pPr>
              <w:tabs>
                <w:tab w:val="left" w:pos="5400"/>
              </w:tabs>
              <w:rPr>
                <w:sz w:val="20"/>
              </w:rPr>
            </w:pPr>
          </w:p>
          <w:p w:rsidR="001328C5" w:rsidRPr="009B4F76" w:rsidRDefault="001328C5" w:rsidP="0022554A">
            <w:pPr>
              <w:tabs>
                <w:tab w:val="left" w:pos="5400"/>
              </w:tabs>
              <w:rPr>
                <w:sz w:val="20"/>
              </w:rPr>
            </w:pPr>
          </w:p>
          <w:p w:rsidR="00B5769E" w:rsidRPr="009B4F76" w:rsidRDefault="00B5769E" w:rsidP="0022554A">
            <w:pPr>
              <w:tabs>
                <w:tab w:val="left" w:pos="5400"/>
              </w:tabs>
              <w:rPr>
                <w:sz w:val="20"/>
              </w:rPr>
            </w:pPr>
            <w:r w:rsidRPr="009B4F76">
              <w:rPr>
                <w:sz w:val="20"/>
              </w:rPr>
              <w:t>8 (Statistical analysis)</w:t>
            </w:r>
          </w:p>
        </w:tc>
        <w:tc>
          <w:tcPr>
            <w:tcW w:w="6334" w:type="dxa"/>
          </w:tcPr>
          <w:p w:rsidR="00B5769E" w:rsidRPr="009B4F76" w:rsidRDefault="0066376B" w:rsidP="00B5769E">
            <w:pPr>
              <w:tabs>
                <w:tab w:val="left" w:pos="5400"/>
              </w:tabs>
              <w:rPr>
                <w:sz w:val="20"/>
              </w:rPr>
            </w:pPr>
            <w:r w:rsidRPr="009B4F76">
              <w:rPr>
                <w:sz w:val="20"/>
              </w:rPr>
              <w:t>Each study participant was followed-up annually for 3 years (in 2007, 2008 and 2009)</w:t>
            </w:r>
            <w:proofErr w:type="gramStart"/>
            <w:r w:rsidRPr="009B4F76">
              <w:rPr>
                <w:sz w:val="20"/>
              </w:rPr>
              <w:t>.(</w:t>
            </w:r>
            <w:proofErr w:type="gramEnd"/>
            <w:r w:rsidRPr="009B4F76">
              <w:rPr>
                <w:sz w:val="20"/>
              </w:rPr>
              <w:t xml:space="preserve">…) </w:t>
            </w:r>
            <w:r w:rsidR="000C6828" w:rsidRPr="009B4F76">
              <w:rPr>
                <w:sz w:val="20"/>
              </w:rPr>
              <w:t>Anyone who had been vaccinated in 20</w:t>
            </w:r>
            <w:r w:rsidRPr="009B4F76">
              <w:rPr>
                <w:sz w:val="20"/>
              </w:rPr>
              <w:t>05 was eligible to participate.</w:t>
            </w:r>
            <w:r w:rsidR="00B5769E" w:rsidRPr="009B4F76">
              <w:rPr>
                <w:sz w:val="20"/>
              </w:rPr>
              <w:t xml:space="preserve"> (…)</w:t>
            </w:r>
          </w:p>
          <w:p w:rsidR="001328C5" w:rsidRPr="009B4F76" w:rsidRDefault="001328C5" w:rsidP="00B5769E">
            <w:pPr>
              <w:tabs>
                <w:tab w:val="left" w:pos="5400"/>
              </w:tabs>
              <w:rPr>
                <w:sz w:val="20"/>
              </w:rPr>
            </w:pPr>
            <w:r w:rsidRPr="009B4F76">
              <w:rPr>
                <w:sz w:val="20"/>
              </w:rPr>
              <w:t>Participants with RVNA titers ≤0.5 IU/mL or Equivalent Units (EU)/mL at enrolment or at subsequent annual visits received booster doses of PVRV.</w:t>
            </w:r>
          </w:p>
          <w:p w:rsidR="00191A23" w:rsidRPr="009B4F76" w:rsidRDefault="00B5769E" w:rsidP="00B5769E">
            <w:pPr>
              <w:tabs>
                <w:tab w:val="left" w:pos="5400"/>
              </w:tabs>
              <w:rPr>
                <w:sz w:val="20"/>
              </w:rPr>
            </w:pPr>
            <w:r w:rsidRPr="009B4F76">
              <w:rPr>
                <w:sz w:val="20"/>
              </w:rPr>
              <w:t xml:space="preserve">The study populations included in the analysis comprised: 1) all the evaluable study participants in each follow-up year, 2) participants who received a booster dose of vaccine at </w:t>
            </w:r>
            <w:proofErr w:type="spellStart"/>
            <w:r w:rsidRPr="009B4F76">
              <w:rPr>
                <w:sz w:val="20"/>
              </w:rPr>
              <w:t>enrollment</w:t>
            </w:r>
            <w:proofErr w:type="spellEnd"/>
            <w:r w:rsidRPr="009B4F76">
              <w:rPr>
                <w:sz w:val="20"/>
              </w:rPr>
              <w:t xml:space="preserve"> or during a follow up year, and 3) participants who did not receive booster doses of vaccine either at study entry or in any follow-up year.</w:t>
            </w:r>
          </w:p>
        </w:tc>
      </w:tr>
      <w:tr w:rsidR="00191A23" w:rsidRPr="009B4F76" w:rsidTr="00C55EED">
        <w:tc>
          <w:tcPr>
            <w:tcW w:w="1951" w:type="dxa"/>
            <w:vMerge/>
          </w:tcPr>
          <w:p w:rsidR="00191A23" w:rsidRPr="009B4F76"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9B4F76" w:rsidRDefault="00191A23" w:rsidP="0022554A">
            <w:pPr>
              <w:tabs>
                <w:tab w:val="left" w:pos="5400"/>
              </w:tabs>
              <w:jc w:val="center"/>
              <w:rPr>
                <w:sz w:val="20"/>
              </w:rPr>
            </w:pPr>
          </w:p>
        </w:tc>
        <w:tc>
          <w:tcPr>
            <w:tcW w:w="4651" w:type="dxa"/>
          </w:tcPr>
          <w:p w:rsidR="00191A23" w:rsidRPr="009B4F76" w:rsidRDefault="00191A23" w:rsidP="0022554A">
            <w:pPr>
              <w:tabs>
                <w:tab w:val="left" w:pos="5400"/>
              </w:tabs>
              <w:rPr>
                <w:sz w:val="20"/>
              </w:rPr>
            </w:pPr>
            <w:r w:rsidRPr="009B4F76">
              <w:rPr>
                <w:sz w:val="20"/>
              </w:rPr>
              <w:t>(</w:t>
            </w:r>
            <w:r w:rsidRPr="009B4F76">
              <w:rPr>
                <w:i/>
                <w:sz w:val="20"/>
              </w:rPr>
              <w:t>b</w:t>
            </w:r>
            <w:r w:rsidRPr="009B4F76">
              <w:rPr>
                <w:sz w:val="20"/>
              </w:rPr>
              <w:t>)</w:t>
            </w:r>
            <w:r w:rsidRPr="009B4F76">
              <w:rPr>
                <w:b/>
                <w:bCs/>
                <w:sz w:val="20"/>
              </w:rPr>
              <w:t xml:space="preserve"> </w:t>
            </w:r>
            <w:r w:rsidRPr="009B4F76">
              <w:rPr>
                <w:bCs/>
                <w:i/>
                <w:sz w:val="20"/>
              </w:rPr>
              <w:t>Cohort study</w:t>
            </w:r>
            <w:r w:rsidRPr="009B4F76">
              <w:rPr>
                <w:sz w:val="20"/>
              </w:rPr>
              <w:t>—For matched studies, give matching criteria and number of exposed and unexposed</w:t>
            </w:r>
          </w:p>
          <w:p w:rsidR="00191A23" w:rsidRPr="009B4F76" w:rsidRDefault="00191A23" w:rsidP="0022554A">
            <w:pPr>
              <w:tabs>
                <w:tab w:val="left" w:pos="5400"/>
              </w:tabs>
              <w:rPr>
                <w:i/>
                <w:sz w:val="20"/>
              </w:rPr>
            </w:pPr>
            <w:r w:rsidRPr="009B4F76">
              <w:rPr>
                <w:bCs/>
                <w:i/>
                <w:sz w:val="20"/>
              </w:rPr>
              <w:t>Case-control study</w:t>
            </w:r>
            <w:r w:rsidRPr="009B4F76">
              <w:rPr>
                <w:sz w:val="20"/>
              </w:rPr>
              <w:t>—For matched studies, give matching criteria and the number of controls per case</w:t>
            </w:r>
          </w:p>
        </w:tc>
        <w:tc>
          <w:tcPr>
            <w:tcW w:w="1440" w:type="dxa"/>
          </w:tcPr>
          <w:p w:rsidR="00191A23" w:rsidRPr="009B4F76" w:rsidRDefault="00191A23" w:rsidP="0022554A">
            <w:pPr>
              <w:tabs>
                <w:tab w:val="left" w:pos="5400"/>
              </w:tabs>
              <w:rPr>
                <w:sz w:val="20"/>
              </w:rPr>
            </w:pPr>
          </w:p>
        </w:tc>
        <w:tc>
          <w:tcPr>
            <w:tcW w:w="6334" w:type="dxa"/>
          </w:tcPr>
          <w:p w:rsidR="00191A23" w:rsidRPr="009B4F76" w:rsidRDefault="002F3A2E" w:rsidP="0022554A">
            <w:pPr>
              <w:tabs>
                <w:tab w:val="left" w:pos="5400"/>
              </w:tabs>
              <w:rPr>
                <w:sz w:val="20"/>
              </w:rPr>
            </w:pPr>
            <w:r w:rsidRPr="009B4F76">
              <w:rPr>
                <w:sz w:val="20"/>
              </w:rPr>
              <w:t>NA</w:t>
            </w:r>
          </w:p>
        </w:tc>
      </w:tr>
      <w:tr w:rsidR="00191A23" w:rsidRPr="009B4F76" w:rsidTr="00C55EED">
        <w:tc>
          <w:tcPr>
            <w:tcW w:w="1951" w:type="dxa"/>
          </w:tcPr>
          <w:p w:rsidR="00191A23" w:rsidRPr="009B4F76" w:rsidRDefault="00191A23" w:rsidP="0022554A">
            <w:pPr>
              <w:tabs>
                <w:tab w:val="left" w:pos="5400"/>
              </w:tabs>
              <w:rPr>
                <w:bCs/>
                <w:sz w:val="20"/>
              </w:rPr>
            </w:pPr>
            <w:bookmarkStart w:id="29" w:name="bold16" w:colFirst="0" w:colLast="0"/>
            <w:bookmarkStart w:id="30" w:name="italic17" w:colFirst="0" w:colLast="0"/>
            <w:bookmarkEnd w:id="27"/>
            <w:bookmarkEnd w:id="28"/>
            <w:r w:rsidRPr="009B4F76">
              <w:rPr>
                <w:bCs/>
                <w:sz w:val="20"/>
              </w:rPr>
              <w:t>Variables</w:t>
            </w:r>
          </w:p>
        </w:tc>
        <w:tc>
          <w:tcPr>
            <w:tcW w:w="616" w:type="dxa"/>
          </w:tcPr>
          <w:p w:rsidR="00191A23" w:rsidRPr="009B4F76" w:rsidRDefault="00191A23" w:rsidP="0022554A">
            <w:pPr>
              <w:tabs>
                <w:tab w:val="left" w:pos="5400"/>
              </w:tabs>
              <w:jc w:val="center"/>
              <w:rPr>
                <w:sz w:val="20"/>
              </w:rPr>
            </w:pPr>
            <w:r w:rsidRPr="009B4F76">
              <w:rPr>
                <w:sz w:val="20"/>
              </w:rPr>
              <w:t>7</w:t>
            </w:r>
          </w:p>
        </w:tc>
        <w:tc>
          <w:tcPr>
            <w:tcW w:w="4651" w:type="dxa"/>
          </w:tcPr>
          <w:p w:rsidR="00191A23" w:rsidRPr="009B4F76" w:rsidRDefault="00191A23" w:rsidP="0022554A">
            <w:pPr>
              <w:tabs>
                <w:tab w:val="left" w:pos="5400"/>
              </w:tabs>
              <w:rPr>
                <w:sz w:val="20"/>
              </w:rPr>
            </w:pPr>
            <w:r w:rsidRPr="009B4F76">
              <w:rPr>
                <w:sz w:val="20"/>
              </w:rPr>
              <w:t>Clearly define all outcomes, exposures, predictors, potential confounders, and effect modifiers. Give diagnostic criteria, if applicable</w:t>
            </w:r>
          </w:p>
        </w:tc>
        <w:tc>
          <w:tcPr>
            <w:tcW w:w="1440" w:type="dxa"/>
          </w:tcPr>
          <w:p w:rsidR="00191A23" w:rsidRPr="009B4F76" w:rsidRDefault="0066376B" w:rsidP="0022554A">
            <w:pPr>
              <w:tabs>
                <w:tab w:val="left" w:pos="5400"/>
              </w:tabs>
              <w:rPr>
                <w:sz w:val="20"/>
              </w:rPr>
            </w:pPr>
            <w:r w:rsidRPr="009B4F76">
              <w:rPr>
                <w:sz w:val="20"/>
              </w:rPr>
              <w:t>8</w:t>
            </w:r>
          </w:p>
        </w:tc>
        <w:tc>
          <w:tcPr>
            <w:tcW w:w="6334" w:type="dxa"/>
          </w:tcPr>
          <w:p w:rsidR="00191A23" w:rsidRPr="009B4F76" w:rsidRDefault="0066376B" w:rsidP="00EE3670">
            <w:pPr>
              <w:tabs>
                <w:tab w:val="left" w:pos="5400"/>
              </w:tabs>
              <w:rPr>
                <w:sz w:val="20"/>
              </w:rPr>
            </w:pPr>
            <w:r w:rsidRPr="009B4F76">
              <w:rPr>
                <w:sz w:val="20"/>
              </w:rPr>
              <w:t xml:space="preserve">The primary study endpoint was the number and percentage of subjects with RVNA titers &gt;0.5 IU/mL each year using the RFFIT assay. </w:t>
            </w:r>
            <w:r w:rsidR="002F3A2E" w:rsidRPr="009B4F76">
              <w:rPr>
                <w:sz w:val="20"/>
              </w:rPr>
              <w:t xml:space="preserve">The study was designed to include analysis by gender and age group (i.e., 2–5, 6–17, 18–40, 41–60, and &gt;60 years of age). </w:t>
            </w:r>
            <w:r w:rsidR="00EE3670" w:rsidRPr="009B4F76">
              <w:rPr>
                <w:sz w:val="20"/>
              </w:rPr>
              <w:t xml:space="preserve">The number and percentage of subjects with RVNA titers &gt;0.5 EU/mL using the ELISA test was calculated in the overall study population for each of their follow up visits. </w:t>
            </w:r>
            <w:r w:rsidRPr="009B4F76">
              <w:rPr>
                <w:sz w:val="20"/>
              </w:rPr>
              <w:t xml:space="preserve"> </w:t>
            </w:r>
          </w:p>
        </w:tc>
      </w:tr>
      <w:tr w:rsidR="00191A23" w:rsidRPr="009B4F76" w:rsidTr="00C55EED">
        <w:trPr>
          <w:trHeight w:val="294"/>
        </w:trPr>
        <w:tc>
          <w:tcPr>
            <w:tcW w:w="1951" w:type="dxa"/>
          </w:tcPr>
          <w:p w:rsidR="00191A23" w:rsidRPr="009B4F76" w:rsidRDefault="00191A23" w:rsidP="0022554A">
            <w:pPr>
              <w:tabs>
                <w:tab w:val="left" w:pos="5400"/>
              </w:tabs>
              <w:rPr>
                <w:bCs/>
                <w:sz w:val="20"/>
              </w:rPr>
            </w:pPr>
            <w:bookmarkStart w:id="31" w:name="bold17"/>
            <w:bookmarkStart w:id="32" w:name="italic18"/>
            <w:bookmarkEnd w:id="29"/>
            <w:bookmarkEnd w:id="30"/>
            <w:r w:rsidRPr="009B4F76">
              <w:rPr>
                <w:bCs/>
                <w:sz w:val="20"/>
              </w:rPr>
              <w:t>Data sources/</w:t>
            </w:r>
            <w:bookmarkStart w:id="33" w:name="bold18"/>
            <w:bookmarkStart w:id="34" w:name="italic19"/>
            <w:bookmarkEnd w:id="31"/>
            <w:bookmarkEnd w:id="32"/>
            <w:r w:rsidRPr="009B4F76">
              <w:rPr>
                <w:bCs/>
                <w:sz w:val="20"/>
              </w:rPr>
              <w:t xml:space="preserve"> measurement</w:t>
            </w:r>
            <w:bookmarkEnd w:id="33"/>
            <w:bookmarkEnd w:id="34"/>
          </w:p>
        </w:tc>
        <w:tc>
          <w:tcPr>
            <w:tcW w:w="616" w:type="dxa"/>
          </w:tcPr>
          <w:p w:rsidR="00191A23" w:rsidRPr="009B4F76" w:rsidRDefault="00191A23" w:rsidP="0022554A">
            <w:pPr>
              <w:tabs>
                <w:tab w:val="left" w:pos="5400"/>
              </w:tabs>
              <w:jc w:val="center"/>
              <w:rPr>
                <w:sz w:val="20"/>
              </w:rPr>
            </w:pPr>
            <w:r w:rsidRPr="009B4F76">
              <w:rPr>
                <w:sz w:val="20"/>
              </w:rPr>
              <w:t>8</w:t>
            </w:r>
            <w:bookmarkStart w:id="35" w:name="bold19"/>
            <w:r w:rsidRPr="009B4F76">
              <w:rPr>
                <w:bCs/>
                <w:sz w:val="20"/>
              </w:rPr>
              <w:t>*</w:t>
            </w:r>
            <w:bookmarkEnd w:id="35"/>
          </w:p>
        </w:tc>
        <w:tc>
          <w:tcPr>
            <w:tcW w:w="4651" w:type="dxa"/>
          </w:tcPr>
          <w:p w:rsidR="00191A23" w:rsidRPr="009B4F76" w:rsidRDefault="00191A23" w:rsidP="0022554A">
            <w:pPr>
              <w:tabs>
                <w:tab w:val="left" w:pos="5400"/>
              </w:tabs>
              <w:rPr>
                <w:sz w:val="20"/>
              </w:rPr>
            </w:pPr>
            <w:r w:rsidRPr="009B4F76">
              <w:rPr>
                <w:i/>
                <w:sz w:val="20"/>
              </w:rPr>
              <w:t xml:space="preserve"> </w:t>
            </w:r>
            <w:r w:rsidRPr="009B4F76">
              <w:rPr>
                <w:sz w:val="20"/>
              </w:rPr>
              <w:t>For each variable of interest, give sources of data and details of methods of assessment (measurement). Describe comparability of assessment methods if there is more than one group</w:t>
            </w:r>
          </w:p>
        </w:tc>
        <w:tc>
          <w:tcPr>
            <w:tcW w:w="1440" w:type="dxa"/>
          </w:tcPr>
          <w:p w:rsidR="00191A23" w:rsidRPr="009B4F76" w:rsidRDefault="008E45F5" w:rsidP="0022554A">
            <w:pPr>
              <w:tabs>
                <w:tab w:val="left" w:pos="5400"/>
              </w:tabs>
              <w:rPr>
                <w:sz w:val="20"/>
              </w:rPr>
            </w:pPr>
            <w:r w:rsidRPr="009B4F76">
              <w:rPr>
                <w:sz w:val="20"/>
              </w:rPr>
              <w:t>7</w:t>
            </w:r>
          </w:p>
        </w:tc>
        <w:tc>
          <w:tcPr>
            <w:tcW w:w="6334" w:type="dxa"/>
          </w:tcPr>
          <w:p w:rsidR="00191A23" w:rsidRPr="009B4F76" w:rsidRDefault="008E45F5" w:rsidP="008E45F5">
            <w:pPr>
              <w:tabs>
                <w:tab w:val="left" w:pos="5400"/>
              </w:tabs>
              <w:rPr>
                <w:sz w:val="20"/>
              </w:rPr>
            </w:pPr>
            <w:r w:rsidRPr="009B4F76">
              <w:rPr>
                <w:sz w:val="20"/>
              </w:rPr>
              <w:t xml:space="preserve">Blood specimens (5 mL) were collected from each study participant at enrolment and at each of the three annual follow-up visits (when the patient came to the health </w:t>
            </w:r>
            <w:proofErr w:type="spellStart"/>
            <w:r w:rsidRPr="009B4F76">
              <w:rPr>
                <w:sz w:val="20"/>
              </w:rPr>
              <w:t>center</w:t>
            </w:r>
            <w:proofErr w:type="spellEnd"/>
            <w:r w:rsidRPr="009B4F76">
              <w:rPr>
                <w:sz w:val="20"/>
              </w:rPr>
              <w:t xml:space="preserve">) for testing by RFFIT and enzyme-linked </w:t>
            </w:r>
            <w:proofErr w:type="spellStart"/>
            <w:r w:rsidRPr="009B4F76">
              <w:rPr>
                <w:sz w:val="20"/>
              </w:rPr>
              <w:t>immunosorbent</w:t>
            </w:r>
            <w:proofErr w:type="spellEnd"/>
            <w:r w:rsidRPr="009B4F76">
              <w:rPr>
                <w:sz w:val="20"/>
              </w:rPr>
              <w:t xml:space="preserve"> assay (ELISA). Blood serum specimens were divided into four 0.5 mL aliquots for testing. RVNA titers were measured by RFFIT </w:t>
            </w:r>
            <w:r w:rsidRPr="009B4F76">
              <w:rPr>
                <w:sz w:val="20"/>
              </w:rPr>
              <w:lastRenderedPageBreak/>
              <w:t xml:space="preserve">(Pasteur virus strain in BHK21 cells) at the Centro de Controle de </w:t>
            </w:r>
            <w:proofErr w:type="spellStart"/>
            <w:r w:rsidRPr="009B4F76">
              <w:rPr>
                <w:sz w:val="20"/>
              </w:rPr>
              <w:t>Zoonoses</w:t>
            </w:r>
            <w:proofErr w:type="spellEnd"/>
            <w:r w:rsidRPr="009B4F76">
              <w:rPr>
                <w:sz w:val="20"/>
              </w:rPr>
              <w:t xml:space="preserve"> (CCZ) laboratory in São Paulo, Brazil. Ten percent of the specimens were randomly selected for RFFIT re-testing at </w:t>
            </w:r>
            <w:proofErr w:type="spellStart"/>
            <w:r w:rsidRPr="009B4F76">
              <w:rPr>
                <w:sz w:val="20"/>
              </w:rPr>
              <w:t>Institut</w:t>
            </w:r>
            <w:proofErr w:type="spellEnd"/>
            <w:r w:rsidRPr="009B4F76">
              <w:rPr>
                <w:sz w:val="20"/>
              </w:rPr>
              <w:t xml:space="preserve"> Pasteur laboratory in Paris, France, using a vampire bat virus strain. The concentration of rabies virus anti-glycoprotein antibodies (EU/mL) in each blood sample was determined by ELISA (Pasteur virus strain) at </w:t>
            </w:r>
            <w:proofErr w:type="spellStart"/>
            <w:r w:rsidRPr="009B4F76">
              <w:rPr>
                <w:sz w:val="20"/>
              </w:rPr>
              <w:t>Institut</w:t>
            </w:r>
            <w:proofErr w:type="spellEnd"/>
            <w:r w:rsidRPr="009B4F76">
              <w:rPr>
                <w:sz w:val="20"/>
              </w:rPr>
              <w:t xml:space="preserve"> Pasteur laboratory in Paris, France, using the Bio-Rad </w:t>
            </w:r>
            <w:proofErr w:type="spellStart"/>
            <w:r w:rsidRPr="009B4F76">
              <w:rPr>
                <w:sz w:val="20"/>
              </w:rPr>
              <w:t>Platelia</w:t>
            </w:r>
            <w:proofErr w:type="spellEnd"/>
            <w:r w:rsidRPr="009B4F76">
              <w:rPr>
                <w:sz w:val="20"/>
              </w:rPr>
              <w:t>® assay as per the manufacturer’s instructions. The correlation between the RVNA titers measured by RFFIT and by fluorescent antibody virus neutralization (FAVN) assay (challenge virus strain in BHK21 cells) was estimated at the CCZ laboratory, São Paulo, Brazil, using the specimens collected in 2007, the first year of the study.</w:t>
            </w:r>
          </w:p>
        </w:tc>
      </w:tr>
      <w:tr w:rsidR="00191A23" w:rsidRPr="009B4F76" w:rsidTr="00C55EED">
        <w:tc>
          <w:tcPr>
            <w:tcW w:w="1951" w:type="dxa"/>
          </w:tcPr>
          <w:p w:rsidR="00191A23" w:rsidRPr="009B4F76" w:rsidRDefault="00191A23" w:rsidP="0022554A">
            <w:pPr>
              <w:tabs>
                <w:tab w:val="left" w:pos="5400"/>
              </w:tabs>
              <w:rPr>
                <w:bCs/>
                <w:color w:val="000000"/>
                <w:sz w:val="20"/>
              </w:rPr>
            </w:pPr>
            <w:bookmarkStart w:id="36" w:name="bold20" w:colFirst="0" w:colLast="0"/>
            <w:bookmarkStart w:id="37" w:name="italic20" w:colFirst="0" w:colLast="0"/>
            <w:r w:rsidRPr="009B4F76">
              <w:rPr>
                <w:bCs/>
                <w:color w:val="000000"/>
                <w:sz w:val="20"/>
              </w:rPr>
              <w:lastRenderedPageBreak/>
              <w:t>Bias</w:t>
            </w:r>
          </w:p>
        </w:tc>
        <w:tc>
          <w:tcPr>
            <w:tcW w:w="616" w:type="dxa"/>
          </w:tcPr>
          <w:p w:rsidR="00191A23" w:rsidRPr="009B4F76" w:rsidRDefault="00191A23" w:rsidP="0022554A">
            <w:pPr>
              <w:tabs>
                <w:tab w:val="left" w:pos="5400"/>
              </w:tabs>
              <w:jc w:val="center"/>
              <w:rPr>
                <w:sz w:val="20"/>
              </w:rPr>
            </w:pPr>
            <w:r w:rsidRPr="009B4F76">
              <w:rPr>
                <w:sz w:val="20"/>
              </w:rPr>
              <w:t>9</w:t>
            </w:r>
          </w:p>
        </w:tc>
        <w:tc>
          <w:tcPr>
            <w:tcW w:w="4651" w:type="dxa"/>
          </w:tcPr>
          <w:p w:rsidR="00191A23" w:rsidRPr="009B4F76" w:rsidRDefault="00191A23" w:rsidP="0022554A">
            <w:pPr>
              <w:tabs>
                <w:tab w:val="left" w:pos="5400"/>
              </w:tabs>
              <w:rPr>
                <w:color w:val="000000"/>
                <w:sz w:val="20"/>
              </w:rPr>
            </w:pPr>
            <w:r w:rsidRPr="009B4F76">
              <w:rPr>
                <w:color w:val="000000"/>
                <w:sz w:val="20"/>
              </w:rPr>
              <w:t>Describe any efforts to address potential sources of bias</w:t>
            </w:r>
          </w:p>
        </w:tc>
        <w:tc>
          <w:tcPr>
            <w:tcW w:w="1440" w:type="dxa"/>
          </w:tcPr>
          <w:p w:rsidR="00191A23" w:rsidRPr="009B4F76" w:rsidRDefault="00EE3670" w:rsidP="0022554A">
            <w:pPr>
              <w:tabs>
                <w:tab w:val="left" w:pos="5400"/>
              </w:tabs>
              <w:rPr>
                <w:color w:val="000000"/>
                <w:sz w:val="20"/>
              </w:rPr>
            </w:pPr>
            <w:r w:rsidRPr="009B4F76">
              <w:rPr>
                <w:color w:val="000000"/>
                <w:sz w:val="20"/>
              </w:rPr>
              <w:t>8</w:t>
            </w:r>
          </w:p>
          <w:p w:rsidR="008E45F5" w:rsidRPr="009B4F76" w:rsidRDefault="008E45F5" w:rsidP="0022554A">
            <w:pPr>
              <w:tabs>
                <w:tab w:val="left" w:pos="5400"/>
              </w:tabs>
              <w:rPr>
                <w:color w:val="000000"/>
                <w:sz w:val="20"/>
              </w:rPr>
            </w:pPr>
          </w:p>
          <w:p w:rsidR="008E45F5" w:rsidRPr="009B4F76" w:rsidRDefault="008E45F5" w:rsidP="0022554A">
            <w:pPr>
              <w:tabs>
                <w:tab w:val="left" w:pos="5400"/>
              </w:tabs>
              <w:rPr>
                <w:color w:val="000000"/>
                <w:sz w:val="20"/>
              </w:rPr>
            </w:pPr>
            <w:r w:rsidRPr="009B4F76">
              <w:rPr>
                <w:color w:val="000000"/>
                <w:sz w:val="20"/>
              </w:rPr>
              <w:t>6</w:t>
            </w:r>
          </w:p>
          <w:p w:rsidR="008E45F5" w:rsidRPr="009B4F76" w:rsidRDefault="008E45F5" w:rsidP="0022554A">
            <w:pPr>
              <w:tabs>
                <w:tab w:val="left" w:pos="5400"/>
              </w:tabs>
              <w:rPr>
                <w:color w:val="000000"/>
                <w:sz w:val="20"/>
              </w:rPr>
            </w:pPr>
          </w:p>
          <w:p w:rsidR="008E45F5" w:rsidRPr="009B4F76" w:rsidRDefault="008E45F5" w:rsidP="0022554A">
            <w:pPr>
              <w:tabs>
                <w:tab w:val="left" w:pos="5400"/>
              </w:tabs>
              <w:rPr>
                <w:color w:val="000000"/>
                <w:sz w:val="20"/>
              </w:rPr>
            </w:pPr>
            <w:r w:rsidRPr="009B4F76">
              <w:rPr>
                <w:color w:val="000000"/>
                <w:sz w:val="20"/>
              </w:rPr>
              <w:t>7</w:t>
            </w:r>
          </w:p>
        </w:tc>
        <w:tc>
          <w:tcPr>
            <w:tcW w:w="6334" w:type="dxa"/>
          </w:tcPr>
          <w:p w:rsidR="008E45F5" w:rsidRPr="009B4F76" w:rsidRDefault="008E45F5" w:rsidP="0022554A">
            <w:pPr>
              <w:tabs>
                <w:tab w:val="left" w:pos="5400"/>
              </w:tabs>
              <w:rPr>
                <w:sz w:val="20"/>
              </w:rPr>
            </w:pPr>
            <w:r w:rsidRPr="009B4F76">
              <w:rPr>
                <w:sz w:val="20"/>
              </w:rPr>
              <w:t>Anyone who had been vaccinated in 2005 was eligible to participate.</w:t>
            </w:r>
          </w:p>
          <w:p w:rsidR="008E45F5" w:rsidRPr="009B4F76" w:rsidRDefault="008E45F5" w:rsidP="0022554A">
            <w:pPr>
              <w:tabs>
                <w:tab w:val="left" w:pos="5400"/>
              </w:tabs>
              <w:rPr>
                <w:sz w:val="20"/>
              </w:rPr>
            </w:pPr>
          </w:p>
          <w:p w:rsidR="008E45F5" w:rsidRPr="009B4F76" w:rsidRDefault="008E45F5" w:rsidP="0022554A">
            <w:pPr>
              <w:tabs>
                <w:tab w:val="left" w:pos="5400"/>
              </w:tabs>
              <w:rPr>
                <w:color w:val="000000"/>
                <w:sz w:val="20"/>
              </w:rPr>
            </w:pPr>
            <w:r w:rsidRPr="009B4F76">
              <w:rPr>
                <w:sz w:val="20"/>
              </w:rPr>
              <w:t xml:space="preserve">Ten percent of the specimens were randomly selected for RFFIT re-testing at </w:t>
            </w:r>
            <w:proofErr w:type="spellStart"/>
            <w:r w:rsidRPr="009B4F76">
              <w:rPr>
                <w:sz w:val="20"/>
              </w:rPr>
              <w:t>Institut</w:t>
            </w:r>
            <w:proofErr w:type="spellEnd"/>
            <w:r w:rsidRPr="009B4F76">
              <w:rPr>
                <w:sz w:val="20"/>
              </w:rPr>
              <w:t xml:space="preserve"> Pasteur laboratory in Paris, France, using a vampire bat virus strain.</w:t>
            </w:r>
          </w:p>
        </w:tc>
      </w:tr>
      <w:tr w:rsidR="00191A23" w:rsidRPr="009B4F76" w:rsidTr="00C55EED">
        <w:tc>
          <w:tcPr>
            <w:tcW w:w="1951" w:type="dxa"/>
          </w:tcPr>
          <w:p w:rsidR="00191A23" w:rsidRPr="009B4F76" w:rsidRDefault="00191A23" w:rsidP="0022554A">
            <w:pPr>
              <w:tabs>
                <w:tab w:val="left" w:pos="5400"/>
              </w:tabs>
              <w:rPr>
                <w:bCs/>
                <w:sz w:val="20"/>
              </w:rPr>
            </w:pPr>
            <w:bookmarkStart w:id="38" w:name="bold21" w:colFirst="0" w:colLast="0"/>
            <w:bookmarkStart w:id="39" w:name="italic21" w:colFirst="0" w:colLast="0"/>
            <w:bookmarkEnd w:id="36"/>
            <w:bookmarkEnd w:id="37"/>
            <w:r w:rsidRPr="009B4F76">
              <w:rPr>
                <w:bCs/>
                <w:sz w:val="20"/>
              </w:rPr>
              <w:t>Study size</w:t>
            </w:r>
          </w:p>
        </w:tc>
        <w:tc>
          <w:tcPr>
            <w:tcW w:w="616" w:type="dxa"/>
          </w:tcPr>
          <w:p w:rsidR="00191A23" w:rsidRPr="009B4F76" w:rsidRDefault="00191A23" w:rsidP="0022554A">
            <w:pPr>
              <w:tabs>
                <w:tab w:val="left" w:pos="5400"/>
              </w:tabs>
              <w:jc w:val="center"/>
              <w:rPr>
                <w:sz w:val="20"/>
              </w:rPr>
            </w:pPr>
            <w:r w:rsidRPr="009B4F76">
              <w:rPr>
                <w:sz w:val="20"/>
              </w:rPr>
              <w:t>10</w:t>
            </w:r>
          </w:p>
        </w:tc>
        <w:tc>
          <w:tcPr>
            <w:tcW w:w="4651" w:type="dxa"/>
          </w:tcPr>
          <w:p w:rsidR="00191A23" w:rsidRPr="009B4F76" w:rsidRDefault="00191A23" w:rsidP="0022554A">
            <w:pPr>
              <w:tabs>
                <w:tab w:val="left" w:pos="5400"/>
              </w:tabs>
              <w:rPr>
                <w:sz w:val="20"/>
              </w:rPr>
            </w:pPr>
            <w:r w:rsidRPr="009B4F76">
              <w:rPr>
                <w:sz w:val="20"/>
              </w:rPr>
              <w:t>Explain how the study size was arrived at</w:t>
            </w:r>
          </w:p>
        </w:tc>
        <w:tc>
          <w:tcPr>
            <w:tcW w:w="1440" w:type="dxa"/>
          </w:tcPr>
          <w:p w:rsidR="00191A23" w:rsidRPr="009B4F76" w:rsidRDefault="00B5769E" w:rsidP="0022554A">
            <w:pPr>
              <w:tabs>
                <w:tab w:val="left" w:pos="5400"/>
              </w:tabs>
              <w:rPr>
                <w:sz w:val="20"/>
              </w:rPr>
            </w:pPr>
            <w:r w:rsidRPr="009B4F76">
              <w:rPr>
                <w:sz w:val="20"/>
              </w:rPr>
              <w:t>7-8</w:t>
            </w:r>
          </w:p>
        </w:tc>
        <w:tc>
          <w:tcPr>
            <w:tcW w:w="6334" w:type="dxa"/>
          </w:tcPr>
          <w:p w:rsidR="00191A23" w:rsidRPr="009B4F76" w:rsidRDefault="00B5769E" w:rsidP="0022554A">
            <w:pPr>
              <w:tabs>
                <w:tab w:val="left" w:pos="5400"/>
              </w:tabs>
              <w:rPr>
                <w:sz w:val="20"/>
              </w:rPr>
            </w:pPr>
            <w:r w:rsidRPr="009B4F76">
              <w:rPr>
                <w:sz w:val="20"/>
              </w:rPr>
              <w:t xml:space="preserve">The sample size calculation was based on an expected seroconversion rate of 90% at 5 years after the primary vaccination series. A total of 140 subjects were required to ensure a 95% precision for a two-sided CI of 5%. Assuming 30% of the participants would be lost to follow-up at 5 years after primary vaccination, a total of 200 subjects had to be included. However, to anticipate additional dropouts, subgroup analyses and insufficient sera for laboratory testing, the planned </w:t>
            </w:r>
            <w:r w:rsidR="008E45F5" w:rsidRPr="009B4F76">
              <w:rPr>
                <w:sz w:val="20"/>
              </w:rPr>
              <w:t>enrolment</w:t>
            </w:r>
            <w:r w:rsidRPr="009B4F76">
              <w:rPr>
                <w:sz w:val="20"/>
              </w:rPr>
              <w:t xml:space="preserve"> was 500 participants.</w:t>
            </w:r>
          </w:p>
        </w:tc>
      </w:tr>
    </w:tbl>
    <w:p w:rsidR="00191A23" w:rsidRPr="009B4F76" w:rsidRDefault="00191A23">
      <w:bookmarkStart w:id="40" w:name="bold22"/>
      <w:bookmarkStart w:id="41" w:name="italic22"/>
      <w:bookmarkEnd w:id="38"/>
      <w:bookmarkEnd w:id="39"/>
      <w:r w:rsidRPr="009B4F76">
        <w:rPr>
          <w:sz w:val="16"/>
          <w:szCs w:val="16"/>
        </w:rPr>
        <w:t>Continued on next page</w:t>
      </w:r>
      <w:r w:rsidRPr="009B4F76">
        <w:t xml:space="preserve"> </w:t>
      </w:r>
      <w:r w:rsidRPr="009B4F76">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5038"/>
        <w:gridCol w:w="1440"/>
        <w:gridCol w:w="6244"/>
      </w:tblGrid>
      <w:tr w:rsidR="00191A23" w:rsidRPr="009B4F76" w:rsidTr="00213DEF">
        <w:tc>
          <w:tcPr>
            <w:tcW w:w="1521" w:type="dxa"/>
          </w:tcPr>
          <w:p w:rsidR="00191A23" w:rsidRPr="009B4F76" w:rsidRDefault="00191A23" w:rsidP="00191A23">
            <w:pPr>
              <w:tabs>
                <w:tab w:val="left" w:pos="5400"/>
              </w:tabs>
              <w:rPr>
                <w:bCs/>
                <w:sz w:val="20"/>
              </w:rPr>
            </w:pPr>
            <w:r w:rsidRPr="009B4F76">
              <w:rPr>
                <w:bCs/>
                <w:sz w:val="20"/>
              </w:rPr>
              <w:lastRenderedPageBreak/>
              <w:t>Quantitative</w:t>
            </w:r>
            <w:bookmarkStart w:id="42" w:name="bold23"/>
            <w:bookmarkStart w:id="43" w:name="italic23"/>
            <w:bookmarkEnd w:id="40"/>
            <w:bookmarkEnd w:id="41"/>
            <w:r w:rsidRPr="009B4F76">
              <w:rPr>
                <w:bCs/>
                <w:sz w:val="20"/>
              </w:rPr>
              <w:t xml:space="preserve"> variables</w:t>
            </w:r>
            <w:bookmarkEnd w:id="42"/>
            <w:bookmarkEnd w:id="43"/>
          </w:p>
        </w:tc>
        <w:tc>
          <w:tcPr>
            <w:tcW w:w="749" w:type="dxa"/>
          </w:tcPr>
          <w:p w:rsidR="00191A23" w:rsidRPr="009B4F76" w:rsidRDefault="00191A23" w:rsidP="00191A23">
            <w:pPr>
              <w:tabs>
                <w:tab w:val="left" w:pos="5400"/>
              </w:tabs>
              <w:jc w:val="center"/>
              <w:rPr>
                <w:sz w:val="20"/>
              </w:rPr>
            </w:pPr>
            <w:r w:rsidRPr="009B4F76">
              <w:rPr>
                <w:sz w:val="20"/>
              </w:rPr>
              <w:t>11</w:t>
            </w:r>
          </w:p>
        </w:tc>
        <w:tc>
          <w:tcPr>
            <w:tcW w:w="5038" w:type="dxa"/>
          </w:tcPr>
          <w:p w:rsidR="00191A23" w:rsidRPr="009B4F76" w:rsidRDefault="00191A23" w:rsidP="00191A23">
            <w:pPr>
              <w:tabs>
                <w:tab w:val="left" w:pos="5400"/>
              </w:tabs>
              <w:rPr>
                <w:sz w:val="20"/>
              </w:rPr>
            </w:pPr>
            <w:r w:rsidRPr="009B4F76">
              <w:rPr>
                <w:sz w:val="20"/>
              </w:rPr>
              <w:t>Explain how quantitative variables were handled in the analyses. If applicable, describe which groupings were chosen and why</w:t>
            </w:r>
          </w:p>
        </w:tc>
        <w:tc>
          <w:tcPr>
            <w:tcW w:w="1440" w:type="dxa"/>
          </w:tcPr>
          <w:p w:rsidR="008E45F5" w:rsidRPr="009B4F76" w:rsidRDefault="008E45F5" w:rsidP="00191A23">
            <w:pPr>
              <w:tabs>
                <w:tab w:val="left" w:pos="5400"/>
              </w:tabs>
              <w:rPr>
                <w:sz w:val="20"/>
              </w:rPr>
            </w:pPr>
            <w:r w:rsidRPr="009B4F76">
              <w:rPr>
                <w:sz w:val="20"/>
              </w:rPr>
              <w:t>7</w:t>
            </w:r>
          </w:p>
          <w:p w:rsidR="008E45F5" w:rsidRPr="009B4F76" w:rsidRDefault="008E45F5" w:rsidP="00191A23">
            <w:pPr>
              <w:tabs>
                <w:tab w:val="left" w:pos="5400"/>
              </w:tabs>
              <w:rPr>
                <w:sz w:val="20"/>
              </w:rPr>
            </w:pPr>
          </w:p>
          <w:p w:rsidR="008339B2" w:rsidRPr="009B4F76" w:rsidRDefault="008339B2" w:rsidP="00191A23">
            <w:pPr>
              <w:tabs>
                <w:tab w:val="left" w:pos="5400"/>
              </w:tabs>
              <w:rPr>
                <w:sz w:val="20"/>
              </w:rPr>
            </w:pPr>
          </w:p>
          <w:p w:rsidR="008339B2" w:rsidRPr="009B4F76" w:rsidRDefault="008339B2" w:rsidP="00191A23">
            <w:pPr>
              <w:tabs>
                <w:tab w:val="left" w:pos="5400"/>
              </w:tabs>
              <w:rPr>
                <w:sz w:val="20"/>
              </w:rPr>
            </w:pPr>
          </w:p>
          <w:p w:rsidR="008339B2" w:rsidRPr="009B4F76" w:rsidRDefault="008339B2" w:rsidP="00191A23">
            <w:pPr>
              <w:tabs>
                <w:tab w:val="left" w:pos="5400"/>
              </w:tabs>
              <w:rPr>
                <w:sz w:val="20"/>
              </w:rPr>
            </w:pPr>
          </w:p>
          <w:p w:rsidR="008339B2" w:rsidRPr="009B4F76" w:rsidRDefault="008339B2" w:rsidP="00191A23">
            <w:pPr>
              <w:tabs>
                <w:tab w:val="left" w:pos="5400"/>
              </w:tabs>
              <w:rPr>
                <w:sz w:val="20"/>
              </w:rPr>
            </w:pPr>
          </w:p>
          <w:p w:rsidR="00191A23" w:rsidRPr="009B4F76" w:rsidRDefault="00D373F2" w:rsidP="00191A23">
            <w:pPr>
              <w:tabs>
                <w:tab w:val="left" w:pos="5400"/>
              </w:tabs>
              <w:rPr>
                <w:sz w:val="20"/>
              </w:rPr>
            </w:pPr>
            <w:r w:rsidRPr="009B4F76">
              <w:rPr>
                <w:sz w:val="20"/>
              </w:rPr>
              <w:t>8</w:t>
            </w:r>
          </w:p>
        </w:tc>
        <w:tc>
          <w:tcPr>
            <w:tcW w:w="6244" w:type="dxa"/>
          </w:tcPr>
          <w:p w:rsidR="008E45F5" w:rsidRPr="009B4F76" w:rsidRDefault="008339B2" w:rsidP="00191A23">
            <w:pPr>
              <w:tabs>
                <w:tab w:val="left" w:pos="5400"/>
              </w:tabs>
              <w:rPr>
                <w:sz w:val="20"/>
              </w:rPr>
            </w:pPr>
            <w:r w:rsidRPr="009B4F76">
              <w:rPr>
                <w:sz w:val="20"/>
              </w:rPr>
              <w:t xml:space="preserve">Seroconversion (RFFIT </w:t>
            </w:r>
            <w:proofErr w:type="spellStart"/>
            <w:r w:rsidRPr="009B4F76">
              <w:rPr>
                <w:sz w:val="20"/>
              </w:rPr>
              <w:t>titer</w:t>
            </w:r>
            <w:proofErr w:type="spellEnd"/>
            <w:r w:rsidRPr="009B4F76">
              <w:rPr>
                <w:sz w:val="20"/>
              </w:rPr>
              <w:t xml:space="preserve"> &gt;0.5 IU/mL) rates and geometric mean antibody titers (GMTs) were calculated with their 95% confidence intervals (CIs).</w:t>
            </w:r>
          </w:p>
          <w:p w:rsidR="008339B2" w:rsidRPr="009B4F76" w:rsidRDefault="008339B2" w:rsidP="00191A23">
            <w:pPr>
              <w:tabs>
                <w:tab w:val="left" w:pos="5400"/>
              </w:tabs>
              <w:rPr>
                <w:sz w:val="20"/>
              </w:rPr>
            </w:pPr>
          </w:p>
          <w:p w:rsidR="008339B2" w:rsidRPr="009B4F76" w:rsidRDefault="008339B2" w:rsidP="00191A23">
            <w:pPr>
              <w:tabs>
                <w:tab w:val="left" w:pos="5400"/>
              </w:tabs>
              <w:rPr>
                <w:sz w:val="20"/>
              </w:rPr>
            </w:pPr>
            <w:r w:rsidRPr="009B4F76">
              <w:rPr>
                <w:sz w:val="20"/>
              </w:rPr>
              <w:t>The study was designed to include analysis by (…) age group (i.e., 2–5, 6–17, 18–40, 41–60, and &gt;60 years of age).</w:t>
            </w:r>
          </w:p>
          <w:p w:rsidR="008E45F5" w:rsidRPr="009B4F76" w:rsidRDefault="008E45F5" w:rsidP="00191A23">
            <w:pPr>
              <w:tabs>
                <w:tab w:val="left" w:pos="5400"/>
              </w:tabs>
              <w:rPr>
                <w:sz w:val="20"/>
              </w:rPr>
            </w:pPr>
          </w:p>
          <w:p w:rsidR="00191A23" w:rsidRPr="009B4F76" w:rsidRDefault="006F5D2B" w:rsidP="00191A23">
            <w:pPr>
              <w:tabs>
                <w:tab w:val="left" w:pos="5400"/>
              </w:tabs>
              <w:rPr>
                <w:sz w:val="20"/>
              </w:rPr>
            </w:pPr>
            <w:r w:rsidRPr="009B4F76">
              <w:rPr>
                <w:sz w:val="20"/>
              </w:rPr>
              <w:t xml:space="preserve">Quantitative variables were </w:t>
            </w:r>
            <w:proofErr w:type="spellStart"/>
            <w:r w:rsidRPr="009B4F76">
              <w:rPr>
                <w:sz w:val="20"/>
              </w:rPr>
              <w:t>analyzed</w:t>
            </w:r>
            <w:proofErr w:type="spellEnd"/>
            <w:r w:rsidRPr="009B4F76">
              <w:rPr>
                <w:sz w:val="20"/>
              </w:rPr>
              <w:t xml:space="preserve"> using Student’s t-test or ANOVA (parametric data) and the Wilcoxon or </w:t>
            </w:r>
            <w:proofErr w:type="spellStart"/>
            <w:r w:rsidRPr="009B4F76">
              <w:rPr>
                <w:sz w:val="20"/>
              </w:rPr>
              <w:t>Kruskal</w:t>
            </w:r>
            <w:proofErr w:type="spellEnd"/>
            <w:r w:rsidRPr="009B4F76">
              <w:rPr>
                <w:sz w:val="20"/>
              </w:rPr>
              <w:t>–Wallis test (nonparametric data).</w:t>
            </w:r>
          </w:p>
        </w:tc>
      </w:tr>
      <w:tr w:rsidR="00191A23" w:rsidRPr="009B4F76" w:rsidTr="00213DEF">
        <w:tc>
          <w:tcPr>
            <w:tcW w:w="1521" w:type="dxa"/>
            <w:vMerge w:val="restart"/>
          </w:tcPr>
          <w:p w:rsidR="00191A23" w:rsidRPr="009B4F76" w:rsidRDefault="00191A23" w:rsidP="00191A23">
            <w:pPr>
              <w:tabs>
                <w:tab w:val="left" w:pos="5400"/>
              </w:tabs>
              <w:rPr>
                <w:sz w:val="20"/>
              </w:rPr>
            </w:pPr>
            <w:bookmarkStart w:id="44" w:name="italic24"/>
            <w:r w:rsidRPr="009B4F76">
              <w:rPr>
                <w:sz w:val="20"/>
              </w:rPr>
              <w:t>Statistical</w:t>
            </w:r>
            <w:bookmarkStart w:id="45" w:name="italic25"/>
            <w:bookmarkEnd w:id="44"/>
            <w:r w:rsidRPr="009B4F76">
              <w:rPr>
                <w:sz w:val="20"/>
              </w:rPr>
              <w:t xml:space="preserve"> methods</w:t>
            </w:r>
            <w:bookmarkEnd w:id="45"/>
          </w:p>
        </w:tc>
        <w:tc>
          <w:tcPr>
            <w:tcW w:w="749" w:type="dxa"/>
            <w:vMerge w:val="restart"/>
          </w:tcPr>
          <w:p w:rsidR="00191A23" w:rsidRPr="009B4F76" w:rsidRDefault="00191A23" w:rsidP="00191A23">
            <w:pPr>
              <w:tabs>
                <w:tab w:val="left" w:pos="5400"/>
              </w:tabs>
              <w:jc w:val="center"/>
              <w:rPr>
                <w:sz w:val="20"/>
              </w:rPr>
            </w:pPr>
            <w:r w:rsidRPr="009B4F76">
              <w:rPr>
                <w:sz w:val="20"/>
              </w:rPr>
              <w:t>12</w:t>
            </w:r>
          </w:p>
        </w:tc>
        <w:tc>
          <w:tcPr>
            <w:tcW w:w="5038" w:type="dxa"/>
          </w:tcPr>
          <w:p w:rsidR="00191A23" w:rsidRPr="009B4F76" w:rsidRDefault="00191A23" w:rsidP="00191A23">
            <w:pPr>
              <w:tabs>
                <w:tab w:val="left" w:pos="5400"/>
              </w:tabs>
              <w:rPr>
                <w:sz w:val="20"/>
              </w:rPr>
            </w:pPr>
            <w:r w:rsidRPr="009B4F76">
              <w:rPr>
                <w:sz w:val="20"/>
              </w:rPr>
              <w:t>(</w:t>
            </w:r>
            <w:r w:rsidRPr="009B4F76">
              <w:rPr>
                <w:i/>
                <w:sz w:val="20"/>
              </w:rPr>
              <w:t>a</w:t>
            </w:r>
            <w:r w:rsidRPr="009B4F76">
              <w:rPr>
                <w:sz w:val="20"/>
              </w:rPr>
              <w:t>) Describe all statistical methods, including those used to control for confounding</w:t>
            </w:r>
          </w:p>
        </w:tc>
        <w:tc>
          <w:tcPr>
            <w:tcW w:w="1440" w:type="dxa"/>
          </w:tcPr>
          <w:p w:rsidR="00191A23" w:rsidRPr="009B4F76" w:rsidRDefault="00CB20C1" w:rsidP="00191A23">
            <w:pPr>
              <w:tabs>
                <w:tab w:val="left" w:pos="5400"/>
              </w:tabs>
              <w:rPr>
                <w:sz w:val="20"/>
              </w:rPr>
            </w:pPr>
            <w:r w:rsidRPr="009B4F76">
              <w:rPr>
                <w:sz w:val="20"/>
              </w:rPr>
              <w:t>7</w:t>
            </w:r>
          </w:p>
          <w:p w:rsidR="00A17CDD" w:rsidRPr="009B4F76" w:rsidRDefault="00A17CDD" w:rsidP="00191A23">
            <w:pPr>
              <w:tabs>
                <w:tab w:val="left" w:pos="5400"/>
              </w:tabs>
              <w:rPr>
                <w:sz w:val="20"/>
              </w:rPr>
            </w:pPr>
          </w:p>
          <w:p w:rsidR="00A17CDD" w:rsidRPr="009B4F76" w:rsidRDefault="00A17CDD" w:rsidP="00191A23">
            <w:pPr>
              <w:tabs>
                <w:tab w:val="left" w:pos="5400"/>
              </w:tabs>
              <w:rPr>
                <w:sz w:val="20"/>
              </w:rPr>
            </w:pPr>
          </w:p>
          <w:p w:rsidR="00A17CDD" w:rsidRPr="009B4F76" w:rsidRDefault="00A17CDD" w:rsidP="00191A23">
            <w:pPr>
              <w:tabs>
                <w:tab w:val="left" w:pos="5400"/>
              </w:tabs>
              <w:rPr>
                <w:sz w:val="20"/>
              </w:rPr>
            </w:pPr>
          </w:p>
          <w:p w:rsidR="00A17CDD" w:rsidRPr="009B4F76" w:rsidRDefault="00A17CDD" w:rsidP="00191A23">
            <w:pPr>
              <w:tabs>
                <w:tab w:val="left" w:pos="5400"/>
              </w:tabs>
              <w:rPr>
                <w:sz w:val="20"/>
              </w:rPr>
            </w:pPr>
          </w:p>
          <w:p w:rsidR="00A17CDD" w:rsidRPr="009B4F76" w:rsidRDefault="00A17CDD" w:rsidP="00191A23">
            <w:pPr>
              <w:tabs>
                <w:tab w:val="left" w:pos="5400"/>
              </w:tabs>
              <w:rPr>
                <w:sz w:val="20"/>
              </w:rPr>
            </w:pPr>
          </w:p>
          <w:p w:rsidR="00A17CDD" w:rsidRPr="009B4F76" w:rsidRDefault="00A17CDD" w:rsidP="00191A23">
            <w:pPr>
              <w:tabs>
                <w:tab w:val="left" w:pos="5400"/>
              </w:tabs>
              <w:rPr>
                <w:sz w:val="20"/>
              </w:rPr>
            </w:pPr>
          </w:p>
        </w:tc>
        <w:tc>
          <w:tcPr>
            <w:tcW w:w="6244" w:type="dxa"/>
          </w:tcPr>
          <w:p w:rsidR="00A17CDD" w:rsidRPr="009B4F76" w:rsidRDefault="00CB20C1" w:rsidP="00FA2E98">
            <w:pPr>
              <w:tabs>
                <w:tab w:val="left" w:pos="5400"/>
              </w:tabs>
              <w:rPr>
                <w:sz w:val="20"/>
              </w:rPr>
            </w:pPr>
            <w:r w:rsidRPr="009B4F76">
              <w:rPr>
                <w:sz w:val="20"/>
              </w:rPr>
              <w:t xml:space="preserve">The immunogenicity analysis was descriptive; no hypotheses were tested. Seroconversion (RFFIT </w:t>
            </w:r>
            <w:proofErr w:type="spellStart"/>
            <w:r w:rsidRPr="009B4F76">
              <w:rPr>
                <w:sz w:val="20"/>
              </w:rPr>
              <w:t>titer</w:t>
            </w:r>
            <w:proofErr w:type="spellEnd"/>
            <w:r w:rsidRPr="009B4F76">
              <w:rPr>
                <w:sz w:val="20"/>
              </w:rPr>
              <w:t xml:space="preserve"> &gt;0.5 IU/mL) rates and geometric mean antibody titers (GMTs) were calculated with their 95% confidence intervals (CIs).</w:t>
            </w:r>
          </w:p>
        </w:tc>
      </w:tr>
      <w:tr w:rsidR="00191A23" w:rsidRPr="009B4F76" w:rsidTr="00213DEF">
        <w:tc>
          <w:tcPr>
            <w:tcW w:w="1521" w:type="dxa"/>
            <w:vMerge/>
          </w:tcPr>
          <w:p w:rsidR="00191A23" w:rsidRPr="009B4F76"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r w:rsidRPr="009B4F76">
              <w:rPr>
                <w:sz w:val="20"/>
              </w:rPr>
              <w:t>(</w:t>
            </w:r>
            <w:r w:rsidRPr="009B4F76">
              <w:rPr>
                <w:i/>
                <w:sz w:val="20"/>
              </w:rPr>
              <w:t>b</w:t>
            </w:r>
            <w:r w:rsidRPr="009B4F76">
              <w:rPr>
                <w:sz w:val="20"/>
              </w:rPr>
              <w:t>) Describe any methods used to examine subgroups and interactions</w:t>
            </w:r>
          </w:p>
        </w:tc>
        <w:tc>
          <w:tcPr>
            <w:tcW w:w="1440" w:type="dxa"/>
          </w:tcPr>
          <w:p w:rsidR="00191A23" w:rsidRPr="009B4F76" w:rsidRDefault="00CB20C1" w:rsidP="00191A23">
            <w:pPr>
              <w:tabs>
                <w:tab w:val="left" w:pos="5400"/>
              </w:tabs>
              <w:rPr>
                <w:sz w:val="20"/>
              </w:rPr>
            </w:pPr>
            <w:r w:rsidRPr="009B4F76">
              <w:rPr>
                <w:sz w:val="20"/>
              </w:rPr>
              <w:t>8</w:t>
            </w:r>
          </w:p>
        </w:tc>
        <w:tc>
          <w:tcPr>
            <w:tcW w:w="6244" w:type="dxa"/>
          </w:tcPr>
          <w:p w:rsidR="00191A23" w:rsidRPr="009B4F76" w:rsidRDefault="00F23DCA" w:rsidP="0034218A">
            <w:pPr>
              <w:rPr>
                <w:sz w:val="20"/>
              </w:rPr>
            </w:pPr>
            <w:r w:rsidRPr="009B4F76">
              <w:rPr>
                <w:sz w:val="20"/>
              </w:rPr>
              <w:t xml:space="preserve">Quantitative variables were </w:t>
            </w:r>
            <w:proofErr w:type="spellStart"/>
            <w:r w:rsidRPr="009B4F76">
              <w:rPr>
                <w:sz w:val="20"/>
              </w:rPr>
              <w:t>analyzed</w:t>
            </w:r>
            <w:proofErr w:type="spellEnd"/>
            <w:r w:rsidRPr="009B4F76">
              <w:rPr>
                <w:sz w:val="20"/>
              </w:rPr>
              <w:t xml:space="preserve"> using Student’s t-test or ANOVA (parametric data) and the Wilcoxon or </w:t>
            </w:r>
            <w:proofErr w:type="spellStart"/>
            <w:r w:rsidRPr="009B4F76">
              <w:rPr>
                <w:sz w:val="20"/>
              </w:rPr>
              <w:t>Kruskal</w:t>
            </w:r>
            <w:proofErr w:type="spellEnd"/>
            <w:r w:rsidRPr="009B4F76">
              <w:rPr>
                <w:sz w:val="20"/>
              </w:rPr>
              <w:t xml:space="preserve">–Wallis test (nonparametric data). Qualitative variables were </w:t>
            </w:r>
            <w:proofErr w:type="spellStart"/>
            <w:r w:rsidRPr="009B4F76">
              <w:rPr>
                <w:sz w:val="20"/>
              </w:rPr>
              <w:t>analyzed</w:t>
            </w:r>
            <w:proofErr w:type="spellEnd"/>
            <w:r w:rsidRPr="009B4F76">
              <w:rPr>
                <w:sz w:val="20"/>
              </w:rPr>
              <w:t xml:space="preserve"> using the Chi square test (or Fisher exact test when frequencies were less than five for at least one category). The correlations of GMTs measured by two different assays were determined by Pearson’s correlation coefficient (r). The correlations between percentages of participants with titers &gt;0.5 IU/mL or EU/mL measured by RFFIT, FAVN or ELISA were calculated using the Kappa coefficient (</w:t>
            </w:r>
            <w:r w:rsidRPr="009B4F76">
              <w:rPr>
                <w:sz w:val="20"/>
              </w:rPr>
              <w:sym w:font="Symbol" w:char="F06B"/>
            </w:r>
            <w:r w:rsidRPr="009B4F76">
              <w:rPr>
                <w:sz w:val="20"/>
              </w:rPr>
              <w:t>).</w:t>
            </w:r>
          </w:p>
        </w:tc>
      </w:tr>
      <w:tr w:rsidR="00191A23" w:rsidRPr="009B4F76" w:rsidTr="00213DEF">
        <w:tc>
          <w:tcPr>
            <w:tcW w:w="1521" w:type="dxa"/>
            <w:vMerge/>
          </w:tcPr>
          <w:p w:rsidR="00191A23" w:rsidRPr="009B4F76"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r w:rsidRPr="009B4F76">
              <w:rPr>
                <w:sz w:val="20"/>
              </w:rPr>
              <w:t>(</w:t>
            </w:r>
            <w:r w:rsidRPr="009B4F76">
              <w:rPr>
                <w:i/>
                <w:sz w:val="20"/>
              </w:rPr>
              <w:t>c</w:t>
            </w:r>
            <w:r w:rsidRPr="009B4F76">
              <w:rPr>
                <w:sz w:val="20"/>
              </w:rPr>
              <w:t>) Explain how missing data were addressed</w:t>
            </w:r>
          </w:p>
        </w:tc>
        <w:tc>
          <w:tcPr>
            <w:tcW w:w="1440" w:type="dxa"/>
          </w:tcPr>
          <w:p w:rsidR="00191A23" w:rsidRPr="009B4F76" w:rsidRDefault="0034218A" w:rsidP="00191A23">
            <w:pPr>
              <w:tabs>
                <w:tab w:val="left" w:pos="5400"/>
              </w:tabs>
              <w:rPr>
                <w:sz w:val="20"/>
              </w:rPr>
            </w:pPr>
            <w:r w:rsidRPr="009B4F76">
              <w:rPr>
                <w:sz w:val="20"/>
              </w:rPr>
              <w:t>8</w:t>
            </w:r>
          </w:p>
        </w:tc>
        <w:tc>
          <w:tcPr>
            <w:tcW w:w="6244" w:type="dxa"/>
          </w:tcPr>
          <w:p w:rsidR="00191A23" w:rsidRPr="009B4F76" w:rsidRDefault="0034218A" w:rsidP="00F23DCA">
            <w:pPr>
              <w:rPr>
                <w:sz w:val="20"/>
              </w:rPr>
            </w:pPr>
            <w:r w:rsidRPr="009B4F76">
              <w:rPr>
                <w:sz w:val="20"/>
              </w:rPr>
              <w:t>Missing data were not replaced.</w:t>
            </w:r>
          </w:p>
        </w:tc>
      </w:tr>
      <w:tr w:rsidR="00191A23" w:rsidRPr="009B4F76" w:rsidTr="00213DEF">
        <w:tc>
          <w:tcPr>
            <w:tcW w:w="1521" w:type="dxa"/>
            <w:vMerge/>
          </w:tcPr>
          <w:p w:rsidR="00191A23" w:rsidRPr="009B4F76"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r w:rsidRPr="009B4F76">
              <w:rPr>
                <w:sz w:val="20"/>
              </w:rPr>
              <w:t>(</w:t>
            </w:r>
            <w:r w:rsidRPr="009B4F76">
              <w:rPr>
                <w:i/>
                <w:sz w:val="20"/>
              </w:rPr>
              <w:t>d</w:t>
            </w:r>
            <w:r w:rsidRPr="009B4F76">
              <w:rPr>
                <w:sz w:val="20"/>
              </w:rPr>
              <w:t xml:space="preserve">) </w:t>
            </w:r>
            <w:r w:rsidRPr="009B4F76">
              <w:rPr>
                <w:bCs/>
                <w:i/>
                <w:sz w:val="20"/>
              </w:rPr>
              <w:t>Cohort study</w:t>
            </w:r>
            <w:r w:rsidRPr="009B4F76">
              <w:rPr>
                <w:sz w:val="20"/>
              </w:rPr>
              <w:t>—If applicable, explain how loss to follow-up was addressed</w:t>
            </w:r>
          </w:p>
          <w:p w:rsidR="00191A23" w:rsidRPr="009B4F76" w:rsidRDefault="00191A23" w:rsidP="00191A23">
            <w:pPr>
              <w:tabs>
                <w:tab w:val="left" w:pos="5400"/>
              </w:tabs>
              <w:rPr>
                <w:sz w:val="20"/>
              </w:rPr>
            </w:pPr>
            <w:r w:rsidRPr="009B4F76">
              <w:rPr>
                <w:bCs/>
                <w:i/>
                <w:sz w:val="20"/>
              </w:rPr>
              <w:t>Case-control study</w:t>
            </w:r>
            <w:r w:rsidRPr="009B4F76">
              <w:rPr>
                <w:sz w:val="20"/>
              </w:rPr>
              <w:t>—If applicable, explain how matching of cases and controls was addressed</w:t>
            </w:r>
          </w:p>
          <w:p w:rsidR="00191A23" w:rsidRPr="009B4F76" w:rsidRDefault="00191A23" w:rsidP="00191A23">
            <w:pPr>
              <w:tabs>
                <w:tab w:val="left" w:pos="5400"/>
              </w:tabs>
              <w:rPr>
                <w:sz w:val="20"/>
              </w:rPr>
            </w:pPr>
            <w:r w:rsidRPr="009B4F76">
              <w:rPr>
                <w:bCs/>
                <w:i/>
                <w:sz w:val="20"/>
              </w:rPr>
              <w:lastRenderedPageBreak/>
              <w:t>Cross-sectional study</w:t>
            </w:r>
            <w:r w:rsidRPr="009B4F76">
              <w:rPr>
                <w:sz w:val="20"/>
              </w:rPr>
              <w:t>—If applicable, describe analytical methods taking account of sampling strategy</w:t>
            </w:r>
          </w:p>
        </w:tc>
        <w:tc>
          <w:tcPr>
            <w:tcW w:w="1440" w:type="dxa"/>
          </w:tcPr>
          <w:p w:rsidR="00191A23" w:rsidRPr="009B4F76" w:rsidRDefault="00F23DCA" w:rsidP="00191A23">
            <w:pPr>
              <w:tabs>
                <w:tab w:val="left" w:pos="5400"/>
              </w:tabs>
              <w:rPr>
                <w:sz w:val="20"/>
              </w:rPr>
            </w:pPr>
            <w:r w:rsidRPr="009B4F76">
              <w:rPr>
                <w:sz w:val="20"/>
              </w:rPr>
              <w:lastRenderedPageBreak/>
              <w:t>7</w:t>
            </w:r>
          </w:p>
        </w:tc>
        <w:tc>
          <w:tcPr>
            <w:tcW w:w="6244" w:type="dxa"/>
          </w:tcPr>
          <w:p w:rsidR="00191A23" w:rsidRPr="009B4F76" w:rsidRDefault="00F23DCA" w:rsidP="00191A23">
            <w:pPr>
              <w:tabs>
                <w:tab w:val="left" w:pos="5400"/>
              </w:tabs>
              <w:rPr>
                <w:sz w:val="20"/>
              </w:rPr>
            </w:pPr>
            <w:r w:rsidRPr="009B4F76">
              <w:rPr>
                <w:sz w:val="20"/>
              </w:rPr>
              <w:t xml:space="preserve">Assuming 30% of the participants would be lost to follow-up at 5 years after primary vaccination, a total of 200 subjects had to be included. However, to anticipate additional dropouts, subgroup analyses and insufficient sera for laboratory testing, the planned enrolment was 500 </w:t>
            </w:r>
            <w:r w:rsidRPr="009B4F76">
              <w:rPr>
                <w:sz w:val="20"/>
              </w:rPr>
              <w:lastRenderedPageBreak/>
              <w:t>participants.</w:t>
            </w:r>
          </w:p>
        </w:tc>
      </w:tr>
      <w:tr w:rsidR="00191A23" w:rsidRPr="009B4F76" w:rsidTr="00213DEF">
        <w:tc>
          <w:tcPr>
            <w:tcW w:w="1521" w:type="dxa"/>
            <w:vMerge/>
          </w:tcPr>
          <w:p w:rsidR="00191A23" w:rsidRPr="009B4F76"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r w:rsidRPr="009B4F76">
              <w:rPr>
                <w:sz w:val="20"/>
              </w:rPr>
              <w:t>(</w:t>
            </w:r>
            <w:r w:rsidRPr="009B4F76">
              <w:rPr>
                <w:i/>
                <w:sz w:val="20"/>
                <w:u w:val="single"/>
              </w:rPr>
              <w:t>e</w:t>
            </w:r>
            <w:r w:rsidRPr="009B4F76">
              <w:rPr>
                <w:sz w:val="20"/>
              </w:rPr>
              <w:t>) Describe any sensitivity analyses</w:t>
            </w:r>
          </w:p>
        </w:tc>
        <w:tc>
          <w:tcPr>
            <w:tcW w:w="1440" w:type="dxa"/>
          </w:tcPr>
          <w:p w:rsidR="00191A23" w:rsidRPr="009B4F76" w:rsidRDefault="00191A23" w:rsidP="00191A23">
            <w:pPr>
              <w:tabs>
                <w:tab w:val="left" w:pos="5400"/>
              </w:tabs>
              <w:rPr>
                <w:sz w:val="20"/>
              </w:rPr>
            </w:pPr>
          </w:p>
        </w:tc>
        <w:tc>
          <w:tcPr>
            <w:tcW w:w="6244" w:type="dxa"/>
          </w:tcPr>
          <w:p w:rsidR="00191A23" w:rsidRPr="009B4F76" w:rsidRDefault="00F23DCA" w:rsidP="00191A23">
            <w:pPr>
              <w:tabs>
                <w:tab w:val="left" w:pos="5400"/>
              </w:tabs>
              <w:rPr>
                <w:sz w:val="20"/>
              </w:rPr>
            </w:pPr>
            <w:r w:rsidRPr="009B4F76">
              <w:rPr>
                <w:sz w:val="20"/>
              </w:rPr>
              <w:t>None</w:t>
            </w:r>
          </w:p>
        </w:tc>
      </w:tr>
      <w:bookmarkEnd w:id="52"/>
      <w:bookmarkEnd w:id="53"/>
      <w:tr w:rsidR="00191A23" w:rsidRPr="009B4F76" w:rsidTr="00191A23">
        <w:tc>
          <w:tcPr>
            <w:tcW w:w="14992" w:type="dxa"/>
            <w:gridSpan w:val="5"/>
          </w:tcPr>
          <w:p w:rsidR="00191A23" w:rsidRPr="009B4F76" w:rsidRDefault="00191A23" w:rsidP="00191A23">
            <w:pPr>
              <w:pStyle w:val="TableSubHead"/>
              <w:tabs>
                <w:tab w:val="left" w:pos="5400"/>
              </w:tabs>
              <w:rPr>
                <w:sz w:val="20"/>
              </w:rPr>
            </w:pPr>
            <w:r w:rsidRPr="009B4F76">
              <w:rPr>
                <w:sz w:val="20"/>
              </w:rPr>
              <w:t>Results</w:t>
            </w:r>
          </w:p>
        </w:tc>
      </w:tr>
      <w:tr w:rsidR="00191A23" w:rsidRPr="009B4F76" w:rsidTr="00213DEF">
        <w:tc>
          <w:tcPr>
            <w:tcW w:w="0" w:type="auto"/>
            <w:vMerge w:val="restart"/>
          </w:tcPr>
          <w:p w:rsidR="00191A23" w:rsidRPr="009B4F76" w:rsidRDefault="00191A23" w:rsidP="00191A23">
            <w:pPr>
              <w:tabs>
                <w:tab w:val="left" w:pos="5400"/>
              </w:tabs>
              <w:rPr>
                <w:bCs/>
                <w:sz w:val="20"/>
              </w:rPr>
            </w:pPr>
            <w:bookmarkStart w:id="54" w:name="bold29"/>
            <w:bookmarkStart w:id="55" w:name="italic31"/>
            <w:r w:rsidRPr="009B4F76">
              <w:rPr>
                <w:bCs/>
                <w:sz w:val="20"/>
              </w:rPr>
              <w:t>Participants</w:t>
            </w:r>
            <w:bookmarkEnd w:id="54"/>
            <w:bookmarkEnd w:id="55"/>
          </w:p>
        </w:tc>
        <w:tc>
          <w:tcPr>
            <w:tcW w:w="0" w:type="auto"/>
            <w:vMerge w:val="restart"/>
          </w:tcPr>
          <w:p w:rsidR="00191A23" w:rsidRPr="009B4F76" w:rsidRDefault="00191A23" w:rsidP="00191A23">
            <w:pPr>
              <w:tabs>
                <w:tab w:val="left" w:pos="5400"/>
              </w:tabs>
              <w:jc w:val="center"/>
              <w:rPr>
                <w:sz w:val="20"/>
              </w:rPr>
            </w:pPr>
            <w:r w:rsidRPr="009B4F76">
              <w:rPr>
                <w:sz w:val="20"/>
              </w:rPr>
              <w:t>13</w:t>
            </w:r>
            <w:bookmarkStart w:id="56" w:name="bold30"/>
            <w:r w:rsidRPr="009B4F76">
              <w:rPr>
                <w:bCs/>
                <w:sz w:val="20"/>
              </w:rPr>
              <w:t>*</w:t>
            </w:r>
            <w:bookmarkEnd w:id="56"/>
          </w:p>
        </w:tc>
        <w:tc>
          <w:tcPr>
            <w:tcW w:w="5038" w:type="dxa"/>
          </w:tcPr>
          <w:p w:rsidR="00191A23" w:rsidRPr="009B4F76" w:rsidRDefault="00191A23" w:rsidP="00191A23">
            <w:pPr>
              <w:tabs>
                <w:tab w:val="left" w:pos="5400"/>
              </w:tabs>
              <w:rPr>
                <w:sz w:val="20"/>
              </w:rPr>
            </w:pPr>
            <w:r w:rsidRPr="009B4F76">
              <w:rPr>
                <w:sz w:val="20"/>
              </w:rPr>
              <w:t>(a) Report numbers of individuals at each stage of study—</w:t>
            </w:r>
            <w:proofErr w:type="spellStart"/>
            <w:r w:rsidRPr="009B4F76">
              <w:rPr>
                <w:sz w:val="20"/>
              </w:rPr>
              <w:t>eg</w:t>
            </w:r>
            <w:proofErr w:type="spellEnd"/>
            <w:r w:rsidRPr="009B4F76">
              <w:rPr>
                <w:sz w:val="20"/>
              </w:rPr>
              <w:t xml:space="preserve"> numbers potentially eligible, examined for eligibility, confirmed eligible, included in the study, completing follow-up, and analysed</w:t>
            </w:r>
          </w:p>
        </w:tc>
        <w:tc>
          <w:tcPr>
            <w:tcW w:w="1440" w:type="dxa"/>
          </w:tcPr>
          <w:p w:rsidR="00191A23" w:rsidRPr="009B4F76" w:rsidRDefault="00D373F2" w:rsidP="00191A23">
            <w:pPr>
              <w:tabs>
                <w:tab w:val="left" w:pos="5400"/>
              </w:tabs>
              <w:rPr>
                <w:sz w:val="20"/>
              </w:rPr>
            </w:pPr>
            <w:r w:rsidRPr="009B4F76">
              <w:rPr>
                <w:sz w:val="20"/>
              </w:rPr>
              <w:t>8-9</w:t>
            </w:r>
          </w:p>
        </w:tc>
        <w:tc>
          <w:tcPr>
            <w:tcW w:w="6244" w:type="dxa"/>
          </w:tcPr>
          <w:p w:rsidR="00191A23" w:rsidRPr="009B4F76" w:rsidRDefault="00D373F2" w:rsidP="00D373F2">
            <w:pPr>
              <w:tabs>
                <w:tab w:val="left" w:pos="5400"/>
              </w:tabs>
              <w:rPr>
                <w:sz w:val="20"/>
              </w:rPr>
            </w:pPr>
            <w:r w:rsidRPr="009B4F76">
              <w:rPr>
                <w:sz w:val="20"/>
              </w:rPr>
              <w:t xml:space="preserve">A total of 509 participants were enrolled in 2007 (Figure 1). Two of the 509 participants were excluded because their vaccination dates could not be confirmed. Among the 507 participants included, 496 (97.8%) were immunized (either PEP or </w:t>
            </w:r>
            <w:proofErr w:type="spellStart"/>
            <w:r w:rsidRPr="009B4F76">
              <w:rPr>
                <w:sz w:val="20"/>
              </w:rPr>
              <w:t>PrEP</w:t>
            </w:r>
            <w:proofErr w:type="spellEnd"/>
            <w:r w:rsidRPr="009B4F76">
              <w:rPr>
                <w:sz w:val="20"/>
              </w:rPr>
              <w:t xml:space="preserve">) in 2005, eight in 2004 and three in 2006. In 2008, 42 participants were discontinued and 465 (91.7%) returned for evaluation. In 2009, 53 of the 465 remaining participants were discontinued and 16 of the 42 subjects who had been discontinued in 2008 came back so that a total of 428 (84.4%) participants were present in 2009. </w:t>
            </w:r>
          </w:p>
        </w:tc>
      </w:tr>
      <w:tr w:rsidR="00191A23" w:rsidRPr="009B4F76" w:rsidTr="00213DEF">
        <w:tc>
          <w:tcPr>
            <w:tcW w:w="0" w:type="auto"/>
            <w:vMerge/>
          </w:tcPr>
          <w:p w:rsidR="00191A23" w:rsidRPr="009B4F76"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r w:rsidRPr="009B4F76">
              <w:rPr>
                <w:sz w:val="20"/>
              </w:rPr>
              <w:t>(b) Give reasons for non-participation at each stage</w:t>
            </w:r>
          </w:p>
        </w:tc>
        <w:tc>
          <w:tcPr>
            <w:tcW w:w="1440" w:type="dxa"/>
          </w:tcPr>
          <w:p w:rsidR="00191A23" w:rsidRPr="009B4F76" w:rsidRDefault="00D373F2" w:rsidP="00191A23">
            <w:pPr>
              <w:tabs>
                <w:tab w:val="left" w:pos="5400"/>
              </w:tabs>
              <w:rPr>
                <w:sz w:val="20"/>
              </w:rPr>
            </w:pPr>
            <w:r w:rsidRPr="009B4F76">
              <w:rPr>
                <w:sz w:val="20"/>
              </w:rPr>
              <w:t>9</w:t>
            </w:r>
          </w:p>
        </w:tc>
        <w:tc>
          <w:tcPr>
            <w:tcW w:w="6244" w:type="dxa"/>
          </w:tcPr>
          <w:p w:rsidR="00191A23" w:rsidRPr="009B4F76" w:rsidRDefault="00D373F2" w:rsidP="00753ED4">
            <w:pPr>
              <w:tabs>
                <w:tab w:val="left" w:pos="5400"/>
              </w:tabs>
              <w:rPr>
                <w:sz w:val="20"/>
              </w:rPr>
            </w:pPr>
            <w:r w:rsidRPr="009B4F76">
              <w:rPr>
                <w:sz w:val="20"/>
              </w:rPr>
              <w:t xml:space="preserve">Among the 95 participants who did not complete the study or did not attend all of the visits, 91 (95.8%) were lost to follow-up and four died (one following an epileptic coma and three of different cancers). </w:t>
            </w:r>
          </w:p>
        </w:tc>
      </w:tr>
      <w:tr w:rsidR="00191A23" w:rsidRPr="009B4F76" w:rsidTr="00213DEF">
        <w:tc>
          <w:tcPr>
            <w:tcW w:w="0" w:type="auto"/>
            <w:vMerge/>
          </w:tcPr>
          <w:p w:rsidR="00191A23" w:rsidRPr="009B4F76"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bookmarkStart w:id="61" w:name="OLE_LINK4"/>
            <w:r w:rsidRPr="009B4F76">
              <w:rPr>
                <w:sz w:val="20"/>
              </w:rPr>
              <w:t>(c) Consider use of a flow diagram</w:t>
            </w:r>
            <w:bookmarkEnd w:id="61"/>
          </w:p>
        </w:tc>
        <w:tc>
          <w:tcPr>
            <w:tcW w:w="1440" w:type="dxa"/>
          </w:tcPr>
          <w:p w:rsidR="00191A23" w:rsidRPr="009B4F76" w:rsidRDefault="00D373F2" w:rsidP="00191A23">
            <w:pPr>
              <w:tabs>
                <w:tab w:val="left" w:pos="5400"/>
              </w:tabs>
              <w:rPr>
                <w:sz w:val="20"/>
              </w:rPr>
            </w:pPr>
            <w:r w:rsidRPr="009B4F76">
              <w:rPr>
                <w:sz w:val="20"/>
              </w:rPr>
              <w:t>29</w:t>
            </w:r>
          </w:p>
        </w:tc>
        <w:tc>
          <w:tcPr>
            <w:tcW w:w="6244" w:type="dxa"/>
          </w:tcPr>
          <w:p w:rsidR="00191A23" w:rsidRPr="009B4F76" w:rsidRDefault="00D373F2" w:rsidP="00191A23">
            <w:pPr>
              <w:tabs>
                <w:tab w:val="left" w:pos="5400"/>
              </w:tabs>
              <w:rPr>
                <w:sz w:val="20"/>
              </w:rPr>
            </w:pPr>
            <w:r w:rsidRPr="009B4F76">
              <w:rPr>
                <w:sz w:val="20"/>
              </w:rPr>
              <w:t>Figure 1. Participant disposition</w:t>
            </w:r>
          </w:p>
        </w:tc>
      </w:tr>
      <w:tr w:rsidR="00191A23" w:rsidRPr="009B4F76" w:rsidTr="00213DEF">
        <w:tc>
          <w:tcPr>
            <w:tcW w:w="0" w:type="auto"/>
            <w:vMerge w:val="restart"/>
          </w:tcPr>
          <w:p w:rsidR="00191A23" w:rsidRPr="009B4F76" w:rsidRDefault="00191A23" w:rsidP="00191A23">
            <w:pPr>
              <w:tabs>
                <w:tab w:val="left" w:pos="5400"/>
              </w:tabs>
              <w:rPr>
                <w:bCs/>
                <w:sz w:val="20"/>
              </w:rPr>
            </w:pPr>
            <w:bookmarkStart w:id="62" w:name="bold33"/>
            <w:bookmarkStart w:id="63" w:name="italic34"/>
            <w:bookmarkEnd w:id="59"/>
            <w:bookmarkEnd w:id="60"/>
            <w:r w:rsidRPr="009B4F76">
              <w:rPr>
                <w:bCs/>
                <w:sz w:val="20"/>
              </w:rPr>
              <w:t xml:space="preserve">Descriptive </w:t>
            </w:r>
            <w:bookmarkStart w:id="64" w:name="bold34"/>
            <w:bookmarkStart w:id="65" w:name="italic35"/>
            <w:bookmarkEnd w:id="62"/>
            <w:bookmarkEnd w:id="63"/>
            <w:r w:rsidRPr="009B4F76">
              <w:rPr>
                <w:bCs/>
                <w:sz w:val="20"/>
              </w:rPr>
              <w:t>data</w:t>
            </w:r>
            <w:bookmarkEnd w:id="64"/>
            <w:bookmarkEnd w:id="65"/>
          </w:p>
        </w:tc>
        <w:tc>
          <w:tcPr>
            <w:tcW w:w="0" w:type="auto"/>
            <w:vMerge w:val="restart"/>
          </w:tcPr>
          <w:p w:rsidR="00191A23" w:rsidRPr="009B4F76" w:rsidRDefault="00191A23" w:rsidP="00191A23">
            <w:pPr>
              <w:tabs>
                <w:tab w:val="left" w:pos="5400"/>
              </w:tabs>
              <w:jc w:val="center"/>
              <w:rPr>
                <w:sz w:val="20"/>
              </w:rPr>
            </w:pPr>
            <w:r w:rsidRPr="009B4F76">
              <w:rPr>
                <w:sz w:val="20"/>
              </w:rPr>
              <w:t>14</w:t>
            </w:r>
            <w:bookmarkStart w:id="66" w:name="bold35"/>
            <w:r w:rsidRPr="009B4F76">
              <w:rPr>
                <w:bCs/>
                <w:sz w:val="20"/>
              </w:rPr>
              <w:t>*</w:t>
            </w:r>
            <w:bookmarkEnd w:id="66"/>
          </w:p>
        </w:tc>
        <w:tc>
          <w:tcPr>
            <w:tcW w:w="5038" w:type="dxa"/>
          </w:tcPr>
          <w:p w:rsidR="00191A23" w:rsidRPr="009B4F76" w:rsidRDefault="00191A23" w:rsidP="00191A23">
            <w:pPr>
              <w:tabs>
                <w:tab w:val="left" w:pos="5400"/>
              </w:tabs>
              <w:rPr>
                <w:sz w:val="20"/>
              </w:rPr>
            </w:pPr>
            <w:r w:rsidRPr="009B4F76">
              <w:rPr>
                <w:sz w:val="20"/>
              </w:rPr>
              <w:t>(a) Give characteristics of study participants (</w:t>
            </w:r>
            <w:proofErr w:type="spellStart"/>
            <w:r w:rsidRPr="009B4F76">
              <w:rPr>
                <w:sz w:val="20"/>
              </w:rPr>
              <w:t>eg</w:t>
            </w:r>
            <w:proofErr w:type="spellEnd"/>
            <w:r w:rsidRPr="009B4F76">
              <w:rPr>
                <w:sz w:val="20"/>
              </w:rPr>
              <w:t xml:space="preserve"> demographic, clinical, social) and information on exposures and potential confounders</w:t>
            </w:r>
          </w:p>
        </w:tc>
        <w:tc>
          <w:tcPr>
            <w:tcW w:w="1440" w:type="dxa"/>
          </w:tcPr>
          <w:p w:rsidR="00191A23" w:rsidRPr="009B4F76" w:rsidRDefault="00C02192" w:rsidP="00191A23">
            <w:pPr>
              <w:tabs>
                <w:tab w:val="left" w:pos="5400"/>
              </w:tabs>
              <w:rPr>
                <w:sz w:val="20"/>
              </w:rPr>
            </w:pPr>
            <w:r w:rsidRPr="009B4F76">
              <w:rPr>
                <w:sz w:val="20"/>
              </w:rPr>
              <w:t>9</w:t>
            </w:r>
          </w:p>
        </w:tc>
        <w:tc>
          <w:tcPr>
            <w:tcW w:w="6244" w:type="dxa"/>
          </w:tcPr>
          <w:p w:rsidR="00191A23" w:rsidRPr="009B4F76" w:rsidRDefault="00C02192" w:rsidP="00191A23">
            <w:pPr>
              <w:tabs>
                <w:tab w:val="left" w:pos="5400"/>
              </w:tabs>
              <w:rPr>
                <w:sz w:val="20"/>
              </w:rPr>
            </w:pPr>
            <w:r w:rsidRPr="009B4F76">
              <w:rPr>
                <w:sz w:val="20"/>
              </w:rPr>
              <w:t>The 507 participants who were evaluated at the start of the study ranged from 2 to 83 years of age, with a mean ± SD of 21.4 ± 16.8 years, and 288 (56.8%) were male. The age and gender distributions are shown in Table 1.</w:t>
            </w:r>
          </w:p>
        </w:tc>
      </w:tr>
      <w:tr w:rsidR="00191A23" w:rsidRPr="009B4F76" w:rsidTr="00213DEF">
        <w:tc>
          <w:tcPr>
            <w:tcW w:w="0" w:type="auto"/>
            <w:vMerge/>
          </w:tcPr>
          <w:p w:rsidR="00191A23" w:rsidRPr="009B4F76"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r w:rsidRPr="009B4F76">
              <w:rPr>
                <w:sz w:val="20"/>
              </w:rPr>
              <w:t>(b) Indicate number of participants with missing data for each variable of interest</w:t>
            </w:r>
          </w:p>
        </w:tc>
        <w:tc>
          <w:tcPr>
            <w:tcW w:w="1440" w:type="dxa"/>
          </w:tcPr>
          <w:p w:rsidR="00191A23" w:rsidRPr="009B4F76" w:rsidRDefault="001775F6" w:rsidP="00191A23">
            <w:pPr>
              <w:tabs>
                <w:tab w:val="left" w:pos="5400"/>
              </w:tabs>
              <w:rPr>
                <w:sz w:val="20"/>
              </w:rPr>
            </w:pPr>
            <w:r w:rsidRPr="009B4F76">
              <w:rPr>
                <w:sz w:val="20"/>
              </w:rPr>
              <w:t>9</w:t>
            </w:r>
          </w:p>
        </w:tc>
        <w:tc>
          <w:tcPr>
            <w:tcW w:w="6244" w:type="dxa"/>
          </w:tcPr>
          <w:p w:rsidR="00191A23" w:rsidRPr="009B4F76" w:rsidRDefault="00753ED4" w:rsidP="00E33FBA">
            <w:pPr>
              <w:tabs>
                <w:tab w:val="left" w:pos="5400"/>
              </w:tabs>
              <w:rPr>
                <w:sz w:val="20"/>
              </w:rPr>
            </w:pPr>
            <w:r w:rsidRPr="009B4F76">
              <w:rPr>
                <w:sz w:val="20"/>
              </w:rPr>
              <w:t xml:space="preserve">In 2007, nine participants were excluded from analysis because they had not received a complete PEP schedule (i.e., &lt;5 vaccine doses). Four additional participants were excluded from analysis in 2008 because of missing data (no booster dose information). </w:t>
            </w:r>
          </w:p>
        </w:tc>
      </w:tr>
      <w:tr w:rsidR="00191A23" w:rsidRPr="009B4F76" w:rsidTr="00213DEF">
        <w:tc>
          <w:tcPr>
            <w:tcW w:w="0" w:type="auto"/>
            <w:vMerge/>
          </w:tcPr>
          <w:p w:rsidR="00191A23" w:rsidRPr="009B4F76"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r w:rsidRPr="009B4F76">
              <w:rPr>
                <w:sz w:val="20"/>
              </w:rPr>
              <w:t xml:space="preserve">(c) </w:t>
            </w:r>
            <w:r w:rsidRPr="009B4F76">
              <w:rPr>
                <w:i/>
                <w:sz w:val="20"/>
              </w:rPr>
              <w:t>Cohort study</w:t>
            </w:r>
            <w:r w:rsidRPr="009B4F76">
              <w:rPr>
                <w:sz w:val="20"/>
              </w:rPr>
              <w:t>—Summarise follow-up time (</w:t>
            </w:r>
            <w:proofErr w:type="spellStart"/>
            <w:r w:rsidRPr="009B4F76">
              <w:rPr>
                <w:sz w:val="20"/>
              </w:rPr>
              <w:t>eg</w:t>
            </w:r>
            <w:proofErr w:type="spellEnd"/>
            <w:r w:rsidRPr="009B4F76">
              <w:rPr>
                <w:sz w:val="20"/>
              </w:rPr>
              <w:t>, average and total amount)</w:t>
            </w:r>
          </w:p>
        </w:tc>
        <w:tc>
          <w:tcPr>
            <w:tcW w:w="1440" w:type="dxa"/>
          </w:tcPr>
          <w:p w:rsidR="00191A23" w:rsidRPr="009B4F76" w:rsidRDefault="001C129B" w:rsidP="00191A23">
            <w:pPr>
              <w:tabs>
                <w:tab w:val="left" w:pos="5400"/>
              </w:tabs>
              <w:rPr>
                <w:sz w:val="20"/>
              </w:rPr>
            </w:pPr>
            <w:r w:rsidRPr="009B4F76">
              <w:rPr>
                <w:sz w:val="20"/>
              </w:rPr>
              <w:t>9</w:t>
            </w:r>
          </w:p>
        </w:tc>
        <w:tc>
          <w:tcPr>
            <w:tcW w:w="6244" w:type="dxa"/>
          </w:tcPr>
          <w:p w:rsidR="00191A23" w:rsidRPr="009B4F76" w:rsidRDefault="008D601D" w:rsidP="00191A23">
            <w:pPr>
              <w:tabs>
                <w:tab w:val="left" w:pos="5400"/>
              </w:tabs>
              <w:rPr>
                <w:sz w:val="20"/>
              </w:rPr>
            </w:pPr>
            <w:r w:rsidRPr="009B4F76">
              <w:rPr>
                <w:sz w:val="20"/>
              </w:rPr>
              <w:t>The mean (±SD) follow-up duration was 22.6 ± 6.9 months (range 0.0–26.5 months).</w:t>
            </w:r>
          </w:p>
        </w:tc>
      </w:tr>
      <w:tr w:rsidR="00191A23" w:rsidRPr="009B4F76" w:rsidTr="00213DEF">
        <w:trPr>
          <w:trHeight w:val="295"/>
        </w:trPr>
        <w:tc>
          <w:tcPr>
            <w:tcW w:w="0" w:type="auto"/>
            <w:vMerge w:val="restart"/>
          </w:tcPr>
          <w:p w:rsidR="00191A23" w:rsidRPr="009B4F76" w:rsidRDefault="00191A23" w:rsidP="00191A23">
            <w:pPr>
              <w:tabs>
                <w:tab w:val="left" w:pos="5400"/>
              </w:tabs>
              <w:rPr>
                <w:bCs/>
                <w:sz w:val="20"/>
              </w:rPr>
            </w:pPr>
            <w:bookmarkStart w:id="71" w:name="bold38" w:colFirst="0" w:colLast="0"/>
            <w:bookmarkStart w:id="72" w:name="italic38" w:colFirst="0" w:colLast="0"/>
            <w:bookmarkEnd w:id="69"/>
            <w:bookmarkEnd w:id="70"/>
            <w:r w:rsidRPr="009B4F76">
              <w:rPr>
                <w:bCs/>
                <w:sz w:val="20"/>
              </w:rPr>
              <w:t>Outcome data</w:t>
            </w:r>
          </w:p>
        </w:tc>
        <w:tc>
          <w:tcPr>
            <w:tcW w:w="0" w:type="auto"/>
            <w:vMerge w:val="restart"/>
          </w:tcPr>
          <w:p w:rsidR="00191A23" w:rsidRPr="009B4F76" w:rsidRDefault="00191A23" w:rsidP="00191A23">
            <w:pPr>
              <w:tabs>
                <w:tab w:val="left" w:pos="5400"/>
              </w:tabs>
              <w:jc w:val="center"/>
              <w:rPr>
                <w:sz w:val="20"/>
              </w:rPr>
            </w:pPr>
            <w:r w:rsidRPr="009B4F76">
              <w:rPr>
                <w:sz w:val="20"/>
              </w:rPr>
              <w:t>15</w:t>
            </w:r>
            <w:bookmarkStart w:id="73" w:name="bold39"/>
            <w:r w:rsidRPr="009B4F76">
              <w:rPr>
                <w:bCs/>
                <w:sz w:val="20"/>
              </w:rPr>
              <w:t>*</w:t>
            </w:r>
            <w:bookmarkEnd w:id="73"/>
          </w:p>
        </w:tc>
        <w:tc>
          <w:tcPr>
            <w:tcW w:w="5038" w:type="dxa"/>
          </w:tcPr>
          <w:p w:rsidR="00191A23" w:rsidRPr="009B4F76" w:rsidRDefault="00191A23" w:rsidP="00191A23">
            <w:pPr>
              <w:tabs>
                <w:tab w:val="left" w:pos="5400"/>
              </w:tabs>
              <w:rPr>
                <w:sz w:val="20"/>
              </w:rPr>
            </w:pPr>
            <w:r w:rsidRPr="009B4F76">
              <w:rPr>
                <w:i/>
                <w:sz w:val="20"/>
              </w:rPr>
              <w:t>Cohort study</w:t>
            </w:r>
            <w:r w:rsidRPr="009B4F76">
              <w:rPr>
                <w:sz w:val="20"/>
              </w:rPr>
              <w:t>—Report numbers of outcome events or summary measures over time</w:t>
            </w:r>
          </w:p>
        </w:tc>
        <w:tc>
          <w:tcPr>
            <w:tcW w:w="1440" w:type="dxa"/>
          </w:tcPr>
          <w:p w:rsidR="00191A23" w:rsidRPr="009B4F76" w:rsidRDefault="00B5729F" w:rsidP="00191A23">
            <w:pPr>
              <w:tabs>
                <w:tab w:val="left" w:pos="5400"/>
              </w:tabs>
              <w:rPr>
                <w:sz w:val="20"/>
              </w:rPr>
            </w:pPr>
            <w:r w:rsidRPr="009B4F76">
              <w:rPr>
                <w:sz w:val="20"/>
              </w:rPr>
              <w:t>11</w:t>
            </w:r>
          </w:p>
        </w:tc>
        <w:tc>
          <w:tcPr>
            <w:tcW w:w="6244" w:type="dxa"/>
          </w:tcPr>
          <w:p w:rsidR="00191A23" w:rsidRPr="009B4F76" w:rsidRDefault="00B5729F" w:rsidP="00191A23">
            <w:pPr>
              <w:tabs>
                <w:tab w:val="left" w:pos="5400"/>
              </w:tabs>
              <w:rPr>
                <w:sz w:val="20"/>
              </w:rPr>
            </w:pPr>
            <w:r w:rsidRPr="009B4F76">
              <w:rPr>
                <w:sz w:val="20"/>
              </w:rPr>
              <w:t>In 2007, 2 years after vaccination, 413 (84.6%) of the 488 non-boosted participants had RFFIT RVNA titers &gt;0.5 IU/</w:t>
            </w:r>
            <w:proofErr w:type="spellStart"/>
            <w:r w:rsidRPr="009B4F76">
              <w:rPr>
                <w:sz w:val="20"/>
              </w:rPr>
              <w:t>mL.</w:t>
            </w:r>
            <w:proofErr w:type="spellEnd"/>
            <w:r w:rsidRPr="009B4F76">
              <w:rPr>
                <w:sz w:val="20"/>
              </w:rPr>
              <w:t xml:space="preserve"> In 2008, three years after vaccination, 352 (88.0%) of the 400 evaluable, non-boosted participants had titers &gt;0.5 IU/mL, while in 2009, four years after vaccination, 312 (85.7%) of the 364 evaluable non-boosted participants had RFFIT titers &gt;0.5 IU/mL (Fig. 2).</w:t>
            </w:r>
          </w:p>
        </w:tc>
      </w:tr>
      <w:tr w:rsidR="00191A23" w:rsidRPr="009B4F76" w:rsidTr="00213DEF">
        <w:trPr>
          <w:trHeight w:val="294"/>
        </w:trPr>
        <w:tc>
          <w:tcPr>
            <w:tcW w:w="0" w:type="auto"/>
            <w:vMerge/>
          </w:tcPr>
          <w:p w:rsidR="00191A23" w:rsidRPr="009B4F76" w:rsidRDefault="00191A23" w:rsidP="00191A23">
            <w:pPr>
              <w:tabs>
                <w:tab w:val="left" w:pos="5400"/>
              </w:tabs>
              <w:rPr>
                <w:bCs/>
                <w:sz w:val="20"/>
              </w:rPr>
            </w:pPr>
          </w:p>
        </w:tc>
        <w:tc>
          <w:tcPr>
            <w:tcW w:w="0" w:type="auto"/>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i/>
                <w:sz w:val="20"/>
              </w:rPr>
            </w:pPr>
            <w:r w:rsidRPr="009B4F76">
              <w:rPr>
                <w:i/>
                <w:sz w:val="20"/>
              </w:rPr>
              <w:t>Case-control study—</w:t>
            </w:r>
            <w:r w:rsidRPr="009B4F76">
              <w:rPr>
                <w:sz w:val="20"/>
              </w:rPr>
              <w:t>Report numbers in each exposure category, or summary measures of exposure</w:t>
            </w:r>
          </w:p>
        </w:tc>
        <w:tc>
          <w:tcPr>
            <w:tcW w:w="1440" w:type="dxa"/>
          </w:tcPr>
          <w:p w:rsidR="00191A23" w:rsidRPr="009B4F76" w:rsidRDefault="00191A23" w:rsidP="00191A23">
            <w:pPr>
              <w:tabs>
                <w:tab w:val="left" w:pos="5400"/>
              </w:tabs>
              <w:rPr>
                <w:sz w:val="20"/>
              </w:rPr>
            </w:pPr>
          </w:p>
        </w:tc>
        <w:tc>
          <w:tcPr>
            <w:tcW w:w="6244" w:type="dxa"/>
          </w:tcPr>
          <w:p w:rsidR="00191A23" w:rsidRPr="009B4F76" w:rsidRDefault="0034218A" w:rsidP="00191A23">
            <w:pPr>
              <w:tabs>
                <w:tab w:val="left" w:pos="5400"/>
              </w:tabs>
              <w:rPr>
                <w:sz w:val="20"/>
              </w:rPr>
            </w:pPr>
            <w:r w:rsidRPr="009B4F76">
              <w:rPr>
                <w:sz w:val="20"/>
              </w:rPr>
              <w:t>NA</w:t>
            </w:r>
          </w:p>
        </w:tc>
      </w:tr>
      <w:tr w:rsidR="00191A23" w:rsidRPr="009B4F76" w:rsidTr="00213DEF">
        <w:trPr>
          <w:trHeight w:val="294"/>
        </w:trPr>
        <w:tc>
          <w:tcPr>
            <w:tcW w:w="0" w:type="auto"/>
            <w:vMerge/>
          </w:tcPr>
          <w:p w:rsidR="00191A23" w:rsidRPr="009B4F76" w:rsidRDefault="00191A23" w:rsidP="00191A23">
            <w:pPr>
              <w:tabs>
                <w:tab w:val="left" w:pos="5400"/>
              </w:tabs>
              <w:rPr>
                <w:bCs/>
                <w:sz w:val="20"/>
              </w:rPr>
            </w:pPr>
          </w:p>
        </w:tc>
        <w:tc>
          <w:tcPr>
            <w:tcW w:w="0" w:type="auto"/>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i/>
                <w:sz w:val="20"/>
              </w:rPr>
            </w:pPr>
            <w:r w:rsidRPr="009B4F76">
              <w:rPr>
                <w:i/>
                <w:sz w:val="20"/>
              </w:rPr>
              <w:t>Cross-sectional study—</w:t>
            </w:r>
            <w:r w:rsidRPr="009B4F76">
              <w:rPr>
                <w:sz w:val="20"/>
              </w:rPr>
              <w:t>Report numbers of outcome events or summary measures</w:t>
            </w:r>
          </w:p>
        </w:tc>
        <w:tc>
          <w:tcPr>
            <w:tcW w:w="1440" w:type="dxa"/>
          </w:tcPr>
          <w:p w:rsidR="00191A23" w:rsidRPr="009B4F76" w:rsidRDefault="00191A23" w:rsidP="00191A23">
            <w:pPr>
              <w:tabs>
                <w:tab w:val="left" w:pos="5400"/>
              </w:tabs>
              <w:rPr>
                <w:sz w:val="20"/>
              </w:rPr>
            </w:pPr>
          </w:p>
        </w:tc>
        <w:tc>
          <w:tcPr>
            <w:tcW w:w="6244" w:type="dxa"/>
          </w:tcPr>
          <w:p w:rsidR="00191A23" w:rsidRPr="009B4F76" w:rsidRDefault="0034218A" w:rsidP="00191A23">
            <w:pPr>
              <w:tabs>
                <w:tab w:val="left" w:pos="5400"/>
              </w:tabs>
              <w:rPr>
                <w:sz w:val="20"/>
              </w:rPr>
            </w:pPr>
            <w:r w:rsidRPr="009B4F76">
              <w:rPr>
                <w:sz w:val="20"/>
              </w:rPr>
              <w:t>NA</w:t>
            </w:r>
          </w:p>
        </w:tc>
      </w:tr>
      <w:tr w:rsidR="00191A23" w:rsidRPr="009B4F76" w:rsidTr="00213DEF">
        <w:tc>
          <w:tcPr>
            <w:tcW w:w="0" w:type="auto"/>
            <w:vMerge w:val="restart"/>
          </w:tcPr>
          <w:p w:rsidR="00191A23" w:rsidRPr="009B4F76" w:rsidRDefault="00191A23" w:rsidP="00191A23">
            <w:pPr>
              <w:tabs>
                <w:tab w:val="left" w:pos="5400"/>
              </w:tabs>
              <w:rPr>
                <w:bCs/>
                <w:sz w:val="20"/>
              </w:rPr>
            </w:pPr>
            <w:bookmarkStart w:id="74" w:name="italic40" w:colFirst="0" w:colLast="0"/>
            <w:bookmarkStart w:id="75" w:name="bold41" w:colFirst="0" w:colLast="0"/>
            <w:bookmarkEnd w:id="71"/>
            <w:bookmarkEnd w:id="72"/>
            <w:r w:rsidRPr="009B4F76">
              <w:rPr>
                <w:bCs/>
                <w:sz w:val="20"/>
              </w:rPr>
              <w:t>Main results</w:t>
            </w:r>
          </w:p>
        </w:tc>
        <w:tc>
          <w:tcPr>
            <w:tcW w:w="0" w:type="auto"/>
            <w:vMerge w:val="restart"/>
          </w:tcPr>
          <w:p w:rsidR="00191A23" w:rsidRPr="009B4F76" w:rsidRDefault="00191A23" w:rsidP="00191A23">
            <w:pPr>
              <w:tabs>
                <w:tab w:val="left" w:pos="5400"/>
              </w:tabs>
              <w:jc w:val="center"/>
              <w:rPr>
                <w:sz w:val="20"/>
              </w:rPr>
            </w:pPr>
            <w:r w:rsidRPr="009B4F76">
              <w:rPr>
                <w:sz w:val="20"/>
              </w:rPr>
              <w:t>16</w:t>
            </w:r>
          </w:p>
        </w:tc>
        <w:tc>
          <w:tcPr>
            <w:tcW w:w="5038" w:type="dxa"/>
          </w:tcPr>
          <w:p w:rsidR="00191A23" w:rsidRPr="009B4F76" w:rsidRDefault="00191A23" w:rsidP="00191A23">
            <w:pPr>
              <w:tabs>
                <w:tab w:val="left" w:pos="5400"/>
              </w:tabs>
              <w:rPr>
                <w:sz w:val="20"/>
              </w:rPr>
            </w:pPr>
            <w:r w:rsidRPr="009B4F76">
              <w:rPr>
                <w:sz w:val="20"/>
              </w:rPr>
              <w:t>(</w:t>
            </w:r>
            <w:r w:rsidRPr="009B4F76">
              <w:rPr>
                <w:i/>
                <w:sz w:val="20"/>
              </w:rPr>
              <w:t>a</w:t>
            </w:r>
            <w:r w:rsidRPr="009B4F76">
              <w:rPr>
                <w:sz w:val="20"/>
              </w:rPr>
              <w:t>) Give unadjusted estimates and, if applicable, confounder-adjusted estimates and their precision (</w:t>
            </w:r>
            <w:proofErr w:type="spellStart"/>
            <w:r w:rsidRPr="009B4F76">
              <w:rPr>
                <w:sz w:val="20"/>
              </w:rPr>
              <w:t>eg</w:t>
            </w:r>
            <w:proofErr w:type="spellEnd"/>
            <w:r w:rsidRPr="009B4F76">
              <w:rPr>
                <w:sz w:val="20"/>
              </w:rPr>
              <w:t>, 95% confidence interval). Make clear which confounders were adjusted for and why they were included</w:t>
            </w:r>
          </w:p>
        </w:tc>
        <w:tc>
          <w:tcPr>
            <w:tcW w:w="1440" w:type="dxa"/>
          </w:tcPr>
          <w:p w:rsidR="00191A23" w:rsidRPr="009B4F76" w:rsidRDefault="00E33FBA" w:rsidP="00191A23">
            <w:pPr>
              <w:tabs>
                <w:tab w:val="left" w:pos="5400"/>
              </w:tabs>
              <w:rPr>
                <w:sz w:val="20"/>
              </w:rPr>
            </w:pPr>
            <w:r w:rsidRPr="009B4F76">
              <w:rPr>
                <w:sz w:val="20"/>
              </w:rPr>
              <w:t>11</w:t>
            </w: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p w:rsidR="00E33FBA" w:rsidRPr="009B4F76" w:rsidRDefault="00E33FBA" w:rsidP="00191A23">
            <w:pPr>
              <w:tabs>
                <w:tab w:val="left" w:pos="5400"/>
              </w:tabs>
              <w:rPr>
                <w:sz w:val="20"/>
              </w:rPr>
            </w:pPr>
          </w:p>
        </w:tc>
        <w:tc>
          <w:tcPr>
            <w:tcW w:w="6244" w:type="dxa"/>
          </w:tcPr>
          <w:p w:rsidR="00E33FBA" w:rsidRPr="009B4F76" w:rsidRDefault="00E33FBA" w:rsidP="00E33FBA">
            <w:pPr>
              <w:tabs>
                <w:tab w:val="left" w:pos="5400"/>
              </w:tabs>
              <w:rPr>
                <w:sz w:val="20"/>
              </w:rPr>
            </w:pPr>
            <w:r w:rsidRPr="009B4F76">
              <w:rPr>
                <w:sz w:val="20"/>
              </w:rPr>
              <w:t>In 2007, 2 years after vaccination, 413 (84.6%) of the 488 non-boosted participants had RFFIT RVNA titers &gt;0.5 IU/</w:t>
            </w:r>
            <w:proofErr w:type="spellStart"/>
            <w:r w:rsidRPr="009B4F76">
              <w:rPr>
                <w:sz w:val="20"/>
              </w:rPr>
              <w:t>mL.</w:t>
            </w:r>
            <w:proofErr w:type="spellEnd"/>
            <w:r w:rsidRPr="009B4F76">
              <w:rPr>
                <w:sz w:val="20"/>
              </w:rPr>
              <w:t xml:space="preserve"> In 2008, three years after vaccination, 352 (88.0%) of the 400 evaluable, non-boosted participants had titers &gt;0.5 IU/mL, while in 2009, four years after vaccination, 312 (85.7%) of the 364 evaluable non-boosted participants had RFFIT titers &gt;0.5 IU/mL (Fig. 2).</w:t>
            </w:r>
          </w:p>
        </w:tc>
      </w:tr>
      <w:tr w:rsidR="00191A23" w:rsidRPr="009B4F76" w:rsidTr="00213DEF">
        <w:tc>
          <w:tcPr>
            <w:tcW w:w="0" w:type="auto"/>
            <w:vMerge/>
          </w:tcPr>
          <w:p w:rsidR="00191A23" w:rsidRPr="009B4F76"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r w:rsidRPr="009B4F76">
              <w:rPr>
                <w:sz w:val="20"/>
              </w:rPr>
              <w:t>(</w:t>
            </w:r>
            <w:r w:rsidRPr="009B4F76">
              <w:rPr>
                <w:i/>
                <w:sz w:val="20"/>
              </w:rPr>
              <w:t>b</w:t>
            </w:r>
            <w:r w:rsidRPr="009B4F76">
              <w:rPr>
                <w:sz w:val="20"/>
              </w:rPr>
              <w:t>) Report category boundaries when continuous variables were categorized</w:t>
            </w:r>
          </w:p>
        </w:tc>
        <w:tc>
          <w:tcPr>
            <w:tcW w:w="1440" w:type="dxa"/>
          </w:tcPr>
          <w:p w:rsidR="00191A23" w:rsidRPr="009B4F76" w:rsidRDefault="00191A23" w:rsidP="00191A23">
            <w:pPr>
              <w:tabs>
                <w:tab w:val="left" w:pos="5400"/>
              </w:tabs>
              <w:rPr>
                <w:sz w:val="20"/>
              </w:rPr>
            </w:pPr>
          </w:p>
        </w:tc>
        <w:tc>
          <w:tcPr>
            <w:tcW w:w="6244" w:type="dxa"/>
          </w:tcPr>
          <w:p w:rsidR="00191A23" w:rsidRPr="009B4F76" w:rsidRDefault="0034218A" w:rsidP="00191A23">
            <w:pPr>
              <w:tabs>
                <w:tab w:val="left" w:pos="5400"/>
              </w:tabs>
              <w:rPr>
                <w:sz w:val="20"/>
              </w:rPr>
            </w:pPr>
            <w:r w:rsidRPr="009B4F76">
              <w:rPr>
                <w:sz w:val="20"/>
              </w:rPr>
              <w:t>NA</w:t>
            </w:r>
          </w:p>
        </w:tc>
      </w:tr>
      <w:tr w:rsidR="00191A23" w:rsidRPr="009B4F76" w:rsidTr="00213DEF">
        <w:tc>
          <w:tcPr>
            <w:tcW w:w="0" w:type="auto"/>
            <w:vMerge/>
          </w:tcPr>
          <w:p w:rsidR="00191A23" w:rsidRPr="009B4F76"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9B4F76" w:rsidRDefault="00191A23" w:rsidP="00191A23">
            <w:pPr>
              <w:tabs>
                <w:tab w:val="left" w:pos="5400"/>
              </w:tabs>
              <w:jc w:val="center"/>
              <w:rPr>
                <w:sz w:val="20"/>
              </w:rPr>
            </w:pPr>
          </w:p>
        </w:tc>
        <w:tc>
          <w:tcPr>
            <w:tcW w:w="5038" w:type="dxa"/>
          </w:tcPr>
          <w:p w:rsidR="00191A23" w:rsidRPr="009B4F76" w:rsidRDefault="00191A23" w:rsidP="00191A23">
            <w:pPr>
              <w:tabs>
                <w:tab w:val="left" w:pos="5400"/>
              </w:tabs>
              <w:rPr>
                <w:sz w:val="20"/>
              </w:rPr>
            </w:pPr>
            <w:r w:rsidRPr="009B4F76">
              <w:rPr>
                <w:sz w:val="20"/>
              </w:rPr>
              <w:t>(</w:t>
            </w:r>
            <w:r w:rsidRPr="009B4F76">
              <w:rPr>
                <w:i/>
                <w:sz w:val="20"/>
              </w:rPr>
              <w:t>c</w:t>
            </w:r>
            <w:r w:rsidRPr="009B4F76">
              <w:rPr>
                <w:sz w:val="20"/>
              </w:rPr>
              <w:t>) If relevant, consider translating estimates of relative risk into absolute risk for a meaningful time period</w:t>
            </w:r>
          </w:p>
        </w:tc>
        <w:tc>
          <w:tcPr>
            <w:tcW w:w="1440" w:type="dxa"/>
          </w:tcPr>
          <w:p w:rsidR="00191A23" w:rsidRPr="009B4F76" w:rsidRDefault="00191A23" w:rsidP="00191A23">
            <w:pPr>
              <w:tabs>
                <w:tab w:val="left" w:pos="5400"/>
              </w:tabs>
              <w:rPr>
                <w:sz w:val="20"/>
              </w:rPr>
            </w:pPr>
          </w:p>
        </w:tc>
        <w:tc>
          <w:tcPr>
            <w:tcW w:w="6244" w:type="dxa"/>
          </w:tcPr>
          <w:p w:rsidR="00191A23" w:rsidRPr="009B4F76" w:rsidRDefault="0034218A" w:rsidP="00191A23">
            <w:pPr>
              <w:tabs>
                <w:tab w:val="left" w:pos="5400"/>
              </w:tabs>
              <w:rPr>
                <w:sz w:val="20"/>
              </w:rPr>
            </w:pPr>
            <w:r w:rsidRPr="009B4F76">
              <w:rPr>
                <w:sz w:val="20"/>
              </w:rPr>
              <w:t>NA</w:t>
            </w:r>
          </w:p>
        </w:tc>
      </w:tr>
    </w:tbl>
    <w:p w:rsidR="00191A23" w:rsidRPr="009B4F76" w:rsidRDefault="00191A23">
      <w:bookmarkStart w:id="80" w:name="italic43"/>
      <w:bookmarkStart w:id="81" w:name="bold44"/>
      <w:bookmarkEnd w:id="78"/>
      <w:bookmarkEnd w:id="79"/>
      <w:r w:rsidRPr="009B4F76">
        <w:rPr>
          <w:sz w:val="16"/>
          <w:szCs w:val="16"/>
        </w:rPr>
        <w:t>Continued on next page</w:t>
      </w:r>
      <w:r w:rsidRPr="009B4F76">
        <w:t xml:space="preserve"> </w:t>
      </w:r>
      <w:r w:rsidRPr="009B4F76">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5307"/>
        <w:gridCol w:w="1261"/>
        <w:gridCol w:w="6513"/>
      </w:tblGrid>
      <w:tr w:rsidR="00191A23" w:rsidRPr="009B4F76" w:rsidTr="00213DEF">
        <w:tc>
          <w:tcPr>
            <w:tcW w:w="0" w:type="auto"/>
          </w:tcPr>
          <w:p w:rsidR="00191A23" w:rsidRPr="009B4F76" w:rsidRDefault="00191A23" w:rsidP="00191A23">
            <w:pPr>
              <w:tabs>
                <w:tab w:val="left" w:pos="5400"/>
              </w:tabs>
              <w:rPr>
                <w:bCs/>
                <w:sz w:val="20"/>
              </w:rPr>
            </w:pPr>
            <w:r w:rsidRPr="009B4F76">
              <w:rPr>
                <w:bCs/>
                <w:sz w:val="20"/>
              </w:rPr>
              <w:lastRenderedPageBreak/>
              <w:t>Other analyses</w:t>
            </w:r>
            <w:bookmarkEnd w:id="80"/>
            <w:bookmarkEnd w:id="81"/>
          </w:p>
        </w:tc>
        <w:tc>
          <w:tcPr>
            <w:tcW w:w="0" w:type="auto"/>
          </w:tcPr>
          <w:p w:rsidR="00191A23" w:rsidRPr="009B4F76" w:rsidRDefault="00191A23" w:rsidP="00191A23">
            <w:pPr>
              <w:tabs>
                <w:tab w:val="left" w:pos="5400"/>
              </w:tabs>
              <w:jc w:val="center"/>
              <w:rPr>
                <w:sz w:val="20"/>
              </w:rPr>
            </w:pPr>
            <w:r w:rsidRPr="009B4F76">
              <w:rPr>
                <w:sz w:val="20"/>
              </w:rPr>
              <w:t>17</w:t>
            </w:r>
          </w:p>
        </w:tc>
        <w:tc>
          <w:tcPr>
            <w:tcW w:w="5307" w:type="dxa"/>
          </w:tcPr>
          <w:p w:rsidR="00191A23" w:rsidRPr="009B4F76" w:rsidRDefault="00191A23" w:rsidP="00191A23">
            <w:pPr>
              <w:tabs>
                <w:tab w:val="left" w:pos="5400"/>
              </w:tabs>
              <w:rPr>
                <w:sz w:val="20"/>
              </w:rPr>
            </w:pPr>
            <w:r w:rsidRPr="009B4F76">
              <w:rPr>
                <w:sz w:val="20"/>
              </w:rPr>
              <w:t>Report other analyses done—</w:t>
            </w:r>
            <w:proofErr w:type="spellStart"/>
            <w:r w:rsidRPr="009B4F76">
              <w:rPr>
                <w:sz w:val="20"/>
              </w:rPr>
              <w:t>eg</w:t>
            </w:r>
            <w:proofErr w:type="spellEnd"/>
            <w:r w:rsidRPr="009B4F76">
              <w:rPr>
                <w:sz w:val="20"/>
              </w:rPr>
              <w:t xml:space="preserve"> analyses of subgroups and interactions, and sensitivity analyses</w:t>
            </w:r>
          </w:p>
        </w:tc>
        <w:tc>
          <w:tcPr>
            <w:tcW w:w="1261" w:type="dxa"/>
          </w:tcPr>
          <w:p w:rsidR="00FA2E98" w:rsidRPr="009B4F76" w:rsidRDefault="00E33FBA" w:rsidP="00191A23">
            <w:pPr>
              <w:tabs>
                <w:tab w:val="left" w:pos="5400"/>
              </w:tabs>
              <w:rPr>
                <w:sz w:val="20"/>
              </w:rPr>
            </w:pPr>
            <w:r w:rsidRPr="009B4F76">
              <w:rPr>
                <w:sz w:val="20"/>
              </w:rPr>
              <w:t>11-12</w:t>
            </w: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r w:rsidRPr="009B4F76">
              <w:rPr>
                <w:sz w:val="20"/>
              </w:rPr>
              <w:t>12-13</w:t>
            </w: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r w:rsidRPr="009B4F76">
              <w:rPr>
                <w:sz w:val="20"/>
              </w:rPr>
              <w:t>13</w:t>
            </w:r>
          </w:p>
        </w:tc>
        <w:tc>
          <w:tcPr>
            <w:tcW w:w="6513" w:type="dxa"/>
          </w:tcPr>
          <w:p w:rsidR="00E33FBA" w:rsidRPr="009B4F76" w:rsidRDefault="00E33FBA" w:rsidP="00E33FBA">
            <w:pPr>
              <w:tabs>
                <w:tab w:val="left" w:pos="5400"/>
              </w:tabs>
              <w:rPr>
                <w:sz w:val="20"/>
              </w:rPr>
            </w:pPr>
            <w:r w:rsidRPr="009B4F76">
              <w:rPr>
                <w:sz w:val="20"/>
              </w:rPr>
              <w:t xml:space="preserve">In the non-boosted population, GMTs (Table 4) were significantly higher in young participants 2–5 and 6–15 years of age and the proportion of subjects with RFFIT titers &gt;0.5 IU/mL (Figure 3) was only slightly decreasing at each year of follow-up. In subjects aged 60 years or older, GMTs were lower although mostly &gt;1 IU/mL, except for a drop between 2008 and 2009 where the seroconversion rate also decreased from 83.3% to 66.7%. However, the number of subjects was limited and the proportion of those with RFFIT titers &gt;0.5 IU/mL was not significantly lower compared to the other age groups. In the 16–40 years age group, both the GMTs (around 1 IU/mL) and the proportion of individuals with RFFIT titers &gt;0.5 IU/mL was stable over the 4 years of follow up. In the 41–60 years age group, the situation was far more contrasted with significantly lower GMTs (0.53 to 0.77 IU/mL) and proportion of subjects with RFFIT titers &gt;0.5 IU/mL at inclusion and at the follow up visit in 2008, 3 years after vaccination (P &lt;0.05, Fisher exact test) compared to the general study population. However, both values tended to increase over the years, thus suggesting that poor responders were progressively removed from the non-boosted population. </w:t>
            </w:r>
          </w:p>
          <w:p w:rsidR="00191A23" w:rsidRPr="009B4F76" w:rsidRDefault="00E33FBA" w:rsidP="00191A23">
            <w:pPr>
              <w:tabs>
                <w:tab w:val="left" w:pos="5400"/>
              </w:tabs>
              <w:rPr>
                <w:sz w:val="20"/>
              </w:rPr>
            </w:pPr>
            <w:r w:rsidRPr="009B4F76">
              <w:rPr>
                <w:sz w:val="20"/>
              </w:rPr>
              <w:t>Males had lower seroconversion rates than females at each follow up visit, with significant differences observed in 2008 (P &lt;0001) and 2009 (P &lt;0.008, Chi squared test), 3 and 4 years after vaccination (Figure 4a). Significant gender differences were also observed, with males having lower RFFIT GMTs than females at each year of follow-up. GMTs ranged from 1.27 [95% CI: 1.11–1.44] in 2007 to 1.13 [95% CI: 1.02–1.24] in 2009 in females and from 0.98 [95% CI: 0.87–1.11] to 0.91 [95% CI: 0.83–0.99] in males over the same years (Figure 4b).</w:t>
            </w:r>
          </w:p>
          <w:p w:rsidR="00E33FBA" w:rsidRPr="009B4F76" w:rsidRDefault="00E33FBA" w:rsidP="00191A23">
            <w:pPr>
              <w:tabs>
                <w:tab w:val="left" w:pos="5400"/>
              </w:tabs>
              <w:rPr>
                <w:sz w:val="20"/>
              </w:rPr>
            </w:pPr>
          </w:p>
          <w:p w:rsidR="00E33FBA" w:rsidRPr="009B4F76" w:rsidRDefault="00FA2E98" w:rsidP="00191A23">
            <w:pPr>
              <w:tabs>
                <w:tab w:val="left" w:pos="5400"/>
              </w:tabs>
              <w:rPr>
                <w:sz w:val="20"/>
              </w:rPr>
            </w:pPr>
            <w:r w:rsidRPr="009B4F76">
              <w:rPr>
                <w:sz w:val="20"/>
              </w:rPr>
              <w:t>In both the non-boosted and boosted populations, strong correlations of the GMT values obtained with the FAVN and RFFIT assays were observed, r = 0.92 for the non-boosted (Table 5) and r = 0.99 for the boosted participants.</w:t>
            </w:r>
          </w:p>
          <w:p w:rsidR="00FA2E98" w:rsidRPr="009B4F76" w:rsidRDefault="00FA2E98" w:rsidP="00191A23">
            <w:pPr>
              <w:tabs>
                <w:tab w:val="left" w:pos="5400"/>
              </w:tabs>
              <w:rPr>
                <w:sz w:val="20"/>
              </w:rPr>
            </w:pPr>
          </w:p>
          <w:p w:rsidR="00FA2E98" w:rsidRPr="009B4F76" w:rsidRDefault="00FA2E98" w:rsidP="00191A23">
            <w:pPr>
              <w:tabs>
                <w:tab w:val="left" w:pos="5400"/>
              </w:tabs>
              <w:rPr>
                <w:sz w:val="20"/>
              </w:rPr>
            </w:pPr>
            <w:r w:rsidRPr="009B4F76">
              <w:rPr>
                <w:sz w:val="20"/>
              </w:rPr>
              <w:t xml:space="preserve">There was a strong correlation between RFFIT and ELISA results (Pearson’s correlation coefficient) in the non-boosted population r = 0.82 at inclusion, </w:t>
            </w:r>
            <w:r w:rsidRPr="009B4F76">
              <w:rPr>
                <w:sz w:val="20"/>
              </w:rPr>
              <w:lastRenderedPageBreak/>
              <w:t>which however progressively decreased over the years to 0.71 at the 1-year follow-up and 0.62 at 2-year follow-up.</w:t>
            </w:r>
          </w:p>
        </w:tc>
      </w:tr>
      <w:tr w:rsidR="00976EE1" w:rsidRPr="009B4F76" w:rsidTr="00191A23">
        <w:tc>
          <w:tcPr>
            <w:tcW w:w="14992" w:type="dxa"/>
            <w:gridSpan w:val="5"/>
          </w:tcPr>
          <w:p w:rsidR="00976EE1" w:rsidRPr="009B4F76" w:rsidRDefault="00976EE1" w:rsidP="00191A23">
            <w:pPr>
              <w:pStyle w:val="TableSubHead"/>
              <w:tabs>
                <w:tab w:val="left" w:pos="5400"/>
              </w:tabs>
              <w:rPr>
                <w:sz w:val="20"/>
              </w:rPr>
            </w:pPr>
            <w:bookmarkStart w:id="82" w:name="italic44"/>
            <w:bookmarkStart w:id="83" w:name="bold45"/>
            <w:r w:rsidRPr="009B4F76">
              <w:rPr>
                <w:sz w:val="20"/>
              </w:rPr>
              <w:lastRenderedPageBreak/>
              <w:t>Discussion</w:t>
            </w:r>
            <w:bookmarkEnd w:id="82"/>
            <w:bookmarkEnd w:id="83"/>
          </w:p>
        </w:tc>
      </w:tr>
      <w:tr w:rsidR="00191A23" w:rsidRPr="009B4F76" w:rsidTr="00213DEF">
        <w:tc>
          <w:tcPr>
            <w:tcW w:w="0" w:type="auto"/>
          </w:tcPr>
          <w:p w:rsidR="00191A23" w:rsidRPr="009B4F76" w:rsidRDefault="00191A23" w:rsidP="00191A23">
            <w:pPr>
              <w:tabs>
                <w:tab w:val="left" w:pos="5400"/>
              </w:tabs>
              <w:rPr>
                <w:bCs/>
                <w:sz w:val="20"/>
              </w:rPr>
            </w:pPr>
            <w:bookmarkStart w:id="84" w:name="italic45" w:colFirst="0" w:colLast="0"/>
            <w:bookmarkStart w:id="85" w:name="bold46" w:colFirst="0" w:colLast="0"/>
            <w:r w:rsidRPr="009B4F76">
              <w:rPr>
                <w:bCs/>
                <w:sz w:val="20"/>
              </w:rPr>
              <w:t>Key results</w:t>
            </w:r>
          </w:p>
        </w:tc>
        <w:tc>
          <w:tcPr>
            <w:tcW w:w="0" w:type="auto"/>
          </w:tcPr>
          <w:p w:rsidR="00191A23" w:rsidRPr="009B4F76" w:rsidRDefault="00191A23" w:rsidP="00191A23">
            <w:pPr>
              <w:tabs>
                <w:tab w:val="left" w:pos="5400"/>
              </w:tabs>
              <w:jc w:val="center"/>
              <w:rPr>
                <w:sz w:val="20"/>
              </w:rPr>
            </w:pPr>
            <w:r w:rsidRPr="009B4F76">
              <w:rPr>
                <w:sz w:val="20"/>
              </w:rPr>
              <w:t>18</w:t>
            </w:r>
          </w:p>
        </w:tc>
        <w:tc>
          <w:tcPr>
            <w:tcW w:w="5307" w:type="dxa"/>
          </w:tcPr>
          <w:p w:rsidR="00191A23" w:rsidRPr="009B4F76" w:rsidRDefault="00191A23" w:rsidP="00191A23">
            <w:pPr>
              <w:tabs>
                <w:tab w:val="left" w:pos="5400"/>
              </w:tabs>
              <w:rPr>
                <w:sz w:val="20"/>
              </w:rPr>
            </w:pPr>
            <w:r w:rsidRPr="009B4F76">
              <w:rPr>
                <w:sz w:val="20"/>
              </w:rPr>
              <w:t>Summarise key results with reference to study objectives</w:t>
            </w:r>
          </w:p>
        </w:tc>
        <w:tc>
          <w:tcPr>
            <w:tcW w:w="1261" w:type="dxa"/>
          </w:tcPr>
          <w:p w:rsidR="00191A23" w:rsidRPr="009B4F76" w:rsidRDefault="00172D97" w:rsidP="00191A23">
            <w:pPr>
              <w:tabs>
                <w:tab w:val="left" w:pos="5400"/>
              </w:tabs>
              <w:rPr>
                <w:sz w:val="20"/>
              </w:rPr>
            </w:pPr>
            <w:r w:rsidRPr="009B4F76">
              <w:rPr>
                <w:sz w:val="20"/>
              </w:rPr>
              <w:t>14</w:t>
            </w:r>
          </w:p>
        </w:tc>
        <w:tc>
          <w:tcPr>
            <w:tcW w:w="6513" w:type="dxa"/>
          </w:tcPr>
          <w:p w:rsidR="00191A23" w:rsidRPr="009B4F76" w:rsidRDefault="00172D97" w:rsidP="00191A23">
            <w:pPr>
              <w:tabs>
                <w:tab w:val="left" w:pos="5400"/>
              </w:tabs>
              <w:rPr>
                <w:sz w:val="20"/>
              </w:rPr>
            </w:pPr>
            <w:r w:rsidRPr="009B4F76">
              <w:rPr>
                <w:sz w:val="20"/>
              </w:rPr>
              <w:t xml:space="preserve">Overall long-term persistence of RVNAs was good, with 85 to 88% of the non-boosted study population remaining seroconverted (RFFIT </w:t>
            </w:r>
            <w:proofErr w:type="spellStart"/>
            <w:r w:rsidRPr="009B4F76">
              <w:rPr>
                <w:sz w:val="20"/>
              </w:rPr>
              <w:t>titer</w:t>
            </w:r>
            <w:proofErr w:type="spellEnd"/>
            <w:r w:rsidRPr="009B4F76">
              <w:rPr>
                <w:sz w:val="20"/>
              </w:rPr>
              <w:t xml:space="preserve"> &gt;0.5 IU/mL) over the 3 years of follow-up ending in 2009. The GMT of the population remained &gt;1 IU/mL (twice the WHO-recommended threshold) at the end of follow-up. Persistence of RVNA following vaccination in 2005 was similar in participants given </w:t>
            </w:r>
            <w:proofErr w:type="spellStart"/>
            <w:r w:rsidRPr="009B4F76">
              <w:rPr>
                <w:sz w:val="20"/>
              </w:rPr>
              <w:t>PrEP</w:t>
            </w:r>
            <w:proofErr w:type="spellEnd"/>
            <w:r w:rsidRPr="009B4F76">
              <w:rPr>
                <w:sz w:val="20"/>
              </w:rPr>
              <w:t xml:space="preserve"> and those given PEP</w:t>
            </w:r>
          </w:p>
        </w:tc>
      </w:tr>
      <w:tr w:rsidR="00191A23" w:rsidRPr="009B4F76" w:rsidTr="00213DEF">
        <w:tc>
          <w:tcPr>
            <w:tcW w:w="0" w:type="auto"/>
          </w:tcPr>
          <w:p w:rsidR="00191A23" w:rsidRPr="009B4F76" w:rsidRDefault="00191A23" w:rsidP="00191A23">
            <w:pPr>
              <w:tabs>
                <w:tab w:val="left" w:pos="5400"/>
              </w:tabs>
              <w:rPr>
                <w:bCs/>
                <w:sz w:val="20"/>
              </w:rPr>
            </w:pPr>
            <w:bookmarkStart w:id="86" w:name="italic46" w:colFirst="0" w:colLast="0"/>
            <w:bookmarkStart w:id="87" w:name="bold47" w:colFirst="0" w:colLast="0"/>
            <w:bookmarkEnd w:id="84"/>
            <w:bookmarkEnd w:id="85"/>
            <w:r w:rsidRPr="009B4F76">
              <w:rPr>
                <w:bCs/>
                <w:sz w:val="20"/>
              </w:rPr>
              <w:t>Limitations</w:t>
            </w:r>
          </w:p>
        </w:tc>
        <w:tc>
          <w:tcPr>
            <w:tcW w:w="0" w:type="auto"/>
          </w:tcPr>
          <w:p w:rsidR="00191A23" w:rsidRPr="009B4F76" w:rsidRDefault="00191A23" w:rsidP="00191A23">
            <w:pPr>
              <w:tabs>
                <w:tab w:val="left" w:pos="5400"/>
              </w:tabs>
              <w:jc w:val="center"/>
              <w:rPr>
                <w:sz w:val="20"/>
              </w:rPr>
            </w:pPr>
            <w:r w:rsidRPr="009B4F76">
              <w:rPr>
                <w:sz w:val="20"/>
              </w:rPr>
              <w:t>19</w:t>
            </w:r>
          </w:p>
        </w:tc>
        <w:tc>
          <w:tcPr>
            <w:tcW w:w="5307" w:type="dxa"/>
          </w:tcPr>
          <w:p w:rsidR="00191A23" w:rsidRPr="009B4F76" w:rsidRDefault="00191A23" w:rsidP="00191A23">
            <w:pPr>
              <w:tabs>
                <w:tab w:val="left" w:pos="5400"/>
              </w:tabs>
              <w:rPr>
                <w:sz w:val="20"/>
              </w:rPr>
            </w:pPr>
            <w:r w:rsidRPr="009B4F76">
              <w:rPr>
                <w:sz w:val="20"/>
              </w:rPr>
              <w:t>Discuss limitations of the study, taking into account sources of potential bias or imprecision. Discuss both direction and magnitude of any potential bias</w:t>
            </w:r>
          </w:p>
        </w:tc>
        <w:tc>
          <w:tcPr>
            <w:tcW w:w="1261" w:type="dxa"/>
          </w:tcPr>
          <w:p w:rsidR="00191A23" w:rsidRPr="009B4F76" w:rsidRDefault="00172D97" w:rsidP="00191A23">
            <w:pPr>
              <w:tabs>
                <w:tab w:val="left" w:pos="5400"/>
              </w:tabs>
              <w:rPr>
                <w:sz w:val="20"/>
              </w:rPr>
            </w:pPr>
            <w:r w:rsidRPr="009B4F76">
              <w:rPr>
                <w:sz w:val="20"/>
              </w:rPr>
              <w:t>15</w:t>
            </w:r>
          </w:p>
        </w:tc>
        <w:tc>
          <w:tcPr>
            <w:tcW w:w="6513" w:type="dxa"/>
          </w:tcPr>
          <w:p w:rsidR="00191A23" w:rsidRPr="009B4F76" w:rsidRDefault="00172D97" w:rsidP="00191A23">
            <w:pPr>
              <w:tabs>
                <w:tab w:val="left" w:pos="5400"/>
              </w:tabs>
              <w:rPr>
                <w:sz w:val="20"/>
              </w:rPr>
            </w:pPr>
            <w:r w:rsidRPr="009B4F76">
              <w:rPr>
                <w:sz w:val="20"/>
              </w:rPr>
              <w:t xml:space="preserve">One of the limitations of the study is that only those subjects who responded well to the initial vaccination, i.e. remained seroconverted throughout follow up, were evaluated for antibody persistence. Subjects whose RFFIT antibody </w:t>
            </w:r>
            <w:proofErr w:type="spellStart"/>
            <w:r w:rsidRPr="009B4F76">
              <w:rPr>
                <w:sz w:val="20"/>
              </w:rPr>
              <w:t>titer</w:t>
            </w:r>
            <w:proofErr w:type="spellEnd"/>
            <w:r w:rsidRPr="009B4F76">
              <w:rPr>
                <w:sz w:val="20"/>
              </w:rPr>
              <w:t xml:space="preserve"> fell below or equal to 0.5 IU/mL were boosted and were excluded from the analysis to avoid any bias in evaluating antibody titers during subsequent follow up visits. Ideally, the analysis should have included all study subjects; however, it would have been unethical not to vaccinate those with low antibody levels and expose them to the risk of rabies disease. </w:t>
            </w:r>
          </w:p>
        </w:tc>
      </w:tr>
      <w:tr w:rsidR="00191A23" w:rsidRPr="009B4F76" w:rsidTr="00213DEF">
        <w:tc>
          <w:tcPr>
            <w:tcW w:w="0" w:type="auto"/>
          </w:tcPr>
          <w:p w:rsidR="00191A23" w:rsidRPr="009B4F76" w:rsidRDefault="00191A23" w:rsidP="00191A23">
            <w:pPr>
              <w:tabs>
                <w:tab w:val="left" w:pos="5400"/>
              </w:tabs>
              <w:rPr>
                <w:bCs/>
                <w:sz w:val="20"/>
              </w:rPr>
            </w:pPr>
            <w:bookmarkStart w:id="88" w:name="italic47" w:colFirst="0" w:colLast="0"/>
            <w:bookmarkStart w:id="89" w:name="bold48" w:colFirst="0" w:colLast="0"/>
            <w:bookmarkEnd w:id="86"/>
            <w:bookmarkEnd w:id="87"/>
            <w:r w:rsidRPr="009B4F76">
              <w:rPr>
                <w:bCs/>
                <w:sz w:val="20"/>
              </w:rPr>
              <w:t>Interpretation</w:t>
            </w:r>
          </w:p>
        </w:tc>
        <w:tc>
          <w:tcPr>
            <w:tcW w:w="0" w:type="auto"/>
          </w:tcPr>
          <w:p w:rsidR="00191A23" w:rsidRPr="009B4F76" w:rsidRDefault="00191A23" w:rsidP="00191A23">
            <w:pPr>
              <w:tabs>
                <w:tab w:val="left" w:pos="5400"/>
              </w:tabs>
              <w:jc w:val="center"/>
              <w:rPr>
                <w:sz w:val="20"/>
              </w:rPr>
            </w:pPr>
            <w:r w:rsidRPr="009B4F76">
              <w:rPr>
                <w:sz w:val="20"/>
              </w:rPr>
              <w:t>20</w:t>
            </w:r>
          </w:p>
        </w:tc>
        <w:tc>
          <w:tcPr>
            <w:tcW w:w="5307" w:type="dxa"/>
          </w:tcPr>
          <w:p w:rsidR="00191A23" w:rsidRPr="009B4F76" w:rsidRDefault="00191A23" w:rsidP="00191A23">
            <w:pPr>
              <w:tabs>
                <w:tab w:val="left" w:pos="5400"/>
              </w:tabs>
              <w:rPr>
                <w:sz w:val="20"/>
              </w:rPr>
            </w:pPr>
            <w:r w:rsidRPr="009B4F76">
              <w:rPr>
                <w:sz w:val="20"/>
              </w:rPr>
              <w:t>Give a cautious overall interpretation of results considering objectives, limitations, multiplicity of analyses, results from similar studies, and other relevant evidence</w:t>
            </w:r>
          </w:p>
        </w:tc>
        <w:tc>
          <w:tcPr>
            <w:tcW w:w="1261" w:type="dxa"/>
          </w:tcPr>
          <w:p w:rsidR="00191A23" w:rsidRPr="009B4F76" w:rsidRDefault="00172D97" w:rsidP="00191A23">
            <w:pPr>
              <w:tabs>
                <w:tab w:val="left" w:pos="5400"/>
              </w:tabs>
              <w:rPr>
                <w:sz w:val="20"/>
              </w:rPr>
            </w:pPr>
            <w:r w:rsidRPr="009B4F76">
              <w:rPr>
                <w:sz w:val="20"/>
              </w:rPr>
              <w:t>14</w:t>
            </w:r>
          </w:p>
        </w:tc>
        <w:tc>
          <w:tcPr>
            <w:tcW w:w="6513" w:type="dxa"/>
          </w:tcPr>
          <w:p w:rsidR="00191A23" w:rsidRPr="009B4F76" w:rsidRDefault="00172D97" w:rsidP="00191A23">
            <w:pPr>
              <w:tabs>
                <w:tab w:val="left" w:pos="5400"/>
              </w:tabs>
              <w:rPr>
                <w:sz w:val="20"/>
              </w:rPr>
            </w:pPr>
            <w:r w:rsidRPr="009B4F76">
              <w:rPr>
                <w:sz w:val="20"/>
              </w:rPr>
              <w:t>These results are consistent with those reported in previous studies [21</w:t>
            </w:r>
            <w:proofErr w:type="gramStart"/>
            <w:r w:rsidRPr="009B4F76">
              <w:rPr>
                <w:sz w:val="20"/>
              </w:rPr>
              <w:t>,22</w:t>
            </w:r>
            <w:proofErr w:type="gramEnd"/>
            <w:r w:rsidRPr="009B4F76">
              <w:rPr>
                <w:sz w:val="20"/>
              </w:rPr>
              <w:t xml:space="preserve">], and are discussed below in the context of routine </w:t>
            </w:r>
            <w:proofErr w:type="spellStart"/>
            <w:r w:rsidRPr="009B4F76">
              <w:rPr>
                <w:sz w:val="20"/>
              </w:rPr>
              <w:t>PrEP</w:t>
            </w:r>
            <w:proofErr w:type="spellEnd"/>
            <w:r w:rsidRPr="009B4F76">
              <w:rPr>
                <w:sz w:val="20"/>
              </w:rPr>
              <w:t xml:space="preserve"> vaccination. Our results are in accordance with other serological studies demonstrating that RVNA titers equal to or greater than 0.5 IU/mL, which is the WHO-recommended threshold of seroconversion, can persist for several years after administration of a complete vaccination series [23]. These results therefore highlight the need to maintain and intensify rabies </w:t>
            </w:r>
            <w:proofErr w:type="spellStart"/>
            <w:r w:rsidRPr="009B4F76">
              <w:rPr>
                <w:sz w:val="20"/>
              </w:rPr>
              <w:t>PrEP</w:t>
            </w:r>
            <w:proofErr w:type="spellEnd"/>
            <w:r w:rsidRPr="009B4F76">
              <w:rPr>
                <w:sz w:val="20"/>
              </w:rPr>
              <w:t xml:space="preserve"> and PEP.</w:t>
            </w:r>
          </w:p>
        </w:tc>
      </w:tr>
      <w:tr w:rsidR="00191A23" w:rsidRPr="009B4F76" w:rsidTr="00213DEF">
        <w:tc>
          <w:tcPr>
            <w:tcW w:w="0" w:type="auto"/>
          </w:tcPr>
          <w:p w:rsidR="00191A23" w:rsidRPr="009B4F76" w:rsidRDefault="00191A23" w:rsidP="00191A23">
            <w:pPr>
              <w:tabs>
                <w:tab w:val="left" w:pos="5400"/>
              </w:tabs>
              <w:rPr>
                <w:bCs/>
                <w:sz w:val="20"/>
              </w:rPr>
            </w:pPr>
            <w:bookmarkStart w:id="90" w:name="italic48" w:colFirst="0" w:colLast="0"/>
            <w:bookmarkStart w:id="91" w:name="bold49" w:colFirst="0" w:colLast="0"/>
            <w:bookmarkEnd w:id="88"/>
            <w:bookmarkEnd w:id="89"/>
            <w:proofErr w:type="spellStart"/>
            <w:r w:rsidRPr="009B4F76">
              <w:rPr>
                <w:bCs/>
                <w:sz w:val="20"/>
              </w:rPr>
              <w:t>Generalisability</w:t>
            </w:r>
            <w:proofErr w:type="spellEnd"/>
          </w:p>
        </w:tc>
        <w:tc>
          <w:tcPr>
            <w:tcW w:w="0" w:type="auto"/>
          </w:tcPr>
          <w:p w:rsidR="00191A23" w:rsidRPr="009B4F76" w:rsidRDefault="00191A23" w:rsidP="00191A23">
            <w:pPr>
              <w:tabs>
                <w:tab w:val="left" w:pos="5400"/>
              </w:tabs>
              <w:jc w:val="center"/>
              <w:rPr>
                <w:sz w:val="20"/>
              </w:rPr>
            </w:pPr>
            <w:r w:rsidRPr="009B4F76">
              <w:rPr>
                <w:sz w:val="20"/>
              </w:rPr>
              <w:t>21</w:t>
            </w:r>
          </w:p>
        </w:tc>
        <w:tc>
          <w:tcPr>
            <w:tcW w:w="5307" w:type="dxa"/>
          </w:tcPr>
          <w:p w:rsidR="00191A23" w:rsidRPr="009B4F76" w:rsidRDefault="00191A23" w:rsidP="00191A23">
            <w:pPr>
              <w:tabs>
                <w:tab w:val="left" w:pos="5400"/>
              </w:tabs>
              <w:rPr>
                <w:sz w:val="20"/>
              </w:rPr>
            </w:pPr>
            <w:r w:rsidRPr="009B4F76">
              <w:rPr>
                <w:sz w:val="20"/>
              </w:rPr>
              <w:t xml:space="preserve">Discuss the </w:t>
            </w:r>
            <w:proofErr w:type="spellStart"/>
            <w:r w:rsidRPr="009B4F76">
              <w:rPr>
                <w:sz w:val="20"/>
              </w:rPr>
              <w:t>generalisability</w:t>
            </w:r>
            <w:proofErr w:type="spellEnd"/>
            <w:r w:rsidRPr="009B4F76">
              <w:rPr>
                <w:sz w:val="20"/>
              </w:rPr>
              <w:t xml:space="preserve"> (external validity) of the study results</w:t>
            </w:r>
          </w:p>
        </w:tc>
        <w:tc>
          <w:tcPr>
            <w:tcW w:w="1261" w:type="dxa"/>
          </w:tcPr>
          <w:p w:rsidR="00191A23" w:rsidRPr="009B4F76" w:rsidRDefault="000A4F84" w:rsidP="00191A23">
            <w:pPr>
              <w:tabs>
                <w:tab w:val="left" w:pos="5400"/>
              </w:tabs>
              <w:rPr>
                <w:sz w:val="20"/>
              </w:rPr>
            </w:pPr>
            <w:r w:rsidRPr="009B4F76">
              <w:rPr>
                <w:sz w:val="20"/>
              </w:rPr>
              <w:t>17 (Conclusion)</w:t>
            </w:r>
          </w:p>
        </w:tc>
        <w:tc>
          <w:tcPr>
            <w:tcW w:w="6513" w:type="dxa"/>
          </w:tcPr>
          <w:p w:rsidR="00191A23" w:rsidRPr="009B4F76" w:rsidRDefault="000A4F84" w:rsidP="00191A23">
            <w:pPr>
              <w:tabs>
                <w:tab w:val="left" w:pos="5400"/>
              </w:tabs>
              <w:rPr>
                <w:sz w:val="20"/>
              </w:rPr>
            </w:pPr>
            <w:r w:rsidRPr="009B4F76">
              <w:rPr>
                <w:sz w:val="20"/>
              </w:rPr>
              <w:t xml:space="preserve">The surveillance results obtained in this study should encourage health authorities in rabies-enzootic countries to investigate the best strategies and timing for introduction of routine rabies </w:t>
            </w:r>
            <w:proofErr w:type="spellStart"/>
            <w:r w:rsidRPr="009B4F76">
              <w:rPr>
                <w:sz w:val="20"/>
              </w:rPr>
              <w:t>PrEP</w:t>
            </w:r>
            <w:proofErr w:type="spellEnd"/>
            <w:r w:rsidRPr="009B4F76">
              <w:rPr>
                <w:sz w:val="20"/>
              </w:rPr>
              <w:t xml:space="preserve"> vaccination in affected areas. In terms of PEP regimens, our observation that a complete 3-dose </w:t>
            </w:r>
            <w:proofErr w:type="spellStart"/>
            <w:r w:rsidRPr="009B4F76">
              <w:rPr>
                <w:sz w:val="20"/>
              </w:rPr>
              <w:t>PrEP</w:t>
            </w:r>
            <w:proofErr w:type="spellEnd"/>
            <w:r w:rsidRPr="009B4F76">
              <w:rPr>
                <w:sz w:val="20"/>
              </w:rPr>
              <w:t xml:space="preserve"> schedule induced similar GMTs and similar percentages of vaccinees with RVNA titers &gt;0.5 IU/mL compared to a complete 5-dose PEP schedule is in </w:t>
            </w:r>
            <w:proofErr w:type="spellStart"/>
            <w:r w:rsidRPr="009B4F76">
              <w:rPr>
                <w:sz w:val="20"/>
              </w:rPr>
              <w:t>favor</w:t>
            </w:r>
            <w:proofErr w:type="spellEnd"/>
            <w:r w:rsidRPr="009B4F76">
              <w:rPr>
                <w:sz w:val="20"/>
              </w:rPr>
              <w:t xml:space="preserve"> of abbreviated schedules.</w:t>
            </w:r>
          </w:p>
        </w:tc>
      </w:tr>
      <w:tr w:rsidR="00191A23" w:rsidRPr="009B4F76" w:rsidTr="00517788">
        <w:tc>
          <w:tcPr>
            <w:tcW w:w="1911" w:type="dxa"/>
            <w:gridSpan w:val="2"/>
          </w:tcPr>
          <w:p w:rsidR="00191A23" w:rsidRPr="009B4F76" w:rsidRDefault="00191A23" w:rsidP="00191A23">
            <w:pPr>
              <w:pStyle w:val="TableSubHead"/>
              <w:tabs>
                <w:tab w:val="left" w:pos="5400"/>
              </w:tabs>
              <w:rPr>
                <w:sz w:val="20"/>
              </w:rPr>
            </w:pPr>
            <w:bookmarkStart w:id="92" w:name="italic49"/>
            <w:bookmarkStart w:id="93" w:name="bold50"/>
            <w:bookmarkEnd w:id="90"/>
            <w:bookmarkEnd w:id="91"/>
            <w:r w:rsidRPr="009B4F76">
              <w:rPr>
                <w:sz w:val="20"/>
              </w:rPr>
              <w:lastRenderedPageBreak/>
              <w:t>Other information</w:t>
            </w:r>
          </w:p>
        </w:tc>
        <w:bookmarkEnd w:id="92"/>
        <w:bookmarkEnd w:id="93"/>
        <w:tc>
          <w:tcPr>
            <w:tcW w:w="13081" w:type="dxa"/>
            <w:gridSpan w:val="3"/>
          </w:tcPr>
          <w:p w:rsidR="00191A23" w:rsidRPr="009B4F76" w:rsidRDefault="00191A23" w:rsidP="00191A23">
            <w:pPr>
              <w:pStyle w:val="TableSubHead"/>
              <w:tabs>
                <w:tab w:val="left" w:pos="5400"/>
              </w:tabs>
              <w:rPr>
                <w:sz w:val="20"/>
              </w:rPr>
            </w:pPr>
          </w:p>
        </w:tc>
      </w:tr>
      <w:tr w:rsidR="00191A23" w:rsidRPr="009B4F76" w:rsidTr="00213DEF">
        <w:tc>
          <w:tcPr>
            <w:tcW w:w="0" w:type="auto"/>
          </w:tcPr>
          <w:p w:rsidR="00191A23" w:rsidRPr="009B4F76" w:rsidRDefault="00191A23" w:rsidP="00191A23">
            <w:pPr>
              <w:tabs>
                <w:tab w:val="left" w:pos="5400"/>
              </w:tabs>
              <w:rPr>
                <w:bCs/>
                <w:sz w:val="20"/>
              </w:rPr>
            </w:pPr>
            <w:bookmarkStart w:id="94" w:name="italic50" w:colFirst="0" w:colLast="0"/>
            <w:bookmarkStart w:id="95" w:name="bold51" w:colFirst="0" w:colLast="0"/>
            <w:r w:rsidRPr="009B4F76">
              <w:rPr>
                <w:bCs/>
                <w:sz w:val="20"/>
              </w:rPr>
              <w:t>Funding</w:t>
            </w:r>
          </w:p>
        </w:tc>
        <w:tc>
          <w:tcPr>
            <w:tcW w:w="0" w:type="auto"/>
          </w:tcPr>
          <w:p w:rsidR="00191A23" w:rsidRPr="009B4F76" w:rsidRDefault="00191A23" w:rsidP="00191A23">
            <w:pPr>
              <w:tabs>
                <w:tab w:val="left" w:pos="5400"/>
              </w:tabs>
              <w:jc w:val="center"/>
              <w:rPr>
                <w:sz w:val="20"/>
              </w:rPr>
            </w:pPr>
            <w:r w:rsidRPr="009B4F76">
              <w:rPr>
                <w:sz w:val="20"/>
              </w:rPr>
              <w:t>22</w:t>
            </w:r>
          </w:p>
        </w:tc>
        <w:tc>
          <w:tcPr>
            <w:tcW w:w="5307" w:type="dxa"/>
          </w:tcPr>
          <w:p w:rsidR="00191A23" w:rsidRPr="009B4F76" w:rsidRDefault="00191A23" w:rsidP="00191A23">
            <w:pPr>
              <w:tabs>
                <w:tab w:val="left" w:pos="5400"/>
              </w:tabs>
              <w:rPr>
                <w:sz w:val="20"/>
              </w:rPr>
            </w:pPr>
            <w:r w:rsidRPr="009B4F76">
              <w:rPr>
                <w:sz w:val="20"/>
              </w:rPr>
              <w:t>Give the source of funding and the role of the funders for the present study and, if applicable, for the original study on which the present article is based</w:t>
            </w:r>
          </w:p>
        </w:tc>
        <w:tc>
          <w:tcPr>
            <w:tcW w:w="1261" w:type="dxa"/>
          </w:tcPr>
          <w:p w:rsidR="00191A23" w:rsidRPr="009B4F76" w:rsidRDefault="000A4F84" w:rsidP="00191A23">
            <w:pPr>
              <w:tabs>
                <w:tab w:val="left" w:pos="5400"/>
              </w:tabs>
              <w:rPr>
                <w:sz w:val="20"/>
              </w:rPr>
            </w:pPr>
            <w:r w:rsidRPr="009B4F76">
              <w:rPr>
                <w:sz w:val="20"/>
              </w:rPr>
              <w:t>18</w:t>
            </w:r>
          </w:p>
        </w:tc>
        <w:tc>
          <w:tcPr>
            <w:tcW w:w="6513" w:type="dxa"/>
          </w:tcPr>
          <w:p w:rsidR="00191A23" w:rsidRPr="009B4F76" w:rsidRDefault="000A4F84" w:rsidP="00191A23">
            <w:pPr>
              <w:tabs>
                <w:tab w:val="left" w:pos="5400"/>
              </w:tabs>
              <w:rPr>
                <w:sz w:val="20"/>
              </w:rPr>
            </w:pPr>
            <w:r w:rsidRPr="009B4F76">
              <w:rPr>
                <w:sz w:val="20"/>
              </w:rPr>
              <w:t xml:space="preserve">The study sponsor, Sanofi Pasteur, was involved in all stages of the study, including study design, data collection, analysis and interpretation, preparation of this article, and decision to submit the article for publication. </w:t>
            </w:r>
          </w:p>
        </w:tc>
      </w:tr>
      <w:bookmarkEnd w:id="94"/>
      <w:bookmarkEnd w:id="95"/>
    </w:tbl>
    <w:p w:rsidR="002602FB" w:rsidRPr="009B4F76" w:rsidRDefault="002602FB" w:rsidP="0022554A">
      <w:pPr>
        <w:pStyle w:val="TableNote"/>
        <w:tabs>
          <w:tab w:val="left" w:pos="5400"/>
        </w:tabs>
        <w:rPr>
          <w:bCs/>
          <w:sz w:val="20"/>
        </w:rPr>
      </w:pPr>
    </w:p>
    <w:p w:rsidR="00D87AF7" w:rsidRPr="009B4F76" w:rsidRDefault="00D87AF7" w:rsidP="0022554A">
      <w:pPr>
        <w:pStyle w:val="TableNote"/>
        <w:tabs>
          <w:tab w:val="left" w:pos="5400"/>
        </w:tabs>
        <w:rPr>
          <w:sz w:val="20"/>
        </w:rPr>
      </w:pPr>
      <w:r w:rsidRPr="009B4F76">
        <w:rPr>
          <w:bCs/>
          <w:sz w:val="20"/>
        </w:rPr>
        <w:t>*</w:t>
      </w:r>
      <w:r w:rsidRPr="009B4F76">
        <w:rPr>
          <w:sz w:val="20"/>
        </w:rPr>
        <w:t xml:space="preserve">Give information separately for cases and controls in case-control studies and, if applicable, for exposed and unexposed groups in cohort and </w:t>
      </w:r>
      <w:r w:rsidR="004A32C8" w:rsidRPr="009B4F76">
        <w:rPr>
          <w:sz w:val="20"/>
        </w:rPr>
        <w:t>cross-sectional</w:t>
      </w:r>
      <w:r w:rsidRPr="009B4F76">
        <w:rPr>
          <w:sz w:val="20"/>
        </w:rPr>
        <w:t xml:space="preserve"> studies.</w:t>
      </w:r>
    </w:p>
    <w:p w:rsidR="00AE2C57" w:rsidRPr="009B4F76"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9B4F76">
        <w:rPr>
          <w:b/>
          <w:sz w:val="20"/>
        </w:rPr>
        <w:t>Note:</w:t>
      </w:r>
      <w:r w:rsidRPr="009B4F76">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9B4F76">
        <w:rPr>
          <w:sz w:val="20"/>
        </w:rPr>
        <w:t>PLoS</w:t>
      </w:r>
      <w:proofErr w:type="spellEnd"/>
      <w:r w:rsidRPr="009B4F76">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9B4F76">
          <w:rPr>
            <w:sz w:val="20"/>
          </w:rPr>
          <w:t>strobe</w:t>
        </w:r>
      </w:smartTag>
      <w:r w:rsidRPr="009B4F76">
        <w:rPr>
          <w:sz w:val="20"/>
        </w:rPr>
        <w:t>-statement.org.</w:t>
      </w:r>
      <w:bookmarkStart w:id="96" w:name="_GoBack"/>
      <w:bookmarkEnd w:id="96"/>
    </w:p>
    <w:sectPr w:rsidR="00A42352" w:rsidRPr="002602FB" w:rsidSect="00191A23">
      <w:footerReference w:type="even" r:id="rId9"/>
      <w:footerReference w:type="default" r:id="rId10"/>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EA" w:rsidRDefault="00407BEA">
      <w:r>
        <w:separator/>
      </w:r>
    </w:p>
  </w:endnote>
  <w:endnote w:type="continuationSeparator" w:id="0">
    <w:p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13C96" w:rsidRDefault="00A13C96" w:rsidP="005D0C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13DEF">
      <w:rPr>
        <w:rStyle w:val="Numrodepage"/>
        <w:noProof/>
      </w:rPr>
      <w:t>9</w:t>
    </w:r>
    <w:r>
      <w:rPr>
        <w:rStyle w:val="Numrodepage"/>
      </w:rPr>
      <w:fldChar w:fldCharType="end"/>
    </w:r>
  </w:p>
  <w:p w:rsidR="00A13C96" w:rsidRDefault="00A13C96" w:rsidP="005D0CF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EA" w:rsidRDefault="00407BEA">
      <w:r>
        <w:separator/>
      </w:r>
    </w:p>
  </w:footnote>
  <w:footnote w:type="continuationSeparator" w:id="0">
    <w:p w:rsidR="00407BEA" w:rsidRDefault="0040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enum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514E"/>
    <w:rsid w:val="00023515"/>
    <w:rsid w:val="00061FCE"/>
    <w:rsid w:val="00093E3A"/>
    <w:rsid w:val="000A4F84"/>
    <w:rsid w:val="000B6FD4"/>
    <w:rsid w:val="000C6828"/>
    <w:rsid w:val="000E3193"/>
    <w:rsid w:val="000E691B"/>
    <w:rsid w:val="000F26ED"/>
    <w:rsid w:val="00110BFB"/>
    <w:rsid w:val="001328C5"/>
    <w:rsid w:val="00134AAC"/>
    <w:rsid w:val="00172D97"/>
    <w:rsid w:val="001775F6"/>
    <w:rsid w:val="00191A23"/>
    <w:rsid w:val="001A495C"/>
    <w:rsid w:val="001A75E9"/>
    <w:rsid w:val="001C129B"/>
    <w:rsid w:val="001E02AD"/>
    <w:rsid w:val="0021265E"/>
    <w:rsid w:val="00213DEF"/>
    <w:rsid w:val="00215E03"/>
    <w:rsid w:val="00224268"/>
    <w:rsid w:val="00225293"/>
    <w:rsid w:val="0022554A"/>
    <w:rsid w:val="00226A29"/>
    <w:rsid w:val="002552FD"/>
    <w:rsid w:val="00255FA6"/>
    <w:rsid w:val="002602FB"/>
    <w:rsid w:val="002B385C"/>
    <w:rsid w:val="002C731D"/>
    <w:rsid w:val="002D06D0"/>
    <w:rsid w:val="002D1ABE"/>
    <w:rsid w:val="002F1A87"/>
    <w:rsid w:val="002F3A2E"/>
    <w:rsid w:val="003354B7"/>
    <w:rsid w:val="0034218A"/>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B2B1F"/>
    <w:rsid w:val="004E1263"/>
    <w:rsid w:val="005044A6"/>
    <w:rsid w:val="00517788"/>
    <w:rsid w:val="005338CE"/>
    <w:rsid w:val="00590F64"/>
    <w:rsid w:val="005923E5"/>
    <w:rsid w:val="005B567D"/>
    <w:rsid w:val="005D0CFC"/>
    <w:rsid w:val="005D19F4"/>
    <w:rsid w:val="005F254A"/>
    <w:rsid w:val="006149D3"/>
    <w:rsid w:val="0065657F"/>
    <w:rsid w:val="0066376B"/>
    <w:rsid w:val="00666336"/>
    <w:rsid w:val="00683E42"/>
    <w:rsid w:val="006A2F18"/>
    <w:rsid w:val="006A5DD9"/>
    <w:rsid w:val="006B2915"/>
    <w:rsid w:val="006B56D7"/>
    <w:rsid w:val="006C0B63"/>
    <w:rsid w:val="006C7601"/>
    <w:rsid w:val="006D16AA"/>
    <w:rsid w:val="006F5D2B"/>
    <w:rsid w:val="006F66AC"/>
    <w:rsid w:val="00701AC5"/>
    <w:rsid w:val="00711D81"/>
    <w:rsid w:val="0074576C"/>
    <w:rsid w:val="00753ED4"/>
    <w:rsid w:val="00754BA5"/>
    <w:rsid w:val="007562C3"/>
    <w:rsid w:val="007C72F6"/>
    <w:rsid w:val="007F7FA0"/>
    <w:rsid w:val="00816966"/>
    <w:rsid w:val="00817D26"/>
    <w:rsid w:val="00821CD4"/>
    <w:rsid w:val="008339B2"/>
    <w:rsid w:val="008423A7"/>
    <w:rsid w:val="008440CC"/>
    <w:rsid w:val="0089107E"/>
    <w:rsid w:val="00891604"/>
    <w:rsid w:val="008D225B"/>
    <w:rsid w:val="008D601D"/>
    <w:rsid w:val="008E45F5"/>
    <w:rsid w:val="00921BF8"/>
    <w:rsid w:val="009367F9"/>
    <w:rsid w:val="009642BE"/>
    <w:rsid w:val="00976EE1"/>
    <w:rsid w:val="009872CC"/>
    <w:rsid w:val="009B10F1"/>
    <w:rsid w:val="009B368D"/>
    <w:rsid w:val="009B4F76"/>
    <w:rsid w:val="009C24D4"/>
    <w:rsid w:val="009E0429"/>
    <w:rsid w:val="009F5211"/>
    <w:rsid w:val="00A13C96"/>
    <w:rsid w:val="00A17CDD"/>
    <w:rsid w:val="00A42352"/>
    <w:rsid w:val="00A527E4"/>
    <w:rsid w:val="00A5640D"/>
    <w:rsid w:val="00A729D6"/>
    <w:rsid w:val="00A938BF"/>
    <w:rsid w:val="00AB7BC4"/>
    <w:rsid w:val="00AE23EB"/>
    <w:rsid w:val="00AE2C57"/>
    <w:rsid w:val="00AF4615"/>
    <w:rsid w:val="00B50DF8"/>
    <w:rsid w:val="00B52963"/>
    <w:rsid w:val="00B54EA0"/>
    <w:rsid w:val="00B5729F"/>
    <w:rsid w:val="00B5769E"/>
    <w:rsid w:val="00B60EFB"/>
    <w:rsid w:val="00B65366"/>
    <w:rsid w:val="00B77807"/>
    <w:rsid w:val="00B940E9"/>
    <w:rsid w:val="00BA1206"/>
    <w:rsid w:val="00BC7FE6"/>
    <w:rsid w:val="00BE3709"/>
    <w:rsid w:val="00C02192"/>
    <w:rsid w:val="00C55EED"/>
    <w:rsid w:val="00CA489B"/>
    <w:rsid w:val="00CB20C1"/>
    <w:rsid w:val="00CB6CC8"/>
    <w:rsid w:val="00CC4C93"/>
    <w:rsid w:val="00D120D2"/>
    <w:rsid w:val="00D20D7C"/>
    <w:rsid w:val="00D26FCA"/>
    <w:rsid w:val="00D373F2"/>
    <w:rsid w:val="00D51F58"/>
    <w:rsid w:val="00D6407C"/>
    <w:rsid w:val="00D87AF7"/>
    <w:rsid w:val="00DA120C"/>
    <w:rsid w:val="00DC4BEF"/>
    <w:rsid w:val="00DE1C8B"/>
    <w:rsid w:val="00E10628"/>
    <w:rsid w:val="00E144CD"/>
    <w:rsid w:val="00E2292B"/>
    <w:rsid w:val="00E33FBA"/>
    <w:rsid w:val="00E341E9"/>
    <w:rsid w:val="00E54F13"/>
    <w:rsid w:val="00E65241"/>
    <w:rsid w:val="00E91A90"/>
    <w:rsid w:val="00EA6E28"/>
    <w:rsid w:val="00EC0D2D"/>
    <w:rsid w:val="00ED0637"/>
    <w:rsid w:val="00EE3670"/>
    <w:rsid w:val="00F0752A"/>
    <w:rsid w:val="00F23DCA"/>
    <w:rsid w:val="00F378D0"/>
    <w:rsid w:val="00F76A7F"/>
    <w:rsid w:val="00F77EDB"/>
    <w:rsid w:val="00F838E1"/>
    <w:rsid w:val="00F842DC"/>
    <w:rsid w:val="00F876FF"/>
    <w:rsid w:val="00F93A89"/>
    <w:rsid w:val="00F970FA"/>
    <w:rsid w:val="00FA2721"/>
    <w:rsid w:val="00FA2E98"/>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Lienhypertexte">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Lienhypertexte">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BE6F-9AA5-49A2-855B-F9158A42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81</TotalTime>
  <Pages>9</Pages>
  <Words>2900</Words>
  <Characters>15982</Characters>
  <Application>Microsoft Office Word</Application>
  <DocSecurity>0</DocSecurity>
  <Lines>133</Lines>
  <Paragraphs>37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Persico, Jean-Sébastien (sanofi pasteur)</cp:lastModifiedBy>
  <cp:revision>9</cp:revision>
  <cp:lastPrinted>2014-09-01T08:36:00Z</cp:lastPrinted>
  <dcterms:created xsi:type="dcterms:W3CDTF">2016-04-01T11:32:00Z</dcterms:created>
  <dcterms:modified xsi:type="dcterms:W3CDTF">2016-04-06T08:21:00Z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-1269673250</vt:i4>
  </property>
  <property fmtid="{D5CDD505-2E9C-101B-9397-08002B2CF9AE}" pid="3" name="_EmailSubject">
    <vt:lpwstr>PLOS Neglected Tropical Diseases Requests Modifications for PNTD-D-15-01872R1</vt:lpwstr>
  </property>
  <property fmtid="{D5CDD505-2E9C-101B-9397-08002B2CF9AE}" pid="4" name="_AuthorEmail">
    <vt:lpwstr>Valerie.BoschCastells@sanofipasteur.com</vt:lpwstr>
  </property>
  <property fmtid="{D5CDD505-2E9C-101B-9397-08002B2CF9AE}" pid="5" name="_AuthorEmailDisplayName">
    <vt:lpwstr>Bosch Castells, Valerie (sanofi pasteur)</vt:lpwstr>
  </property>
  <property fmtid="{D5CDD505-2E9C-101B-9397-08002B2CF9AE}" pid="6" name="_NewReviewCycle">
    <vt:lpwstr/>
  </property>
  <property fmtid="{D5CDD505-2E9C-101B-9397-08002B2CF9AE}" pid="7" name="_PreviousAdHocReviewCycleID">
    <vt:i4>-1670176274</vt:i4>
  </property>
</Properties>
</file>