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2C" w:rsidRDefault="00BF642C"/>
    <w:p w:rsidR="00307079" w:rsidRDefault="00307079"/>
    <w:p w:rsidR="00307079" w:rsidRPr="00F80E16" w:rsidRDefault="00307079" w:rsidP="00307079">
      <w:r>
        <w:rPr>
          <w:b/>
        </w:rPr>
        <w:t>S4 Table</w:t>
      </w:r>
      <w:r w:rsidRPr="00F80E16">
        <w:rPr>
          <w:b/>
        </w:rPr>
        <w:t>: Performance of models for the risk of dengue in all subjects resulting from different statistical modeling approaches</w:t>
      </w:r>
    </w:p>
    <w:tbl>
      <w:tblPr>
        <w:tblW w:w="13068" w:type="dxa"/>
        <w:tblLayout w:type="fixed"/>
        <w:tblLook w:val="0000" w:firstRow="0" w:lastRow="0" w:firstColumn="0" w:lastColumn="0" w:noHBand="0" w:noVBand="0"/>
      </w:tblPr>
      <w:tblGrid>
        <w:gridCol w:w="2448"/>
        <w:gridCol w:w="2196"/>
        <w:gridCol w:w="2106"/>
        <w:gridCol w:w="2106"/>
        <w:gridCol w:w="2106"/>
        <w:gridCol w:w="2106"/>
      </w:tblGrid>
      <w:tr w:rsidR="00307079" w:rsidRPr="00F80E16" w:rsidTr="0005433E">
        <w:trPr>
          <w:trHeight w:val="329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</w:rPr>
            </w:pPr>
            <w:r w:rsidRPr="00F80E16">
              <w:rPr>
                <w:color w:val="000000"/>
              </w:rPr>
              <w:t>Full model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</w:rPr>
            </w:pPr>
            <w:r w:rsidRPr="00F80E16">
              <w:rPr>
                <w:color w:val="000000"/>
              </w:rPr>
              <w:t>Step-wise AIC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</w:rPr>
            </w:pPr>
            <w:r w:rsidRPr="00F80E16">
              <w:rPr>
                <w:color w:val="000000"/>
              </w:rPr>
              <w:t>STAB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</w:rPr>
            </w:pPr>
            <w:r w:rsidRPr="00F80E16">
              <w:rPr>
                <w:color w:val="000000"/>
              </w:rPr>
              <w:t>CART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</w:rPr>
            </w:pPr>
            <w:r w:rsidRPr="00F80E16">
              <w:rPr>
                <w:color w:val="000000"/>
              </w:rPr>
              <w:t>RF</w:t>
            </w:r>
          </w:p>
        </w:tc>
      </w:tr>
      <w:tr w:rsidR="00307079" w:rsidRPr="00F80E16" w:rsidTr="0005433E">
        <w:trPr>
          <w:trHeight w:val="329"/>
        </w:trPr>
        <w:tc>
          <w:tcPr>
            <w:tcW w:w="2448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Calibration intercept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-0.414 (-0.470–0.554)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-0.432 (-0.470–0.557)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-0.200 (-0.810–0.852)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-0.211 (-0.667–0.833)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-0.256 (-0.601–0.742)</w:t>
            </w:r>
          </w:p>
        </w:tc>
      </w:tr>
      <w:tr w:rsidR="00307079" w:rsidRPr="00F80E16" w:rsidTr="0005433E">
        <w:trPr>
          <w:trHeight w:val="329"/>
        </w:trPr>
        <w:tc>
          <w:tcPr>
            <w:tcW w:w="2448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Calibration slope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0.926 (0.820–1.248)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0.920 (0.820–1.263)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1.075 (0.855–1.272)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1.076 (0.829–1.076)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1.293 (1.037–1.331)</w:t>
            </w:r>
          </w:p>
        </w:tc>
      </w:tr>
      <w:tr w:rsidR="00307079" w:rsidRPr="00F80E16" w:rsidTr="0005433E">
        <w:trPr>
          <w:trHeight w:val="329"/>
        </w:trPr>
        <w:tc>
          <w:tcPr>
            <w:tcW w:w="2448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AUC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0.855 (0.815–0.861)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0.854 (0.815–0.861)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0.835 (0.792–0.850)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0.774 (0.703–0.777)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0.872 (0.830–0.873)</w:t>
            </w:r>
          </w:p>
        </w:tc>
      </w:tr>
      <w:tr w:rsidR="00307079" w:rsidRPr="00F80E16" w:rsidTr="0005433E">
        <w:trPr>
          <w:trHeight w:val="329"/>
        </w:trPr>
        <w:tc>
          <w:tcPr>
            <w:tcW w:w="2448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Sensitivity (cutoff 0.33)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0.785 (0.651–0.868)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0.790 (0.659–0.890)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0.795 (0.659–0.912)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0.614 (0.459–0.736)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0.812 (0.579–0.846)</w:t>
            </w:r>
          </w:p>
        </w:tc>
      </w:tr>
      <w:tr w:rsidR="00307079" w:rsidRPr="00F80E16" w:rsidTr="0005433E">
        <w:trPr>
          <w:trHeight w:val="329"/>
        </w:trPr>
        <w:tc>
          <w:tcPr>
            <w:tcW w:w="2448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Specificity (cutoff 0.33)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0.760 (0.699–0.868)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0.756 (0.699–0.868)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0.726 (0.550–0.839)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0.896 (0.735–0.939)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0.809 (0.709–0.873)</w:t>
            </w:r>
          </w:p>
        </w:tc>
      </w:tr>
      <w:tr w:rsidR="00307079" w:rsidRPr="00F80E16" w:rsidTr="0005433E">
        <w:trPr>
          <w:trHeight w:val="329"/>
        </w:trPr>
        <w:tc>
          <w:tcPr>
            <w:tcW w:w="2448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PPV (cutoff 0.33)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0.535 (0.513–0.699)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0.533 (0.519–0.720)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0.505 (0.426–0.738)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0.676 (0.504–0.848)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0.600 (0.513–0.768)</w:t>
            </w:r>
          </w:p>
        </w:tc>
      </w:tr>
      <w:tr w:rsidR="00307079" w:rsidRPr="00F80E16" w:rsidTr="0005433E">
        <w:trPr>
          <w:trHeight w:val="329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7079" w:rsidRPr="00F80E16" w:rsidRDefault="00307079" w:rsidP="0005433E">
            <w:pPr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NPV (cutoff 0.33)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0.909 (0.815–0.936)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0.911 (0.811–0.946)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0.909 (0.748–0.945)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7079" w:rsidRPr="00F80E16" w:rsidRDefault="00307079" w:rsidP="0005433E">
            <w:pPr>
              <w:jc w:val="center"/>
              <w:rPr>
                <w:color w:val="000000"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0.868 (0.702–0.884)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079" w:rsidRPr="00F80E16" w:rsidRDefault="00307079" w:rsidP="0005433E">
            <w:pPr>
              <w:jc w:val="center"/>
              <w:rPr>
                <w:i/>
                <w:sz w:val="20"/>
                <w:szCs w:val="20"/>
              </w:rPr>
            </w:pPr>
            <w:r w:rsidRPr="00F80E16">
              <w:rPr>
                <w:color w:val="000000"/>
                <w:sz w:val="20"/>
                <w:szCs w:val="20"/>
              </w:rPr>
              <w:t>0.924 (0.805–0.926)</w:t>
            </w:r>
          </w:p>
        </w:tc>
      </w:tr>
      <w:tr w:rsidR="00307079" w:rsidRPr="00F80E16" w:rsidTr="0005433E">
        <w:trPr>
          <w:trHeight w:val="329"/>
        </w:trPr>
        <w:tc>
          <w:tcPr>
            <w:tcW w:w="1306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307079" w:rsidRPr="00F80E16" w:rsidRDefault="00307079" w:rsidP="0005433E">
            <w:pPr>
              <w:pStyle w:val="FootnoteText1"/>
              <w:tabs>
                <w:tab w:val="left" w:pos="720"/>
                <w:tab w:val="left" w:pos="1350"/>
              </w:tabs>
              <w:rPr>
                <w:rFonts w:ascii="Times New Roman" w:hAnsi="Times New Roman" w:cs="Times New Roman"/>
              </w:rPr>
            </w:pPr>
            <w:r w:rsidRPr="00F80E16">
              <w:rPr>
                <w:rFonts w:ascii="Times New Roman" w:hAnsi="Times New Roman" w:cs="Times New Roman"/>
              </w:rPr>
              <w:t>The full model included all variables listed in supplementary table 1 plus interaction terms between age and WBC and between age and PLT.</w:t>
            </w:r>
          </w:p>
          <w:p w:rsidR="00307079" w:rsidRPr="00F80E16" w:rsidRDefault="00307079" w:rsidP="0005433E">
            <w:pPr>
              <w:pStyle w:val="HTMLPreformatted"/>
              <w:wordWrap w:val="0"/>
              <w:rPr>
                <w:rFonts w:ascii="Lucida Console" w:hAnsi="Lucida Console"/>
                <w:color w:val="000000"/>
                <w:kern w:val="0"/>
                <w:shd w:val="clear" w:color="auto" w:fill="E1E2E5"/>
                <w:lang w:eastAsia="en-US"/>
              </w:rPr>
            </w:pPr>
            <w:r w:rsidRPr="00F80E16">
              <w:rPr>
                <w:rFonts w:ascii="Times New Roman" w:hAnsi="Times New Roman" w:cs="Times New Roman"/>
              </w:rPr>
              <w:t xml:space="preserve">Step-wise AIC selected the following variables: </w:t>
            </w:r>
            <w:r w:rsidRPr="00F80E16">
              <w:rPr>
                <w:rFonts w:ascii="Times New Roman" w:hAnsi="Times New Roman" w:cs="Times New Roman"/>
                <w:lang w:eastAsia="en-US" w:bidi="en-US"/>
              </w:rPr>
              <w:t xml:space="preserve">age, day of illness, BMI, vomiting, temperature, skin bleeding, flush, injection, hematocrite, </w:t>
            </w:r>
            <w:proofErr w:type="gramStart"/>
            <w:r w:rsidRPr="00F80E16">
              <w:rPr>
                <w:rFonts w:ascii="Times New Roman" w:hAnsi="Times New Roman" w:cs="Times New Roman"/>
                <w:lang w:eastAsia="en-US" w:bidi="en-US"/>
              </w:rPr>
              <w:t>log2(</w:t>
            </w:r>
            <w:proofErr w:type="gramEnd"/>
            <w:r w:rsidRPr="00F80E16">
              <w:rPr>
                <w:rFonts w:ascii="Times New Roman" w:hAnsi="Times New Roman" w:cs="Times New Roman"/>
                <w:lang w:eastAsia="en-US" w:bidi="en-US"/>
              </w:rPr>
              <w:t xml:space="preserve">aspartate transaminase), log2(creatinine kinase), white blood cell count, platelet count, </w:t>
            </w:r>
            <w:r w:rsidRPr="007525F5">
              <w:rPr>
                <w:rFonts w:ascii="Times New Roman" w:hAnsi="Times New Roman" w:cs="Times New Roman"/>
                <w:lang w:eastAsia="en-US" w:bidi="en-US"/>
              </w:rPr>
              <w:t>age by white blood cell count and age by platelet count.</w:t>
            </w:r>
            <w:r w:rsidRPr="00F80E16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</w:p>
          <w:p w:rsidR="00307079" w:rsidRPr="00F80E16" w:rsidRDefault="00307079" w:rsidP="0005433E">
            <w:pPr>
              <w:pStyle w:val="FootnoteText1"/>
              <w:tabs>
                <w:tab w:val="left" w:pos="720"/>
                <w:tab w:val="left" w:pos="1350"/>
              </w:tabs>
              <w:rPr>
                <w:rFonts w:ascii="Times New Roman" w:hAnsi="Times New Roman" w:cs="Times New Roman"/>
                <w:lang w:eastAsia="en-US" w:bidi="en-US"/>
              </w:rPr>
            </w:pPr>
            <w:r w:rsidRPr="00F80E16">
              <w:rPr>
                <w:rFonts w:ascii="Times New Roman" w:hAnsi="Times New Roman" w:cs="Times New Roman"/>
                <w:lang w:eastAsia="en-US" w:bidi="en-US"/>
              </w:rPr>
              <w:t xml:space="preserve">STAB selected the following variables from the full model: age, white blood cell count, </w:t>
            </w:r>
            <w:proofErr w:type="gramStart"/>
            <w:r w:rsidRPr="00F80E16">
              <w:rPr>
                <w:rFonts w:ascii="Times New Roman" w:hAnsi="Times New Roman" w:cs="Times New Roman"/>
                <w:lang w:eastAsia="en-US" w:bidi="en-US"/>
              </w:rPr>
              <w:t>platelet</w:t>
            </w:r>
            <w:proofErr w:type="gramEnd"/>
            <w:r w:rsidRPr="00F80E16">
              <w:rPr>
                <w:rFonts w:ascii="Times New Roman" w:hAnsi="Times New Roman" w:cs="Times New Roman"/>
                <w:lang w:eastAsia="en-US" w:bidi="en-US"/>
              </w:rPr>
              <w:t xml:space="preserve"> count. </w:t>
            </w:r>
          </w:p>
          <w:p w:rsidR="00307079" w:rsidRPr="00F80E16" w:rsidRDefault="00307079" w:rsidP="0005433E">
            <w:pPr>
              <w:pStyle w:val="FootnoteText1"/>
              <w:tabs>
                <w:tab w:val="left" w:pos="720"/>
                <w:tab w:val="left" w:pos="1350"/>
              </w:tabs>
              <w:rPr>
                <w:rFonts w:ascii="Times New Roman" w:hAnsi="Times New Roman" w:cs="Times New Roman"/>
                <w:lang w:eastAsia="en-US" w:bidi="en-US"/>
              </w:rPr>
            </w:pPr>
            <w:r w:rsidRPr="00F80E16">
              <w:rPr>
                <w:rFonts w:ascii="Times New Roman" w:hAnsi="Times New Roman" w:cs="Times New Roman"/>
              </w:rPr>
              <w:t xml:space="preserve">CART </w:t>
            </w:r>
            <w:r w:rsidRPr="00F80E16">
              <w:rPr>
                <w:rFonts w:ascii="Times New Roman" w:hAnsi="Times New Roman" w:cs="Times New Roman"/>
                <w:lang w:eastAsia="en-US" w:bidi="en-US"/>
              </w:rPr>
              <w:t>selected the following variables:</w:t>
            </w:r>
            <w:r w:rsidRPr="00F80E16">
              <w:rPr>
                <w:rFonts w:ascii="Times New Roman" w:hAnsi="Times New Roman" w:cs="Times New Roman"/>
              </w:rPr>
              <w:t xml:space="preserve"> </w:t>
            </w:r>
            <w:r w:rsidRPr="00F80E16">
              <w:rPr>
                <w:rFonts w:ascii="Times New Roman" w:hAnsi="Times New Roman" w:cs="Times New Roman"/>
                <w:lang w:eastAsia="en-US" w:bidi="en-US"/>
              </w:rPr>
              <w:t xml:space="preserve">age, white blood cell count. </w:t>
            </w:r>
          </w:p>
          <w:p w:rsidR="00307079" w:rsidRPr="00F80E16" w:rsidRDefault="00307079" w:rsidP="0005433E">
            <w:pPr>
              <w:pStyle w:val="FootnoteText1"/>
              <w:tabs>
                <w:tab w:val="left" w:pos="720"/>
                <w:tab w:val="left" w:pos="1350"/>
              </w:tabs>
              <w:rPr>
                <w:rFonts w:ascii="Times New Roman" w:hAnsi="Times New Roman" w:cs="Times New Roman"/>
              </w:rPr>
            </w:pPr>
            <w:r w:rsidRPr="00F80E16">
              <w:rPr>
                <w:rFonts w:ascii="Times New Roman" w:hAnsi="Times New Roman" w:cs="Times New Roman"/>
                <w:lang w:eastAsia="en-US" w:bidi="en-US"/>
              </w:rPr>
              <w:t xml:space="preserve">RF was derived from all variables listed in supplementary table 1. </w:t>
            </w:r>
          </w:p>
          <w:p w:rsidR="00307079" w:rsidRPr="00F80E16" w:rsidRDefault="00307079" w:rsidP="0005433E">
            <w:pPr>
              <w:pStyle w:val="FootnoteText1"/>
              <w:tabs>
                <w:tab w:val="left" w:pos="720"/>
                <w:tab w:val="left" w:pos="1350"/>
              </w:tabs>
              <w:rPr>
                <w:rFonts w:ascii="Times New Roman" w:hAnsi="Times New Roman" w:cs="Times New Roman"/>
              </w:rPr>
            </w:pPr>
            <w:r w:rsidRPr="00F80E16">
              <w:rPr>
                <w:rFonts w:ascii="Times New Roman" w:hAnsi="Times New Roman" w:cs="Times New Roman"/>
              </w:rPr>
              <w:t>AUC: area under the ROC curve, PPV: positive predictive value, NPV: negative predictive value, Step-wise AIC: step-wise backwards variable selection using Akaike information criterion, STAB: stability selection, CART: classification and regression trees, RF: random forests.</w:t>
            </w:r>
          </w:p>
          <w:p w:rsidR="00307079" w:rsidRPr="00F80E16" w:rsidRDefault="00307079" w:rsidP="0005433E">
            <w:pPr>
              <w:rPr>
                <w:color w:val="000000"/>
                <w:sz w:val="20"/>
                <w:szCs w:val="20"/>
              </w:rPr>
            </w:pPr>
            <w:r w:rsidRPr="00F80E16">
              <w:rPr>
                <w:sz w:val="20"/>
                <w:szCs w:val="20"/>
              </w:rPr>
              <w:t xml:space="preserve">The results were from leave-one-site-out validation and were presented by mean and range of performances across left out sites. </w:t>
            </w:r>
          </w:p>
        </w:tc>
      </w:tr>
    </w:tbl>
    <w:p w:rsidR="00307079" w:rsidRDefault="00307079" w:rsidP="00307079"/>
    <w:p w:rsidR="00307079" w:rsidRDefault="00307079">
      <w:bookmarkStart w:id="0" w:name="_GoBack"/>
      <w:bookmarkEnd w:id="0"/>
    </w:p>
    <w:sectPr w:rsidR="00307079" w:rsidSect="0030707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539">
    <w:charset w:val="80"/>
    <w:family w:val="auto"/>
    <w:pitch w:val="variable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9"/>
    <w:rsid w:val="00307079"/>
    <w:rsid w:val="00B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3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79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07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707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FootnoteText1">
    <w:name w:val="Footnote Text1"/>
    <w:basedOn w:val="Normal"/>
    <w:rsid w:val="00307079"/>
    <w:rPr>
      <w:rFonts w:ascii="Calibri" w:eastAsia="Arial Unicode MS" w:hAnsi="Calibri" w:cs="font539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79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07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707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FootnoteText1">
    <w:name w:val="Footnote Text1"/>
    <w:basedOn w:val="Normal"/>
    <w:rsid w:val="00307079"/>
    <w:rPr>
      <w:rFonts w:ascii="Calibri" w:eastAsia="Arial Unicode MS" w:hAnsi="Calibri" w:cs="font53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Macintosh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Simmons</dc:creator>
  <cp:keywords/>
  <dc:description/>
  <cp:lastModifiedBy>Cameron Simmons</cp:lastModifiedBy>
  <cp:revision>1</cp:revision>
  <dcterms:created xsi:type="dcterms:W3CDTF">2015-03-09T04:14:00Z</dcterms:created>
  <dcterms:modified xsi:type="dcterms:W3CDTF">2015-03-09T04:14:00Z</dcterms:modified>
</cp:coreProperties>
</file>