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BF94D" w14:textId="3F51DF13" w:rsidR="008A37D7" w:rsidRPr="00103A45" w:rsidRDefault="008A37D7" w:rsidP="008A37D7">
      <w:pPr>
        <w:spacing w:line="276" w:lineRule="auto"/>
        <w:rPr>
          <w:rFonts w:ascii="Times New Roman" w:hAnsi="Times New Roman" w:cs="Times New Roman"/>
          <w:b/>
          <w:sz w:val="28"/>
          <w:szCs w:val="28"/>
        </w:rPr>
      </w:pPr>
      <w:r w:rsidRPr="00103A45">
        <w:rPr>
          <w:rFonts w:ascii="Times New Roman" w:hAnsi="Times New Roman" w:cs="Times New Roman"/>
          <w:b/>
          <w:sz w:val="28"/>
          <w:szCs w:val="28"/>
        </w:rPr>
        <w:t xml:space="preserve">Population Genetics of the filarial worm </w:t>
      </w:r>
      <w:r w:rsidRPr="00103A45">
        <w:rPr>
          <w:rFonts w:ascii="Times New Roman" w:hAnsi="Times New Roman" w:cs="Times New Roman"/>
          <w:b/>
          <w:i/>
          <w:sz w:val="28"/>
          <w:szCs w:val="28"/>
        </w:rPr>
        <w:t xml:space="preserve">Wuchereria bancrofti </w:t>
      </w:r>
      <w:r w:rsidRPr="00103A45">
        <w:rPr>
          <w:rFonts w:ascii="Times New Roman" w:hAnsi="Times New Roman" w:cs="Times New Roman"/>
          <w:b/>
          <w:sz w:val="28"/>
          <w:szCs w:val="28"/>
        </w:rPr>
        <w:t xml:space="preserve">in a Post-treatment region of Papua New Guinea: Insights </w:t>
      </w:r>
      <w:r w:rsidR="00E62348">
        <w:rPr>
          <w:rFonts w:ascii="Times New Roman" w:hAnsi="Times New Roman" w:cs="Times New Roman"/>
          <w:b/>
          <w:sz w:val="28"/>
          <w:szCs w:val="28"/>
        </w:rPr>
        <w:t>into diversity and life history</w:t>
      </w:r>
    </w:p>
    <w:p w14:paraId="0DD7EC72" w14:textId="77777777" w:rsidR="008A37D7" w:rsidRPr="00D64D6A" w:rsidRDefault="008A37D7" w:rsidP="008A37D7">
      <w:pPr>
        <w:spacing w:line="276" w:lineRule="auto"/>
        <w:rPr>
          <w:rFonts w:ascii="Times New Roman" w:hAnsi="Times New Roman" w:cs="Times New Roman"/>
        </w:rPr>
      </w:pPr>
    </w:p>
    <w:p w14:paraId="2F96936D" w14:textId="132293BB" w:rsidR="008A37D7" w:rsidRDefault="008A37D7" w:rsidP="008A37D7">
      <w:pPr>
        <w:spacing w:line="276" w:lineRule="auto"/>
        <w:rPr>
          <w:rFonts w:ascii="Times New Roman" w:hAnsi="Times New Roman" w:cs="Times New Roman"/>
        </w:rPr>
      </w:pPr>
      <w:r w:rsidRPr="00D64D6A">
        <w:rPr>
          <w:rFonts w:ascii="Times New Roman" w:hAnsi="Times New Roman" w:cs="Times New Roman"/>
        </w:rPr>
        <w:t>Scott T. Small, Akshaya Ramesh,</w:t>
      </w:r>
      <w:r>
        <w:rPr>
          <w:rFonts w:ascii="Times New Roman" w:hAnsi="Times New Roman" w:cs="Times New Roman"/>
        </w:rPr>
        <w:t xml:space="preserve"> Krufinta Bun, Lisa Reim</w:t>
      </w:r>
      <w:r w:rsidR="00EF61C2">
        <w:rPr>
          <w:rFonts w:ascii="Times New Roman" w:hAnsi="Times New Roman" w:cs="Times New Roman"/>
        </w:rPr>
        <w:t>er, Edward Thomsen, Manasseh Bae</w:t>
      </w:r>
      <w:r w:rsidR="00E62348">
        <w:rPr>
          <w:rFonts w:ascii="Times New Roman" w:hAnsi="Times New Roman" w:cs="Times New Roman"/>
        </w:rPr>
        <w:t>a</w:t>
      </w:r>
      <w:r>
        <w:rPr>
          <w:rFonts w:ascii="Times New Roman" w:hAnsi="Times New Roman" w:cs="Times New Roman"/>
        </w:rPr>
        <w:t>, Moses Bockarie, Peter Siba, J</w:t>
      </w:r>
      <w:r w:rsidRPr="00D64D6A">
        <w:rPr>
          <w:rFonts w:ascii="Times New Roman" w:hAnsi="Times New Roman" w:cs="Times New Roman"/>
        </w:rPr>
        <w:t xml:space="preserve">ames </w:t>
      </w:r>
      <w:r>
        <w:rPr>
          <w:rFonts w:ascii="Times New Roman" w:hAnsi="Times New Roman" w:cs="Times New Roman"/>
        </w:rPr>
        <w:t xml:space="preserve">W. </w:t>
      </w:r>
      <w:r w:rsidRPr="00D64D6A">
        <w:rPr>
          <w:rFonts w:ascii="Times New Roman" w:hAnsi="Times New Roman" w:cs="Times New Roman"/>
        </w:rPr>
        <w:t>Kazura, Daniel J. Tisch</w:t>
      </w:r>
      <w:r>
        <w:rPr>
          <w:rFonts w:ascii="Times New Roman" w:hAnsi="Times New Roman" w:cs="Times New Roman"/>
        </w:rPr>
        <w:t xml:space="preserve">, </w:t>
      </w:r>
      <w:r w:rsidRPr="00D64D6A">
        <w:rPr>
          <w:rFonts w:ascii="Times New Roman" w:hAnsi="Times New Roman" w:cs="Times New Roman"/>
        </w:rPr>
        <w:t>Peter A. Zimmerman.</w:t>
      </w:r>
    </w:p>
    <w:p w14:paraId="3EA29769" w14:textId="77777777" w:rsidR="008A37D7" w:rsidRDefault="008A37D7" w:rsidP="008A37D7">
      <w:pPr>
        <w:spacing w:line="276" w:lineRule="auto"/>
        <w:rPr>
          <w:rFonts w:ascii="Times New Roman" w:hAnsi="Times New Roman" w:cs="Times New Roman"/>
        </w:rPr>
      </w:pPr>
    </w:p>
    <w:p w14:paraId="7E9776AD" w14:textId="13B0BB65" w:rsidR="008A37D7" w:rsidRPr="008A37D7" w:rsidRDefault="008A37D7" w:rsidP="008A37D7">
      <w:pPr>
        <w:spacing w:line="276" w:lineRule="auto"/>
        <w:jc w:val="center"/>
        <w:rPr>
          <w:rFonts w:ascii="Times New Roman" w:hAnsi="Times New Roman" w:cs="Times New Roman"/>
          <w:b/>
          <w:u w:val="single"/>
        </w:rPr>
      </w:pPr>
      <w:r w:rsidRPr="008A37D7">
        <w:rPr>
          <w:rFonts w:ascii="Times New Roman" w:hAnsi="Times New Roman" w:cs="Times New Roman"/>
          <w:b/>
          <w:u w:val="single"/>
        </w:rPr>
        <w:t>Supporting Information</w:t>
      </w:r>
    </w:p>
    <w:p w14:paraId="28C02443" w14:textId="77777777" w:rsidR="008A37D7" w:rsidRDefault="008A37D7" w:rsidP="00F9019D">
      <w:pPr>
        <w:widowControl w:val="0"/>
        <w:autoSpaceDE w:val="0"/>
        <w:autoSpaceDN w:val="0"/>
        <w:adjustRightInd w:val="0"/>
        <w:rPr>
          <w:rFonts w:ascii="Times New Roman" w:eastAsia="Times New Roman" w:hAnsi="Times New Roman" w:cs="Times New Roman"/>
          <w:b/>
        </w:rPr>
      </w:pPr>
    </w:p>
    <w:p w14:paraId="45813E34" w14:textId="43A17E30" w:rsidR="0050729C" w:rsidRPr="002C17C2" w:rsidRDefault="00F9019D" w:rsidP="00F9019D">
      <w:pPr>
        <w:widowControl w:val="0"/>
        <w:autoSpaceDE w:val="0"/>
        <w:autoSpaceDN w:val="0"/>
        <w:adjustRightInd w:val="0"/>
        <w:rPr>
          <w:rFonts w:ascii="Times New Roman" w:eastAsia="Times New Roman" w:hAnsi="Times New Roman" w:cs="Times New Roman"/>
          <w:b/>
        </w:rPr>
      </w:pPr>
      <w:r w:rsidRPr="002C17C2">
        <w:rPr>
          <w:rFonts w:ascii="Times New Roman" w:eastAsia="Times New Roman" w:hAnsi="Times New Roman" w:cs="Times New Roman"/>
          <w:b/>
        </w:rPr>
        <w:t>Genomic DNA extraction and PCR amplification</w:t>
      </w:r>
    </w:p>
    <w:p w14:paraId="3959E2EE" w14:textId="52C92DF4" w:rsidR="00F9019D" w:rsidRPr="003F03F3" w:rsidRDefault="00F9019D" w:rsidP="00F9019D">
      <w:pPr>
        <w:widowControl w:val="0"/>
        <w:autoSpaceDE w:val="0"/>
        <w:autoSpaceDN w:val="0"/>
        <w:adjustRightInd w:val="0"/>
        <w:rPr>
          <w:rFonts w:ascii="Times New Roman" w:hAnsi="Times New Roman" w:cs="Times New Roman"/>
        </w:rPr>
      </w:pPr>
      <w:r w:rsidRPr="003F03F3">
        <w:rPr>
          <w:rFonts w:ascii="Times New Roman" w:hAnsi="Times New Roman" w:cs="Times New Roman"/>
        </w:rPr>
        <w:t>Genomic DNA (gDNA) was extracted from whole blood using a QIAamp 96 DNA Blood Kit (QIAGEN, Valencia, CA).</w:t>
      </w:r>
      <w:r w:rsidR="00C36B51">
        <w:rPr>
          <w:rFonts w:ascii="Times New Roman" w:hAnsi="Times New Roman" w:cs="Times New Roman"/>
        </w:rPr>
        <w:t xml:space="preserve"> </w:t>
      </w:r>
      <w:r w:rsidRPr="003F03F3">
        <w:rPr>
          <w:rFonts w:ascii="Times New Roman" w:hAnsi="Times New Roman" w:cs="Times New Roman"/>
        </w:rPr>
        <w:t xml:space="preserve">PCR Primers were designed to amplify 650 bp of the partial </w:t>
      </w:r>
      <w:r w:rsidRPr="003F03F3">
        <w:rPr>
          <w:rFonts w:ascii="Times New Roman" w:hAnsi="Times New Roman" w:cs="Times New Roman"/>
          <w:i/>
        </w:rPr>
        <w:t>cox1</w:t>
      </w:r>
      <w:r w:rsidRPr="003F03F3">
        <w:rPr>
          <w:rFonts w:ascii="Times New Roman" w:hAnsi="Times New Roman" w:cs="Times New Roman"/>
        </w:rPr>
        <w:t xml:space="preserve"> </w:t>
      </w:r>
      <w:r w:rsidRPr="003F03F3">
        <w:rPr>
          <w:rFonts w:ascii="Times New Roman" w:hAnsi="Times New Roman" w:cs="Times New Roman"/>
        </w:rPr>
        <w:fldChar w:fldCharType="begin" w:fldLock="1"/>
      </w:r>
      <w:r w:rsidR="00A42FA9">
        <w:rPr>
          <w:rFonts w:ascii="Times New Roman" w:hAnsi="Times New Roman" w:cs="Times New Roman"/>
        </w:rPr>
        <w:instrText>ADDIN CSL_CITATION { "citationItems" : [ { "id" : "ITEM-1", "itemData" : { "author" : [ { "dropping-particle" : "", "family" : "Ramesh", "given" : "Akshaya", "non-dropping-particle" : "", "parse-names" : false, "suffix" : "" }, { "dropping-particle" : "", "family" : "Small", "given" : "Scott T", "non-dropping-particle" : "", "parse-names" : false, "suffix" : "" }, { "dropping-particle" : "", "family" : "Kloos", "given" : "Zachary A", "non-dropping-particle" : "", "parse-names" : false, "suffix" : "" }, { "dropping-particle" : "", "family" : "Kazura", "given" : "James W", "non-dropping-particle" : "", "parse-names" : false, "suffix" : "" }, { "dropping-particle" : "", "family" : "Nutman", "given" : "Thomas B", "non-dropping-particle" : "", "parse-names" : false, "suffix" : "" }, { "dropping-particle" : "", "family" : "Serre", "given" : "David", "non-dropping-particle" : "", "parse-names" : false, "suffix" : "" }, { "dropping-particle" : "", "family" : "Zimmerman", "given" : "Peter A", "non-dropping-particle" : "", "parse-names" : false, "suffix" : "" } ], "container-title" : "Molecular Biochemical Parasitology", "id" : "ITEM-1", "issue" : "1", "issued" : { "date-parts" : [ [ "2012" ] ] }, "page" : "32-41", "title" : "The complete mitochondrial genome sequence of the filarial nematode Wuchereria bancrofti from three geographic isolates provides evidence of complex demographic history.", "type" : "article-journal", "volume" : "183" }, "uris" : [ "http://www.mendeley.com/documents/?uuid=439fb9ac-7808-4200-b268-1e1dc0e58fb4" ] } ], "mendeley" : { "previouslyFormattedCitation" : "[1]" }, "properties" : { "noteIndex" : 0 }, "schema" : "https://github.com/citation-style-language/schema/raw/master/csl-citation.json" }</w:instrText>
      </w:r>
      <w:r w:rsidRPr="003F03F3">
        <w:rPr>
          <w:rFonts w:ascii="Times New Roman" w:hAnsi="Times New Roman" w:cs="Times New Roman"/>
        </w:rPr>
        <w:fldChar w:fldCharType="separate"/>
      </w:r>
      <w:r w:rsidR="008C00FC" w:rsidRPr="003F03F3">
        <w:rPr>
          <w:rFonts w:ascii="Times New Roman" w:hAnsi="Times New Roman" w:cs="Times New Roman"/>
          <w:noProof/>
        </w:rPr>
        <w:t>[1]</w:t>
      </w:r>
      <w:r w:rsidRPr="003F03F3">
        <w:rPr>
          <w:rFonts w:ascii="Times New Roman" w:hAnsi="Times New Roman" w:cs="Times New Roman"/>
        </w:rPr>
        <w:fldChar w:fldCharType="end"/>
      </w:r>
      <w:r w:rsidRPr="003F03F3">
        <w:rPr>
          <w:rFonts w:ascii="Times New Roman" w:hAnsi="Times New Roman" w:cs="Times New Roman"/>
        </w:rPr>
        <w:t>.</w:t>
      </w:r>
      <w:r w:rsidR="00C36B51">
        <w:rPr>
          <w:rFonts w:ascii="Times New Roman" w:hAnsi="Times New Roman" w:cs="Times New Roman"/>
        </w:rPr>
        <w:t xml:space="preserve"> </w:t>
      </w:r>
      <w:r w:rsidRPr="003F03F3">
        <w:rPr>
          <w:rFonts w:ascii="Times New Roman" w:hAnsi="Times New Roman" w:cs="Times New Roman"/>
        </w:rPr>
        <w:t>PCR master mixtures (25 μL) contained 2.5 μL 10X buffer (16.6 mM (NH</w:t>
      </w:r>
      <w:r w:rsidRPr="003F03F3">
        <w:rPr>
          <w:rFonts w:ascii="Times New Roman" w:hAnsi="Times New Roman" w:cs="Times New Roman"/>
          <w:vertAlign w:val="subscript"/>
        </w:rPr>
        <w:t>4</w:t>
      </w:r>
      <w:r w:rsidRPr="003F03F3">
        <w:rPr>
          <w:rFonts w:ascii="Times New Roman" w:hAnsi="Times New Roman" w:cs="Times New Roman"/>
        </w:rPr>
        <w:t>)</w:t>
      </w:r>
      <w:r w:rsidRPr="003F03F3">
        <w:rPr>
          <w:rFonts w:ascii="Times New Roman" w:hAnsi="Times New Roman" w:cs="Times New Roman"/>
          <w:vertAlign w:val="subscript"/>
        </w:rPr>
        <w:t>2</w:t>
      </w:r>
      <w:r w:rsidRPr="003F03F3">
        <w:rPr>
          <w:rFonts w:ascii="Times New Roman" w:hAnsi="Times New Roman" w:cs="Times New Roman"/>
        </w:rPr>
        <w:t>SO</w:t>
      </w:r>
      <w:r w:rsidRPr="003F03F3">
        <w:rPr>
          <w:rFonts w:ascii="Times New Roman" w:hAnsi="Times New Roman" w:cs="Times New Roman"/>
          <w:vertAlign w:val="subscript"/>
        </w:rPr>
        <w:t>4</w:t>
      </w:r>
      <w:r w:rsidRPr="003F03F3">
        <w:rPr>
          <w:rFonts w:ascii="Times New Roman" w:hAnsi="Times New Roman" w:cs="Times New Roman"/>
        </w:rPr>
        <w:t>, 10 mM β-mercaptoethanol, 3.4 or 6.7 mM MgSO</w:t>
      </w:r>
      <w:r w:rsidRPr="003F03F3">
        <w:rPr>
          <w:rFonts w:ascii="Times New Roman" w:hAnsi="Times New Roman" w:cs="Times New Roman"/>
          <w:vertAlign w:val="subscript"/>
        </w:rPr>
        <w:t>4</w:t>
      </w:r>
      <w:r w:rsidRPr="003F03F3">
        <w:rPr>
          <w:rFonts w:ascii="Times New Roman" w:hAnsi="Times New Roman" w:cs="Times New Roman"/>
        </w:rPr>
        <w:t>, and 67 mM Tris-HCl, pH 8.8), 2 μL dNTPs (5 nmol each dNTP), 0.6 μL each primer (6 pmol), 0.6 μL Taq DNA polymerase (2.5 units) and 1 μL of DNA template.</w:t>
      </w:r>
      <w:r w:rsidR="00C36B51">
        <w:rPr>
          <w:rFonts w:ascii="Times New Roman" w:hAnsi="Times New Roman" w:cs="Times New Roman"/>
        </w:rPr>
        <w:t xml:space="preserve"> </w:t>
      </w:r>
      <w:r w:rsidRPr="003F03F3">
        <w:rPr>
          <w:rFonts w:ascii="Times New Roman" w:hAnsi="Times New Roman" w:cs="Times New Roman"/>
        </w:rPr>
        <w:t xml:space="preserve">An MJ Research PTC-225 thermocycler (MJ Research, Waltham, MA) was used to amplify the </w:t>
      </w:r>
      <w:r w:rsidRPr="003F03F3">
        <w:rPr>
          <w:rFonts w:ascii="Times New Roman" w:hAnsi="Times New Roman" w:cs="Times New Roman"/>
          <w:i/>
        </w:rPr>
        <w:t>cox1</w:t>
      </w:r>
      <w:r w:rsidRPr="003F03F3">
        <w:rPr>
          <w:rFonts w:ascii="Times New Roman" w:hAnsi="Times New Roman" w:cs="Times New Roman"/>
        </w:rPr>
        <w:t xml:space="preserve"> fragments under the thermocycling conditions: 92°C for 2 min (initial denaturation), followed by 40 cycles of denaturation at 92°C for 30s, annealing at 50°C for 30s, and extension at 72°C for 60 s followed by a final extension at 72°C for 5 minutes. The amplification products were visualized on 2% (w/v) agarose gels and the gels were stained with SYBR Gold (Molecular Probes, Eugene, OR) and visualized using a Storm 860 molecular imaging system with ImageQuant 5.2 software (Molecular Dynamics, Sunnyvale, CA).</w:t>
      </w:r>
      <w:r w:rsidR="00C36B51">
        <w:rPr>
          <w:rFonts w:ascii="Times New Roman" w:hAnsi="Times New Roman" w:cs="Times New Roman"/>
        </w:rPr>
        <w:t xml:space="preserve"> </w:t>
      </w:r>
      <w:r w:rsidRPr="003F03F3">
        <w:rPr>
          <w:rFonts w:ascii="Times New Roman" w:hAnsi="Times New Roman" w:cs="Times New Roman"/>
        </w:rPr>
        <w:t xml:space="preserve">These PCR products were TA cloned into pCR2.1-TOPO vector and transformed into chemically competent </w:t>
      </w:r>
      <w:r w:rsidRPr="003F03F3">
        <w:rPr>
          <w:rFonts w:ascii="Times New Roman" w:hAnsi="Times New Roman" w:cs="Times New Roman"/>
          <w:i/>
        </w:rPr>
        <w:t>E. coli</w:t>
      </w:r>
      <w:r w:rsidRPr="003F03F3">
        <w:rPr>
          <w:rFonts w:ascii="Times New Roman" w:hAnsi="Times New Roman" w:cs="Times New Roman"/>
        </w:rPr>
        <w:t xml:space="preserve"> TOP10 cells according to the manufacturer’s proto</w:t>
      </w:r>
      <w:r w:rsidR="00CB55D6" w:rsidRPr="003F03F3">
        <w:rPr>
          <w:rFonts w:ascii="Times New Roman" w:hAnsi="Times New Roman" w:cs="Times New Roman"/>
        </w:rPr>
        <w:t>col (Invitrogen, Carlsbad, CA).</w:t>
      </w:r>
      <w:r w:rsidR="00C36B51">
        <w:rPr>
          <w:rFonts w:ascii="Times New Roman" w:hAnsi="Times New Roman" w:cs="Times New Roman"/>
        </w:rPr>
        <w:t xml:space="preserve"> </w:t>
      </w:r>
    </w:p>
    <w:p w14:paraId="4DA7F5FD" w14:textId="77777777" w:rsidR="003A32C0" w:rsidRPr="003F03F3" w:rsidRDefault="003A32C0" w:rsidP="00F9019D">
      <w:pPr>
        <w:rPr>
          <w:rFonts w:ascii="Times New Roman" w:hAnsi="Times New Roman" w:cs="Times New Roman"/>
          <w:i/>
        </w:rPr>
      </w:pPr>
    </w:p>
    <w:p w14:paraId="1FE5CAF6" w14:textId="5553D33A" w:rsidR="003A32C0" w:rsidRPr="002C17C2" w:rsidRDefault="002C17C2" w:rsidP="00F9019D">
      <w:pPr>
        <w:rPr>
          <w:rFonts w:ascii="Times New Roman" w:hAnsi="Times New Roman" w:cs="Times New Roman"/>
          <w:b/>
        </w:rPr>
      </w:pPr>
      <w:r w:rsidRPr="002C17C2">
        <w:rPr>
          <w:rFonts w:ascii="Times New Roman" w:hAnsi="Times New Roman" w:cs="Times New Roman"/>
          <w:b/>
        </w:rPr>
        <w:t>Sanger Sequencing</w:t>
      </w:r>
      <w:r w:rsidR="00F9019D" w:rsidRPr="002C17C2">
        <w:rPr>
          <w:rFonts w:ascii="Times New Roman" w:hAnsi="Times New Roman" w:cs="Times New Roman"/>
          <w:b/>
        </w:rPr>
        <w:t xml:space="preserve"> </w:t>
      </w:r>
    </w:p>
    <w:p w14:paraId="4863911D" w14:textId="7542F56A" w:rsidR="00F9019D" w:rsidRPr="003F03F3" w:rsidRDefault="00B104DA" w:rsidP="00F9019D">
      <w:pPr>
        <w:rPr>
          <w:rFonts w:ascii="Times New Roman" w:hAnsi="Times New Roman" w:cs="Times New Roman"/>
          <w:i/>
        </w:rPr>
      </w:pPr>
      <w:r w:rsidRPr="003F03F3">
        <w:rPr>
          <w:rFonts w:ascii="Times New Roman" w:hAnsi="Times New Roman" w:cs="Times New Roman"/>
        </w:rPr>
        <w:t>All viable clones were selected and size screened via gel electrophoresis for the PCR insert.</w:t>
      </w:r>
      <w:r w:rsidR="00C36B51">
        <w:rPr>
          <w:rFonts w:ascii="Times New Roman" w:hAnsi="Times New Roman" w:cs="Times New Roman"/>
        </w:rPr>
        <w:t xml:space="preserve"> </w:t>
      </w:r>
      <w:r w:rsidRPr="003F03F3">
        <w:rPr>
          <w:rFonts w:ascii="Times New Roman" w:hAnsi="Times New Roman" w:cs="Times New Roman"/>
        </w:rPr>
        <w:t>Clones containing the insert were then cleaned with an enzyme reaction, exo-sap</w:t>
      </w:r>
      <w:r w:rsidR="00F9019D" w:rsidRPr="003F03F3">
        <w:rPr>
          <w:rFonts w:ascii="Times New Roman" w:hAnsi="Times New Roman" w:cs="Times New Roman"/>
        </w:rPr>
        <w:t>.</w:t>
      </w:r>
      <w:r w:rsidR="00C36B51">
        <w:rPr>
          <w:rFonts w:ascii="Times New Roman" w:hAnsi="Times New Roman" w:cs="Times New Roman"/>
        </w:rPr>
        <w:t xml:space="preserve"> </w:t>
      </w:r>
      <w:r w:rsidR="00F9019D" w:rsidRPr="003F03F3">
        <w:rPr>
          <w:rFonts w:ascii="Times New Roman" w:hAnsi="Times New Roman" w:cs="Times New Roman"/>
        </w:rPr>
        <w:t>The exo-sap master mixture (10 μL) contained 0.1 μL exonuclease, 0.5 μL antarctic phosphatase and 7 μL of PCR product. The reaction was then run in a MJ Research PTC-225 thermocycler (MJ Research, Waltham, MA) under the thermo-cycling conditions: 37°C for 30 min followed by 95°C for 5 min.</w:t>
      </w:r>
      <w:r w:rsidR="00C36B51">
        <w:rPr>
          <w:rFonts w:ascii="Times New Roman" w:hAnsi="Times New Roman" w:cs="Times New Roman"/>
        </w:rPr>
        <w:t xml:space="preserve"> </w:t>
      </w:r>
      <w:r w:rsidR="00F9019D" w:rsidRPr="003F03F3">
        <w:rPr>
          <w:rFonts w:ascii="Times New Roman" w:hAnsi="Times New Roman" w:cs="Times New Roman"/>
        </w:rPr>
        <w:t>Samples were then diluted to 2ng/ µl per 100 bp concentration and prepared for cycle sequencing.</w:t>
      </w:r>
      <w:r w:rsidR="00C36B51">
        <w:rPr>
          <w:rFonts w:ascii="Times New Roman" w:hAnsi="Times New Roman" w:cs="Times New Roman"/>
        </w:rPr>
        <w:t xml:space="preserve"> </w:t>
      </w:r>
      <w:r w:rsidR="00F9019D" w:rsidRPr="003F03F3">
        <w:rPr>
          <w:rFonts w:ascii="Times New Roman" w:hAnsi="Times New Roman" w:cs="Times New Roman"/>
        </w:rPr>
        <w:t>Cycle sequencing used a modified reaction protocol with 2µl of 5X Sequencing buffer, 1µl of Big dye terminator, 0.36µl of primer (3.2 pmol), 2.4µl of water and 4 µl of diluted PCR product from the exo-sap reaction. The thermo-cycling condition for cycle sequencing was an initial denaturation at 96°C for 30s followed by 25 cycles of denaturation at 96°C for 10 seconds, annealing at 50°C for 5 seconds and the extension step at 60°C for 4 min.</w:t>
      </w:r>
    </w:p>
    <w:p w14:paraId="2EC2D868" w14:textId="118C5455" w:rsidR="00F9019D" w:rsidRPr="003F03F3" w:rsidRDefault="00CB55D6" w:rsidP="00382172">
      <w:pPr>
        <w:rPr>
          <w:rFonts w:ascii="Times New Roman" w:eastAsia="Times New Roman" w:hAnsi="Times New Roman" w:cs="Times New Roman"/>
          <w:bCs/>
        </w:rPr>
      </w:pPr>
      <w:r w:rsidRPr="003F03F3">
        <w:rPr>
          <w:rFonts w:ascii="Times New Roman" w:eastAsia="Times New Roman" w:hAnsi="Times New Roman" w:cs="Times New Roman"/>
          <w:bCs/>
        </w:rPr>
        <w:t>Following cycle-</w:t>
      </w:r>
      <w:r w:rsidR="00F9019D" w:rsidRPr="003F03F3">
        <w:rPr>
          <w:rFonts w:ascii="Times New Roman" w:eastAsia="Times New Roman" w:hAnsi="Times New Roman" w:cs="Times New Roman"/>
          <w:bCs/>
        </w:rPr>
        <w:t>sequencing reaction,</w:t>
      </w:r>
      <w:r w:rsidR="00F9019D" w:rsidRPr="003F03F3">
        <w:rPr>
          <w:rFonts w:ascii="Times New Roman" w:eastAsia="Times New Roman" w:hAnsi="Times New Roman" w:cs="Times New Roman"/>
        </w:rPr>
        <w:t xml:space="preserve"> PCR products were purified to remove unincorporated dyes and single stranded DNA.</w:t>
      </w:r>
      <w:r w:rsidR="00C36B51">
        <w:rPr>
          <w:rFonts w:ascii="Times New Roman" w:eastAsia="Times New Roman" w:hAnsi="Times New Roman" w:cs="Times New Roman"/>
        </w:rPr>
        <w:t xml:space="preserve"> </w:t>
      </w:r>
      <w:r w:rsidR="00F9019D" w:rsidRPr="003F03F3">
        <w:rPr>
          <w:rFonts w:ascii="Times New Roman" w:eastAsia="Times New Roman" w:hAnsi="Times New Roman" w:cs="Times New Roman"/>
        </w:rPr>
        <w:t>Purification was performed by adding 2.5</w:t>
      </w:r>
      <w:r w:rsidR="00F9019D" w:rsidRPr="003F03F3">
        <w:rPr>
          <w:rFonts w:ascii="Times New Roman" w:hAnsi="Times New Roman" w:cs="Times New Roman"/>
        </w:rPr>
        <w:sym w:font="Symbol" w:char="F06D"/>
      </w:r>
      <w:r w:rsidR="00F9019D" w:rsidRPr="003F03F3">
        <w:rPr>
          <w:rFonts w:ascii="Times New Roman" w:eastAsia="Times New Roman" w:hAnsi="Times New Roman" w:cs="Times New Roman"/>
          <w:bCs/>
        </w:rPr>
        <w:t>l of 125mM EDTA followed by 30</w:t>
      </w:r>
      <w:r w:rsidR="00F9019D" w:rsidRPr="003F03F3">
        <w:rPr>
          <w:rFonts w:ascii="Times New Roman" w:hAnsi="Times New Roman" w:cs="Times New Roman"/>
        </w:rPr>
        <w:sym w:font="Symbol" w:char="F06D"/>
      </w:r>
      <w:r w:rsidR="00F9019D" w:rsidRPr="003F03F3">
        <w:rPr>
          <w:rFonts w:ascii="Times New Roman" w:eastAsia="Times New Roman" w:hAnsi="Times New Roman" w:cs="Times New Roman"/>
          <w:bCs/>
        </w:rPr>
        <w:t>L of 100% ethanol to each sample.</w:t>
      </w:r>
      <w:r w:rsidR="00C36B51">
        <w:rPr>
          <w:rFonts w:ascii="Times New Roman" w:eastAsia="Times New Roman" w:hAnsi="Times New Roman" w:cs="Times New Roman"/>
          <w:bCs/>
        </w:rPr>
        <w:t xml:space="preserve"> </w:t>
      </w:r>
      <w:r w:rsidR="00F9019D" w:rsidRPr="003F03F3">
        <w:rPr>
          <w:rFonts w:ascii="Times New Roman" w:eastAsia="Times New Roman" w:hAnsi="Times New Roman" w:cs="Times New Roman"/>
          <w:bCs/>
        </w:rPr>
        <w:t>Samples were then mixed by inversion, incubated at room temperature for 15 minutes, and centrifuged at 3000g for 30 min at 4 degrees C.</w:t>
      </w:r>
      <w:r w:rsidR="00C36B51">
        <w:rPr>
          <w:rFonts w:ascii="Times New Roman" w:eastAsia="Times New Roman" w:hAnsi="Times New Roman" w:cs="Times New Roman"/>
          <w:bCs/>
        </w:rPr>
        <w:t xml:space="preserve"> </w:t>
      </w:r>
      <w:r w:rsidR="00F9019D" w:rsidRPr="003F03F3">
        <w:rPr>
          <w:rFonts w:ascii="Times New Roman" w:eastAsia="Times New Roman" w:hAnsi="Times New Roman" w:cs="Times New Roman"/>
          <w:bCs/>
        </w:rPr>
        <w:t>Next, the supernatant was discarded and 30</w:t>
      </w:r>
      <w:r w:rsidR="00F9019D" w:rsidRPr="003F03F3">
        <w:rPr>
          <w:rFonts w:ascii="Times New Roman" w:hAnsi="Times New Roman" w:cs="Times New Roman"/>
        </w:rPr>
        <w:sym w:font="Symbol" w:char="F06D"/>
      </w:r>
      <w:r w:rsidR="00F9019D" w:rsidRPr="003F03F3">
        <w:rPr>
          <w:rFonts w:ascii="Times New Roman" w:eastAsia="Times New Roman" w:hAnsi="Times New Roman" w:cs="Times New Roman"/>
          <w:bCs/>
        </w:rPr>
        <w:t>L of 70% ethanol was added to the individual samples and centrifuged for 15 minutes at 1650g. The supernatant was then discarded and placed in a vacuum chamber for 15 minutes to ensure complete drying.</w:t>
      </w:r>
      <w:r w:rsidR="00C36B51">
        <w:rPr>
          <w:rFonts w:ascii="Times New Roman" w:eastAsia="Times New Roman" w:hAnsi="Times New Roman" w:cs="Times New Roman"/>
          <w:bCs/>
        </w:rPr>
        <w:t xml:space="preserve"> </w:t>
      </w:r>
      <w:r w:rsidR="001F3469" w:rsidRPr="003F03F3">
        <w:rPr>
          <w:rFonts w:ascii="Times New Roman" w:eastAsia="Times New Roman" w:hAnsi="Times New Roman" w:cs="Times New Roman"/>
          <w:bCs/>
        </w:rPr>
        <w:t>Once dry</w:t>
      </w:r>
      <w:r w:rsidR="00F9019D" w:rsidRPr="003F03F3">
        <w:rPr>
          <w:rFonts w:ascii="Times New Roman" w:eastAsia="Times New Roman" w:hAnsi="Times New Roman" w:cs="Times New Roman"/>
          <w:bCs/>
        </w:rPr>
        <w:t>, 10</w:t>
      </w:r>
      <w:r w:rsidR="00F9019D" w:rsidRPr="003F03F3">
        <w:rPr>
          <w:rFonts w:ascii="Times New Roman" w:hAnsi="Times New Roman" w:cs="Times New Roman"/>
        </w:rPr>
        <w:sym w:font="Symbol" w:char="F06D"/>
      </w:r>
      <w:r w:rsidR="00F9019D" w:rsidRPr="003F03F3">
        <w:rPr>
          <w:rFonts w:ascii="Times New Roman" w:eastAsia="Times New Roman" w:hAnsi="Times New Roman" w:cs="Times New Roman"/>
          <w:bCs/>
        </w:rPr>
        <w:t xml:space="preserve">l of HiDi </w:t>
      </w:r>
      <w:r w:rsidR="00F9019D" w:rsidRPr="003F03F3">
        <w:rPr>
          <w:rFonts w:ascii="Times New Roman" w:eastAsia="Times New Roman" w:hAnsi="Times New Roman" w:cs="Times New Roman"/>
          <w:bCs/>
        </w:rPr>
        <w:lastRenderedPageBreak/>
        <w:t>formamide (Applied Biosystems, Foster City, CA) was added to individual wells and loaded onto the ABI PRISM 3700 DNA Sequencer (Applied Biosystems, Foster City, CA).</w:t>
      </w:r>
    </w:p>
    <w:p w14:paraId="03F4E394" w14:textId="77777777" w:rsidR="00F9019D" w:rsidRPr="003F03F3" w:rsidRDefault="00F9019D" w:rsidP="00F9019D">
      <w:pPr>
        <w:ind w:firstLine="360"/>
        <w:rPr>
          <w:rFonts w:ascii="Times New Roman" w:eastAsia="Times New Roman" w:hAnsi="Times New Roman" w:cs="Times New Roman"/>
          <w:bCs/>
        </w:rPr>
      </w:pPr>
    </w:p>
    <w:p w14:paraId="62BAE255" w14:textId="6E75B947" w:rsidR="003A32C0" w:rsidRPr="002C17C2" w:rsidRDefault="00F9019D" w:rsidP="00F9019D">
      <w:pPr>
        <w:pStyle w:val="BodyText2"/>
        <w:spacing w:after="0" w:line="240" w:lineRule="auto"/>
        <w:ind w:right="-360"/>
        <w:rPr>
          <w:b/>
        </w:rPr>
      </w:pPr>
      <w:r w:rsidRPr="002C17C2">
        <w:rPr>
          <w:b/>
        </w:rPr>
        <w:t>Sequence</w:t>
      </w:r>
      <w:r w:rsidR="00DB4587" w:rsidRPr="002C17C2">
        <w:rPr>
          <w:b/>
        </w:rPr>
        <w:t xml:space="preserve"> </w:t>
      </w:r>
      <w:r w:rsidR="003A32C0" w:rsidRPr="002C17C2">
        <w:rPr>
          <w:b/>
        </w:rPr>
        <w:t>processing</w:t>
      </w:r>
    </w:p>
    <w:p w14:paraId="64CB576A" w14:textId="371458BC" w:rsidR="00F9019D" w:rsidRPr="003F03F3" w:rsidRDefault="00F9019D" w:rsidP="00F9019D">
      <w:pPr>
        <w:pStyle w:val="BodyText2"/>
        <w:spacing w:after="0" w:line="240" w:lineRule="auto"/>
        <w:ind w:right="-360"/>
        <w:rPr>
          <w:i/>
        </w:rPr>
      </w:pPr>
      <w:r w:rsidRPr="003F03F3">
        <w:t>All sequences were edited and assembled using CodonCode Aligner 3.5 (CodonCode Corporation, Dedham MA).</w:t>
      </w:r>
      <w:r w:rsidR="00C36B51">
        <w:t xml:space="preserve"> </w:t>
      </w:r>
      <w:r w:rsidRPr="003F03F3">
        <w:t>The ends of the sequences were clipped and remaining sites, with PHRED scores &lt;30, were visually investigated and recorded as ambiguities if not clearly classified. Sequences with less than a minimum of 300 high quality bases (PHRED score &gt;30) were removed from the assembly.</w:t>
      </w:r>
      <w:r w:rsidR="00C36B51">
        <w:t xml:space="preserve"> </w:t>
      </w:r>
      <w:r w:rsidRPr="003F03F3">
        <w:t xml:space="preserve">Edited sequences were then imported into Geneious 5.3 and assembled against the complete mitochondrial genome of </w:t>
      </w:r>
      <w:r w:rsidRPr="003F03F3">
        <w:rPr>
          <w:i/>
        </w:rPr>
        <w:t xml:space="preserve">W. bancrofti </w:t>
      </w:r>
      <w:r w:rsidRPr="003F03F3">
        <w:t>(GenBank Accession No. JF 557722) to verify that all the sequences were in identical translation frames and no stop codons were introduced.</w:t>
      </w:r>
      <w:r w:rsidR="00C36B51">
        <w:t xml:space="preserve"> </w:t>
      </w:r>
      <w:r w:rsidRPr="003F03F3">
        <w:t xml:space="preserve">After verifying that sequences were in translation frame, a correction for Taq DNA polymerase errors </w:t>
      </w:r>
      <w:r w:rsidR="00F80FB4" w:rsidRPr="003F03F3">
        <w:t xml:space="preserve">was applied to sequences within </w:t>
      </w:r>
      <w:r w:rsidRPr="003F03F3">
        <w:t>each individual sample sequence assembly.</w:t>
      </w:r>
      <w:r w:rsidR="00C36B51">
        <w:t xml:space="preserve"> </w:t>
      </w:r>
      <w:r w:rsidRPr="003F03F3">
        <w:t xml:space="preserve">Using an infinite series model </w:t>
      </w:r>
      <w:r w:rsidRPr="003F03F3">
        <w:fldChar w:fldCharType="begin" w:fldLock="1"/>
      </w:r>
      <w:r w:rsidR="00A42FA9">
        <w:instrText>ADDIN CSL_CITATION { "citationItems" : [ { "id" : "ITEM-1", "itemData" : { "author" : [ { "dropping-particle" : "", "family" : "Watterson", "given" : "GA", "non-dropping-particle" : "", "parse-names" : false, "suffix" : "" } ], "container-title" : "Theoretical Population Biology", "id" : "ITEM-1", "issued" : { "date-parts" : [ [ "1975" ] ] }, "page" : "265-276", "title" : "On the number of segregating sites in genetical models without recombination", "type" : "article-journal", "volume" : "7" }, "uris" : [ "http://www.mendeley.com/documents/?uuid=3b970987-6094-468e-b9d5-d7187e753d7b" ] } ], "mendeley" : { "previouslyFormattedCitation" : "[2]" }, "properties" : { "noteIndex" : 0 }, "schema" : "https://github.com/citation-style-language/schema/raw/master/csl-citation.json" }</w:instrText>
      </w:r>
      <w:r w:rsidRPr="003F03F3">
        <w:fldChar w:fldCharType="separate"/>
      </w:r>
      <w:r w:rsidR="008C00FC" w:rsidRPr="003F03F3">
        <w:rPr>
          <w:noProof/>
        </w:rPr>
        <w:t>[2]</w:t>
      </w:r>
      <w:r w:rsidRPr="003F03F3">
        <w:fldChar w:fldCharType="end"/>
      </w:r>
      <w:r w:rsidRPr="003F03F3">
        <w:t xml:space="preserve"> and assuming a Poisson distribution, the expected number of pairwise differences (</w:t>
      </w:r>
      <w:r w:rsidRPr="003F03F3">
        <w:rPr>
          <w:i/>
        </w:rPr>
        <w:t>π</w:t>
      </w:r>
      <w:r w:rsidRPr="003F03F3">
        <w:t>) between any two sequences can be approximated by</w:t>
      </w:r>
    </w:p>
    <w:p w14:paraId="67E5759E" w14:textId="3A12743A" w:rsidR="00F9019D" w:rsidRPr="003F03F3" w:rsidRDefault="00F9019D" w:rsidP="00F9019D">
      <w:pPr>
        <w:pStyle w:val="BodyText2"/>
        <w:spacing w:after="0" w:line="240" w:lineRule="auto"/>
        <w:ind w:right="-360" w:firstLine="360"/>
        <w:rPr>
          <w:iCs/>
        </w:rPr>
      </w:pPr>
      <m:oMathPara>
        <m:oMath>
          <m:r>
            <w:rPr>
              <w:rFonts w:ascii="Cambria Math" w:hAnsi="Cambria Math"/>
            </w:rPr>
            <m:t>π≈2n</m:t>
          </m:r>
          <m:r>
            <m:rPr>
              <m:sty m:val="p"/>
            </m:rPr>
            <w:rPr>
              <w:rFonts w:ascii="Cambria Math" w:hAnsi="Cambria Math"/>
            </w:rPr>
            <m:t>µ</m:t>
          </m:r>
          <m:r>
            <w:rPr>
              <w:rFonts w:ascii="Cambria Math" w:hAnsi="Cambria Math"/>
            </w:rPr>
            <m:t>G </m:t>
          </m:r>
          <m:f>
            <m:fPr>
              <m:type m:val="skw"/>
              <m:ctrlPr>
                <w:rPr>
                  <w:rFonts w:ascii="Cambria Math" w:hAnsi="Cambria Math"/>
                  <w:i/>
                  <w:iCs/>
                </w:rPr>
              </m:ctrlPr>
            </m:fPr>
            <m:num>
              <m:r>
                <m:rPr>
                  <m:sty m:val="p"/>
                </m:rPr>
                <w:rPr>
                  <w:rFonts w:ascii="Cambria Math" w:hAnsi="Cambria Math"/>
                  <w:lang w:val="el-GR"/>
                </w:rPr>
                <m:t>β</m:t>
              </m:r>
            </m:num>
            <m:den>
              <m:r>
                <w:rPr>
                  <w:rFonts w:ascii="Cambria Math" w:hAnsi="Cambria Math"/>
                </w:rPr>
                <m:t>1+</m:t>
              </m:r>
              <m:r>
                <m:rPr>
                  <m:sty m:val="p"/>
                </m:rPr>
                <w:rPr>
                  <w:rFonts w:ascii="Cambria Math" w:hAnsi="Cambria Math"/>
                  <w:lang w:val="el-GR"/>
                </w:rPr>
                <m:t>β</m:t>
              </m:r>
            </m:den>
          </m:f>
          <m:r>
            <w:rPr>
              <w:rFonts w:ascii="Cambria Math" w:hAnsi="Cambria Math"/>
            </w:rPr>
            <m:t xml:space="preserve"> </m:t>
          </m:r>
        </m:oMath>
      </m:oMathPara>
    </w:p>
    <w:p w14:paraId="5BF9AEEB" w14:textId="7BC92F49" w:rsidR="003F03F3" w:rsidRPr="003F03F3" w:rsidRDefault="00F9019D" w:rsidP="003F03F3">
      <w:pPr>
        <w:spacing w:after="120"/>
        <w:contextualSpacing/>
        <w:rPr>
          <w:rFonts w:ascii="Times New Roman" w:hAnsi="Times New Roman" w:cs="Times New Roman"/>
          <w:i/>
        </w:rPr>
      </w:pPr>
      <w:r w:rsidRPr="003F03F3">
        <w:rPr>
          <w:rFonts w:ascii="Times New Roman" w:hAnsi="Times New Roman" w:cs="Times New Roman"/>
          <w:iCs/>
        </w:rPr>
        <w:t xml:space="preserve">where </w:t>
      </w:r>
      <w:r w:rsidRPr="003F03F3">
        <w:rPr>
          <w:rFonts w:ascii="Times New Roman" w:hAnsi="Times New Roman" w:cs="Times New Roman"/>
          <w:i/>
          <w:iCs/>
        </w:rPr>
        <w:t>n</w:t>
      </w:r>
      <w:r w:rsidRPr="003F03F3">
        <w:rPr>
          <w:rFonts w:ascii="Times New Roman" w:hAnsi="Times New Roman" w:cs="Times New Roman"/>
          <w:iCs/>
        </w:rPr>
        <w:t xml:space="preserve"> is the number of PCR cycles, </w:t>
      </w:r>
      <w:r w:rsidRPr="003F03F3">
        <w:rPr>
          <w:rFonts w:ascii="Times New Roman" w:hAnsi="Times New Roman" w:cs="Times New Roman"/>
          <w:i/>
          <w:iCs/>
        </w:rPr>
        <w:t>µ</w:t>
      </w:r>
      <w:r w:rsidRPr="003F03F3">
        <w:rPr>
          <w:rFonts w:ascii="Times New Roman" w:hAnsi="Times New Roman" w:cs="Times New Roman"/>
          <w:iCs/>
        </w:rPr>
        <w:t xml:space="preserve"> is the </w:t>
      </w:r>
      <w:r w:rsidRPr="003F03F3">
        <w:rPr>
          <w:rFonts w:ascii="Times New Roman" w:hAnsi="Times New Roman" w:cs="Times New Roman"/>
          <w:i/>
          <w:iCs/>
        </w:rPr>
        <w:t>Taq</w:t>
      </w:r>
      <w:r w:rsidRPr="003F03F3">
        <w:rPr>
          <w:rFonts w:ascii="Times New Roman" w:hAnsi="Times New Roman" w:cs="Times New Roman"/>
          <w:iCs/>
        </w:rPr>
        <w:t xml:space="preserve"> polymerase error rate, </w:t>
      </w:r>
      <w:r w:rsidRPr="003F03F3">
        <w:rPr>
          <w:rFonts w:ascii="Times New Roman" w:hAnsi="Times New Roman" w:cs="Times New Roman"/>
          <w:i/>
          <w:iCs/>
        </w:rPr>
        <w:t>G</w:t>
      </w:r>
      <w:r w:rsidRPr="003F03F3">
        <w:rPr>
          <w:rFonts w:ascii="Times New Roman" w:hAnsi="Times New Roman" w:cs="Times New Roman"/>
          <w:iCs/>
        </w:rPr>
        <w:t xml:space="preserve"> is the length of the sequence, and </w:t>
      </w:r>
      <w:r w:rsidRPr="003F03F3">
        <w:rPr>
          <w:rFonts w:ascii="Times New Roman" w:hAnsi="Times New Roman" w:cs="Times New Roman"/>
          <w:i/>
          <w:iCs/>
        </w:rPr>
        <w:t>ß</w:t>
      </w:r>
      <w:r w:rsidRPr="003F03F3">
        <w:rPr>
          <w:rFonts w:ascii="Times New Roman" w:hAnsi="Times New Roman" w:cs="Times New Roman"/>
          <w:iCs/>
        </w:rPr>
        <w:t xml:space="preserve"> is the efficiency of </w:t>
      </w:r>
      <w:r w:rsidRPr="003F03F3">
        <w:rPr>
          <w:rFonts w:ascii="Times New Roman" w:hAnsi="Times New Roman" w:cs="Times New Roman"/>
          <w:i/>
          <w:iCs/>
        </w:rPr>
        <w:t>Taq</w:t>
      </w:r>
      <w:r w:rsidRPr="003F03F3">
        <w:rPr>
          <w:rFonts w:ascii="Times New Roman" w:hAnsi="Times New Roman" w:cs="Times New Roman"/>
          <w:iCs/>
        </w:rPr>
        <w:t xml:space="preserve"> polymerase </w:t>
      </w:r>
      <w:r w:rsidRPr="003F03F3">
        <w:rPr>
          <w:rFonts w:ascii="Times New Roman" w:hAnsi="Times New Roman" w:cs="Times New Roman"/>
          <w:iCs/>
        </w:rPr>
        <w:fldChar w:fldCharType="begin" w:fldLock="1"/>
      </w:r>
      <w:r w:rsidR="00A42FA9">
        <w:rPr>
          <w:rFonts w:ascii="Times New Roman" w:hAnsi="Times New Roman" w:cs="Times New Roman"/>
          <w:iCs/>
        </w:rPr>
        <w:instrText>ADDIN CSL_CITATION { "citationItems" : [ { "id" : "ITEM-1", "itemData" : { "author" : [ { "dropping-particle" : "", "family" : "Krawczak", "given" : "M", "non-dropping-particle" : "", "parse-names" : false, "suffix" : "" }, { "dropping-particle" : "", "family" : "Reiss", "given" : "J", "non-dropping-particle" : "", "parse-names" : false, "suffix" : "" } ], "container-title" : "Nucleic acids \u2026", "id" : "ITEM-1", "issue" : "6", "issued" : { "date-parts" : [ [ "1989" ] ] }, "page" : "2197-2201", "title" : "Polymerase chain reaction: replication errors and reliability of gene diagnosis", "type" : "article-journal", "volume" : "17" }, "uris" : [ "http://www.mendeley.com/documents/?uuid=58678e37-088c-4b2e-a1d3-ec656b991575" ] } ], "mendeley" : { "previouslyFormattedCitation" : "[3]" }, "properties" : { "noteIndex" : 0 }, "schema" : "https://github.com/citation-style-language/schema/raw/master/csl-citation.json" }</w:instrText>
      </w:r>
      <w:r w:rsidRPr="003F03F3">
        <w:rPr>
          <w:rFonts w:ascii="Times New Roman" w:hAnsi="Times New Roman" w:cs="Times New Roman"/>
          <w:iCs/>
        </w:rPr>
        <w:fldChar w:fldCharType="separate"/>
      </w:r>
      <w:r w:rsidR="008C00FC" w:rsidRPr="003F03F3">
        <w:rPr>
          <w:rFonts w:ascii="Times New Roman" w:hAnsi="Times New Roman" w:cs="Times New Roman"/>
          <w:iCs/>
          <w:noProof/>
        </w:rPr>
        <w:t>[3]</w:t>
      </w:r>
      <w:r w:rsidRPr="003F03F3">
        <w:rPr>
          <w:rFonts w:ascii="Times New Roman" w:hAnsi="Times New Roman" w:cs="Times New Roman"/>
          <w:iCs/>
        </w:rPr>
        <w:fldChar w:fldCharType="end"/>
      </w:r>
      <w:r w:rsidRPr="003F03F3">
        <w:rPr>
          <w:rFonts w:ascii="Times New Roman" w:hAnsi="Times New Roman" w:cs="Times New Roman"/>
          <w:iCs/>
        </w:rPr>
        <w:t>. Using</w:t>
      </w:r>
      <w:r w:rsidRPr="003F03F3">
        <w:rPr>
          <w:rFonts w:ascii="Times New Roman" w:hAnsi="Times New Roman" w:cs="Times New Roman"/>
        </w:rPr>
        <w:t xml:space="preserve"> the above equation, </w:t>
      </w:r>
      <w:r w:rsidR="00845CC6" w:rsidRPr="003F03F3">
        <w:rPr>
          <w:rFonts w:ascii="Times New Roman" w:hAnsi="Times New Roman" w:cs="Times New Roman"/>
        </w:rPr>
        <w:t xml:space="preserve">the </w:t>
      </w:r>
      <w:r w:rsidR="00F80FB4" w:rsidRPr="003F03F3">
        <w:rPr>
          <w:rFonts w:ascii="Times New Roman" w:hAnsi="Times New Roman" w:cs="Times New Roman"/>
        </w:rPr>
        <w:t>expected number of pairwise differences</w:t>
      </w:r>
      <w:r w:rsidR="008C380D" w:rsidRPr="003F03F3">
        <w:rPr>
          <w:rFonts w:ascii="Times New Roman" w:hAnsi="Times New Roman" w:cs="Times New Roman"/>
        </w:rPr>
        <w:t xml:space="preserve"> due to </w:t>
      </w:r>
      <w:r w:rsidR="008C380D" w:rsidRPr="003F03F3">
        <w:rPr>
          <w:rFonts w:ascii="Times New Roman" w:hAnsi="Times New Roman" w:cs="Times New Roman"/>
          <w:i/>
        </w:rPr>
        <w:t>Taq</w:t>
      </w:r>
      <w:r w:rsidR="008C380D" w:rsidRPr="003F03F3">
        <w:rPr>
          <w:rFonts w:ascii="Times New Roman" w:hAnsi="Times New Roman" w:cs="Times New Roman"/>
        </w:rPr>
        <w:t xml:space="preserve"> error alone was 1.67.</w:t>
      </w:r>
      <w:r w:rsidR="00C36B51">
        <w:rPr>
          <w:rFonts w:ascii="Times New Roman" w:hAnsi="Times New Roman" w:cs="Times New Roman"/>
        </w:rPr>
        <w:t xml:space="preserve"> </w:t>
      </w:r>
      <w:r w:rsidR="008C380D" w:rsidRPr="003F03F3">
        <w:rPr>
          <w:rFonts w:ascii="Times New Roman" w:hAnsi="Times New Roman" w:cs="Times New Roman"/>
        </w:rPr>
        <w:t xml:space="preserve">Therefore, </w:t>
      </w:r>
      <w:r w:rsidRPr="003F03F3">
        <w:rPr>
          <w:rFonts w:ascii="Times New Roman" w:hAnsi="Times New Roman" w:cs="Times New Roman"/>
        </w:rPr>
        <w:t>polymorphisms that occurred le</w:t>
      </w:r>
      <w:r w:rsidR="008C380D" w:rsidRPr="003F03F3">
        <w:rPr>
          <w:rFonts w:ascii="Times New Roman" w:hAnsi="Times New Roman" w:cs="Times New Roman"/>
        </w:rPr>
        <w:t xml:space="preserve">ss than twice in the infrapopulation </w:t>
      </w:r>
      <w:r w:rsidRPr="003F03F3">
        <w:rPr>
          <w:rFonts w:ascii="Times New Roman" w:hAnsi="Times New Roman" w:cs="Times New Roman"/>
        </w:rPr>
        <w:t xml:space="preserve">sequence assemblies were treated as </w:t>
      </w:r>
      <w:r w:rsidRPr="003F03F3">
        <w:rPr>
          <w:rFonts w:ascii="Times New Roman" w:hAnsi="Times New Roman" w:cs="Times New Roman"/>
          <w:i/>
        </w:rPr>
        <w:t xml:space="preserve">Taq </w:t>
      </w:r>
      <w:r w:rsidR="00F80FB4" w:rsidRPr="003F03F3">
        <w:rPr>
          <w:rFonts w:ascii="Times New Roman" w:hAnsi="Times New Roman" w:cs="Times New Roman"/>
        </w:rPr>
        <w:t xml:space="preserve">DNA polymerase errors and </w:t>
      </w:r>
      <w:r w:rsidRPr="003F03F3">
        <w:rPr>
          <w:rFonts w:ascii="Times New Roman" w:hAnsi="Times New Roman" w:cs="Times New Roman"/>
        </w:rPr>
        <w:t>modified to</w:t>
      </w:r>
      <w:r w:rsidR="00055228" w:rsidRPr="003F03F3">
        <w:rPr>
          <w:rFonts w:ascii="Times New Roman" w:hAnsi="Times New Roman" w:cs="Times New Roman"/>
        </w:rPr>
        <w:t xml:space="preserve"> match the consensus sequence.</w:t>
      </w:r>
      <w:r w:rsidR="00C36B51">
        <w:rPr>
          <w:rFonts w:ascii="Times New Roman" w:hAnsi="Times New Roman" w:cs="Times New Roman"/>
        </w:rPr>
        <w:t xml:space="preserve"> </w:t>
      </w:r>
      <w:r w:rsidR="00055228" w:rsidRPr="003F03F3">
        <w:rPr>
          <w:rFonts w:ascii="Times New Roman" w:hAnsi="Times New Roman" w:cs="Times New Roman"/>
        </w:rPr>
        <w:t>An independent validation using a single L3 stage larvae with 30 sampled sequences, verified that 86% of sequences had 0 errors while 14% had at least 1 error.</w:t>
      </w:r>
      <w:r w:rsidR="003F03F3" w:rsidRPr="003F03F3">
        <w:rPr>
          <w:rFonts w:ascii="Times New Roman" w:hAnsi="Times New Roman" w:cs="Times New Roman"/>
        </w:rPr>
        <w:t xml:space="preserve"> Post-correction, our L3</w:t>
      </w:r>
      <w:r w:rsidR="009316ED">
        <w:rPr>
          <w:rFonts w:ascii="Times New Roman" w:hAnsi="Times New Roman" w:cs="Times New Roman"/>
        </w:rPr>
        <w:t xml:space="preserve"> sequences yielded a single </w:t>
      </w:r>
      <w:r w:rsidR="003F03F3" w:rsidRPr="003F03F3">
        <w:rPr>
          <w:rFonts w:ascii="Times New Roman" w:hAnsi="Times New Roman" w:cs="Times New Roman"/>
        </w:rPr>
        <w:t>haplotype</w:t>
      </w:r>
      <w:r w:rsidR="003F03F3" w:rsidRPr="003F03F3">
        <w:rPr>
          <w:rFonts w:ascii="Times New Roman" w:hAnsi="Times New Roman" w:cs="Times New Roman"/>
          <w:i/>
        </w:rPr>
        <w:t xml:space="preserve">. </w:t>
      </w:r>
    </w:p>
    <w:p w14:paraId="5F5A9BA1" w14:textId="3C8E0F21" w:rsidR="008C380D" w:rsidRPr="003F03F3" w:rsidRDefault="00F9019D" w:rsidP="003F03F3">
      <w:pPr>
        <w:spacing w:after="120"/>
        <w:contextualSpacing/>
        <w:rPr>
          <w:rFonts w:ascii="Times New Roman" w:hAnsi="Times New Roman" w:cs="Times New Roman"/>
        </w:rPr>
      </w:pPr>
      <w:r w:rsidRPr="003F03F3">
        <w:rPr>
          <w:rFonts w:ascii="Times New Roman" w:hAnsi="Times New Roman" w:cs="Times New Roman"/>
        </w:rPr>
        <w:t xml:space="preserve">After correcting polymerase errors, UCHIME, a chimera detection program, was used to detect PCR based recombinant molecules </w:t>
      </w:r>
      <w:r w:rsidRPr="003F03F3">
        <w:rPr>
          <w:rFonts w:ascii="Times New Roman" w:hAnsi="Times New Roman" w:cs="Times New Roman"/>
        </w:rPr>
        <w:fldChar w:fldCharType="begin" w:fldLock="1"/>
      </w:r>
      <w:r w:rsidR="00A42FA9">
        <w:rPr>
          <w:rFonts w:ascii="Times New Roman" w:hAnsi="Times New Roman" w:cs="Times New Roman"/>
        </w:rPr>
        <w:instrText>ADDIN CSL_CITATION { "citationItems" : [ { "id" : "ITEM-1", "itemData" : { "DOI" : "10.1093/bioinformatics/btr381", "abstract" : "Chimeric DNA sequences often form during polymerase chain reaction amplification, especially when sequencing single regions (e.g. 16S rRNA or fungal Internal Transcribed Spacer) to assess diversity or compare populations. Undetected chimeras may be misinterpreted as novel species, causing inflated estimates of diversity and spurious inferences of differences between populations. Detection and removal of chimeras is therefore of critical importance in such experiments.", "author" : [ { "dropping-particle" : "", "family" : "Edgar", "given" : "RC", "non-dropping-particle" : "", "parse-names" : false, "suffix" : "" }, { "dropping-particle" : "", "family" : "Haas", "given" : "BJ", "non-dropping-particle" : "", "parse-names" : false, "suffix" : "" }, { "dropping-particle" : "", "family" : "Clemente", "given" : "JC", "non-dropping-particle" : "", "parse-names" : false, "suffix" : "" } ], "container-title" : "\u2026", "id" : "ITEM-1", "issue" : "16", "issued" : { "date-parts" : [ [ "2011", "8" ] ] }, "page" : "2194-200", "title" : "UCHIME improves sensitivity and speed of chimera detection", "type" : "article-journal", "volume" : "27" }, "uris" : [ "http://www.mendeley.com/documents/?uuid=54d91f12-71ec-4092-84d3-93cef80e9f6c", "http://www.mendeley.com/documents/?uuid=1627d2d4-7907-40fe-bffc-57ab8d0cb3d0" ] } ], "mendeley" : { "previouslyFormattedCitation" : "[4]" }, "properties" : { "noteIndex" : 0 }, "schema" : "https://github.com/citation-style-language/schema/raw/master/csl-citation.json" }</w:instrText>
      </w:r>
      <w:r w:rsidRPr="003F03F3">
        <w:rPr>
          <w:rFonts w:ascii="Times New Roman" w:hAnsi="Times New Roman" w:cs="Times New Roman"/>
        </w:rPr>
        <w:fldChar w:fldCharType="separate"/>
      </w:r>
      <w:r w:rsidR="008C00FC" w:rsidRPr="003F03F3">
        <w:rPr>
          <w:rFonts w:ascii="Times New Roman" w:hAnsi="Times New Roman" w:cs="Times New Roman"/>
          <w:noProof/>
        </w:rPr>
        <w:t>[4]</w:t>
      </w:r>
      <w:r w:rsidRPr="003F03F3">
        <w:rPr>
          <w:rFonts w:ascii="Times New Roman" w:hAnsi="Times New Roman" w:cs="Times New Roman"/>
        </w:rPr>
        <w:fldChar w:fldCharType="end"/>
      </w:r>
      <w:r w:rsidRPr="003F03F3">
        <w:rPr>
          <w:rFonts w:ascii="Times New Roman" w:hAnsi="Times New Roman" w:cs="Times New Roman"/>
        </w:rPr>
        <w:t xml:space="preserve">. </w:t>
      </w:r>
      <w:r w:rsidR="00B74BE7" w:rsidRPr="003F03F3">
        <w:rPr>
          <w:rFonts w:ascii="Times New Roman" w:hAnsi="Times New Roman" w:cs="Times New Roman"/>
        </w:rPr>
        <w:t xml:space="preserve">The UCHIME algorithm divides the input sequences into four non-overlapping sequences (chunks) and builds a reference database based on the consensus sequence. The algorithm then matches these chunks to the reference database and selects two of the best matches to generate a three-way multiple alignment. Based on the percent identity of the alignment, a score is assigned and a chimeric molecule is reported if the score exceeds a pre-determined threshold </w:t>
      </w:r>
      <w:r w:rsidR="00B74BE7" w:rsidRPr="003F03F3">
        <w:rPr>
          <w:rFonts w:ascii="Times New Roman" w:hAnsi="Times New Roman" w:cs="Times New Roman"/>
        </w:rPr>
        <w:fldChar w:fldCharType="begin" w:fldLock="1"/>
      </w:r>
      <w:r w:rsidR="00A42FA9">
        <w:rPr>
          <w:rFonts w:ascii="Times New Roman" w:hAnsi="Times New Roman" w:cs="Times New Roman"/>
        </w:rPr>
        <w:instrText>ADDIN CSL_CITATION { "citationItems" : [ { "id" : "ITEM-1", "itemData" : { "DOI" : "10.1093/bioinformatics/btr381", "abstract" : "Chimeric DNA sequences often form during polymerase chain reaction amplification, especially when sequencing single regions (e.g. 16S rRNA or fungal Internal Transcribed Spacer) to assess diversity or compare populations. Undetected chimeras may be misinterpreted as novel species, causing inflated estimates of diversity and spurious inferences of differences between populations. Detection and removal of chimeras is therefore of critical importance in such experiments.", "author" : [ { "dropping-particle" : "", "family" : "Edgar", "given" : "RC", "non-dropping-particle" : "", "parse-names" : false, "suffix" : "" }, { "dropping-particle" : "", "family" : "Haas", "given" : "BJ", "non-dropping-particle" : "", "parse-names" : false, "suffix" : "" }, { "dropping-particle" : "", "family" : "Clemente", "given" : "JC", "non-dropping-particle" : "", "parse-names" : false, "suffix" : "" } ], "container-title" : "\u2026", "id" : "ITEM-1", "issue" : "16", "issued" : { "date-parts" : [ [ "2011", "8" ] ] }, "page" : "2194-200", "title" : "UCHIME improves sensitivity and speed of chimera detection", "type" : "article-journal", "volume" : "27" }, "uris" : [ "http://www.mendeley.com/documents/?uuid=1627d2d4-7907-40fe-bffc-57ab8d0cb3d0", "http://www.mendeley.com/documents/?uuid=54d91f12-71ec-4092-84d3-93cef80e9f6c" ] } ], "mendeley" : { "previouslyFormattedCitation" : "[4]" }, "properties" : { "noteIndex" : 0 }, "schema" : "https://github.com/citation-style-language/schema/raw/master/csl-citation.json" }</w:instrText>
      </w:r>
      <w:r w:rsidR="00B74BE7" w:rsidRPr="003F03F3">
        <w:rPr>
          <w:rFonts w:ascii="Times New Roman" w:hAnsi="Times New Roman" w:cs="Times New Roman"/>
        </w:rPr>
        <w:fldChar w:fldCharType="separate"/>
      </w:r>
      <w:r w:rsidR="008C00FC" w:rsidRPr="003F03F3">
        <w:rPr>
          <w:rFonts w:ascii="Times New Roman" w:hAnsi="Times New Roman" w:cs="Times New Roman"/>
          <w:noProof/>
        </w:rPr>
        <w:t>[4]</w:t>
      </w:r>
      <w:r w:rsidR="00B74BE7" w:rsidRPr="003F03F3">
        <w:rPr>
          <w:rFonts w:ascii="Times New Roman" w:hAnsi="Times New Roman" w:cs="Times New Roman"/>
        </w:rPr>
        <w:fldChar w:fldCharType="end"/>
      </w:r>
      <w:r w:rsidR="00B74BE7" w:rsidRPr="003F03F3">
        <w:rPr>
          <w:rFonts w:ascii="Times New Roman" w:hAnsi="Times New Roman" w:cs="Times New Roman"/>
        </w:rPr>
        <w:t>.</w:t>
      </w:r>
      <w:r w:rsidR="00C36B51">
        <w:rPr>
          <w:rFonts w:ascii="Times New Roman" w:hAnsi="Times New Roman" w:cs="Times New Roman"/>
        </w:rPr>
        <w:t xml:space="preserve"> </w:t>
      </w:r>
      <w:r w:rsidRPr="003F03F3">
        <w:rPr>
          <w:rFonts w:ascii="Times New Roman" w:hAnsi="Times New Roman" w:cs="Times New Roman"/>
        </w:rPr>
        <w:t>Sequences reported as chimeric were subsequently removed before further analysis.</w:t>
      </w:r>
    </w:p>
    <w:p w14:paraId="60A01068" w14:textId="77777777" w:rsidR="00B74BE7" w:rsidRPr="003F03F3" w:rsidRDefault="00B74BE7" w:rsidP="00B74BE7">
      <w:pPr>
        <w:pStyle w:val="BodyText2"/>
        <w:spacing w:after="0" w:line="240" w:lineRule="auto"/>
        <w:ind w:right="-360"/>
      </w:pPr>
    </w:p>
    <w:p w14:paraId="354CBFCB" w14:textId="65ED4C79" w:rsidR="00A872FE" w:rsidRPr="003F03F3" w:rsidRDefault="003A32C0" w:rsidP="00855888">
      <w:pPr>
        <w:spacing w:after="120"/>
        <w:rPr>
          <w:rFonts w:ascii="Times New Roman" w:hAnsi="Times New Roman" w:cs="Times New Roman"/>
          <w:i/>
        </w:rPr>
      </w:pPr>
      <w:r w:rsidRPr="002C17C2">
        <w:rPr>
          <w:rFonts w:ascii="Times New Roman" w:hAnsi="Times New Roman" w:cs="Times New Roman"/>
          <w:b/>
        </w:rPr>
        <w:t xml:space="preserve">Multiple </w:t>
      </w:r>
      <w:r w:rsidR="008049CC">
        <w:rPr>
          <w:rFonts w:ascii="Times New Roman" w:hAnsi="Times New Roman" w:cs="Times New Roman"/>
          <w:b/>
        </w:rPr>
        <w:t>l</w:t>
      </w:r>
      <w:r w:rsidRPr="002C17C2">
        <w:rPr>
          <w:rFonts w:ascii="Times New Roman" w:hAnsi="Times New Roman" w:cs="Times New Roman"/>
          <w:b/>
        </w:rPr>
        <w:t xml:space="preserve">inear </w:t>
      </w:r>
      <w:r w:rsidR="008049CC">
        <w:rPr>
          <w:rFonts w:ascii="Times New Roman" w:hAnsi="Times New Roman" w:cs="Times New Roman"/>
          <w:b/>
        </w:rPr>
        <w:t>r</w:t>
      </w:r>
      <w:r w:rsidRPr="002C17C2">
        <w:rPr>
          <w:rFonts w:ascii="Times New Roman" w:hAnsi="Times New Roman" w:cs="Times New Roman"/>
          <w:b/>
        </w:rPr>
        <w:t xml:space="preserve">egression and </w:t>
      </w:r>
      <w:r w:rsidR="008049CC">
        <w:rPr>
          <w:rFonts w:ascii="Times New Roman" w:hAnsi="Times New Roman" w:cs="Times New Roman"/>
          <w:b/>
        </w:rPr>
        <w:t>p</w:t>
      </w:r>
      <w:bookmarkStart w:id="0" w:name="_GoBack"/>
      <w:bookmarkEnd w:id="0"/>
      <w:r w:rsidR="00A872FE" w:rsidRPr="002C17C2">
        <w:rPr>
          <w:rFonts w:ascii="Times New Roman" w:hAnsi="Times New Roman" w:cs="Times New Roman"/>
          <w:b/>
        </w:rPr>
        <w:t>redicting number of strains</w:t>
      </w:r>
      <w:r w:rsidR="00855888" w:rsidRPr="003F03F3">
        <w:rPr>
          <w:rFonts w:ascii="Times New Roman" w:hAnsi="Times New Roman" w:cs="Times New Roman"/>
          <w:i/>
        </w:rPr>
        <w:br/>
      </w:r>
      <w:r w:rsidR="00A872FE" w:rsidRPr="003F03F3">
        <w:rPr>
          <w:rFonts w:ascii="Times New Roman" w:hAnsi="Times New Roman" w:cs="Times New Roman"/>
        </w:rPr>
        <w:t>The number of Wb strains in a host was best defined by parasitemia and the number of sequences collected (AIC= 55.14, R</w:t>
      </w:r>
      <w:r w:rsidR="00A872FE" w:rsidRPr="003F03F3">
        <w:rPr>
          <w:rFonts w:ascii="Times New Roman" w:hAnsi="Times New Roman" w:cs="Times New Roman"/>
          <w:vertAlign w:val="superscript"/>
        </w:rPr>
        <w:t>2</w:t>
      </w:r>
      <w:r w:rsidR="00A872FE" w:rsidRPr="003F03F3">
        <w:rPr>
          <w:rFonts w:ascii="Times New Roman" w:hAnsi="Times New Roman" w:cs="Times New Roman"/>
        </w:rPr>
        <w:t>=0.775, p&lt;0.001).</w:t>
      </w:r>
      <w:r w:rsidR="00C36B51">
        <w:rPr>
          <w:rFonts w:ascii="Times New Roman" w:hAnsi="Times New Roman" w:cs="Times New Roman"/>
        </w:rPr>
        <w:t xml:space="preserve"> </w:t>
      </w:r>
      <w:r w:rsidR="00A872FE" w:rsidRPr="003F03F3">
        <w:rPr>
          <w:rFonts w:ascii="Times New Roman" w:hAnsi="Times New Roman" w:cs="Times New Roman"/>
        </w:rPr>
        <w:t xml:space="preserve">A test for outlying data points given by Cook’s distance </w:t>
      </w:r>
      <w:r w:rsidR="00A872FE" w:rsidRPr="003F03F3">
        <w:rPr>
          <w:rFonts w:ascii="Times New Roman" w:hAnsi="Times New Roman" w:cs="Times New Roman"/>
        </w:rPr>
        <w:fldChar w:fldCharType="begin" w:fldLock="1"/>
      </w:r>
      <w:r w:rsidR="00A42FA9">
        <w:rPr>
          <w:rFonts w:ascii="Times New Roman" w:hAnsi="Times New Roman" w:cs="Times New Roman"/>
        </w:rPr>
        <w:instrText>ADDIN CSL_CITATION { "citationItems" : [ { "id" : "ITEM-1", "itemData" : { "author" : [ { "dropping-particle" : "", "family" : "Cook", "given" : "R. Dennis", "non-dropping-particle" : "", "parse-names" : false, "suffix" : "" }, { "dropping-particle" : "", "family" : "Sanford", "given" : "Weisberg", "non-dropping-particle" : "", "parse-names" : false, "suffix" : "" } ], "id" : "ITEM-1", "issued" : { "date-parts" : [ [ "1982" ] ] }, "publisher" : "Chapman &amp; Hall", "publisher-place" : "New York, NY", "title" : "Residuals and influence in regression", "type" : "book" }, "uris" : [ "http://www.mendeley.com/documents/?uuid=a290a14f-6a04-45e3-bfc7-cf8acf0a5536" ] } ], "mendeley" : { "previouslyFormattedCitation" : "[5]" }, "properties" : { "noteIndex" : 0 }, "schema" : "https://github.com/citation-style-language/schema/raw/master/csl-citation.json" }</w:instrText>
      </w:r>
      <w:r w:rsidR="00A872FE" w:rsidRPr="003F03F3">
        <w:rPr>
          <w:rFonts w:ascii="Times New Roman" w:hAnsi="Times New Roman" w:cs="Times New Roman"/>
        </w:rPr>
        <w:fldChar w:fldCharType="separate"/>
      </w:r>
      <w:r w:rsidR="008C00FC" w:rsidRPr="003F03F3">
        <w:rPr>
          <w:rFonts w:ascii="Times New Roman" w:hAnsi="Times New Roman" w:cs="Times New Roman"/>
          <w:noProof/>
        </w:rPr>
        <w:t>[5]</w:t>
      </w:r>
      <w:r w:rsidR="00A872FE" w:rsidRPr="003F03F3">
        <w:rPr>
          <w:rFonts w:ascii="Times New Roman" w:hAnsi="Times New Roman" w:cs="Times New Roman"/>
        </w:rPr>
        <w:fldChar w:fldCharType="end"/>
      </w:r>
      <w:r w:rsidR="00A872FE" w:rsidRPr="003F03F3">
        <w:rPr>
          <w:rFonts w:ascii="Times New Roman" w:hAnsi="Times New Roman" w:cs="Times New Roman"/>
        </w:rPr>
        <w:t xml:space="preserve"> revealed that removing sample T</w:t>
      </w:r>
      <w:r w:rsidR="008A37D7" w:rsidRPr="003F03F3">
        <w:rPr>
          <w:rFonts w:ascii="Times New Roman" w:hAnsi="Times New Roman" w:cs="Times New Roman"/>
        </w:rPr>
        <w:t>0</w:t>
      </w:r>
      <w:r w:rsidR="00A872FE" w:rsidRPr="003F03F3">
        <w:rPr>
          <w:rFonts w:ascii="Times New Roman" w:hAnsi="Times New Roman" w:cs="Times New Roman"/>
        </w:rPr>
        <w:t>388</w:t>
      </w:r>
      <w:r w:rsidR="008A37D7" w:rsidRPr="003F03F3">
        <w:rPr>
          <w:rFonts w:ascii="Times New Roman" w:hAnsi="Times New Roman" w:cs="Times New Roman"/>
        </w:rPr>
        <w:t>A1</w:t>
      </w:r>
      <w:r w:rsidR="00A872FE" w:rsidRPr="003F03F3">
        <w:rPr>
          <w:rFonts w:ascii="Times New Roman" w:hAnsi="Times New Roman" w:cs="Times New Roman"/>
        </w:rPr>
        <w:t xml:space="preserve"> would improve the fit of the regression</w:t>
      </w:r>
      <w:r w:rsidR="001F3469" w:rsidRPr="003F03F3">
        <w:rPr>
          <w:rFonts w:ascii="Times New Roman" w:hAnsi="Times New Roman" w:cs="Times New Roman"/>
        </w:rPr>
        <w:t>;</w:t>
      </w:r>
      <w:r w:rsidR="00A872FE" w:rsidRPr="003F03F3">
        <w:rPr>
          <w:rFonts w:ascii="Times New Roman" w:hAnsi="Times New Roman" w:cs="Times New Roman"/>
        </w:rPr>
        <w:t xml:space="preserve"> removal of T</w:t>
      </w:r>
      <w:r w:rsidR="008A37D7" w:rsidRPr="003F03F3">
        <w:rPr>
          <w:rFonts w:ascii="Times New Roman" w:hAnsi="Times New Roman" w:cs="Times New Roman"/>
        </w:rPr>
        <w:t>0</w:t>
      </w:r>
      <w:r w:rsidR="00A872FE" w:rsidRPr="003F03F3">
        <w:rPr>
          <w:rFonts w:ascii="Times New Roman" w:hAnsi="Times New Roman" w:cs="Times New Roman"/>
        </w:rPr>
        <w:t>388</w:t>
      </w:r>
      <w:r w:rsidR="008A37D7" w:rsidRPr="003F03F3">
        <w:rPr>
          <w:rFonts w:ascii="Times New Roman" w:hAnsi="Times New Roman" w:cs="Times New Roman"/>
        </w:rPr>
        <w:t>A1</w:t>
      </w:r>
      <w:r w:rsidR="00A872FE" w:rsidRPr="003F03F3">
        <w:rPr>
          <w:rFonts w:ascii="Times New Roman" w:hAnsi="Times New Roman" w:cs="Times New Roman"/>
        </w:rPr>
        <w:t xml:space="preserve"> improved the fit of the model (AIC=37.74, R</w:t>
      </w:r>
      <w:r w:rsidR="00A872FE" w:rsidRPr="003F03F3">
        <w:rPr>
          <w:rFonts w:ascii="Times New Roman" w:hAnsi="Times New Roman" w:cs="Times New Roman"/>
        </w:rPr>
        <w:softHyphen/>
      </w:r>
      <w:r w:rsidR="00A872FE" w:rsidRPr="003F03F3">
        <w:rPr>
          <w:rFonts w:ascii="Times New Roman" w:hAnsi="Times New Roman" w:cs="Times New Roman"/>
          <w:vertAlign w:val="superscript"/>
        </w:rPr>
        <w:t>2</w:t>
      </w:r>
      <w:r w:rsidR="00A872FE" w:rsidRPr="003F03F3">
        <w:rPr>
          <w:rFonts w:ascii="Times New Roman" w:hAnsi="Times New Roman" w:cs="Times New Roman"/>
        </w:rPr>
        <w:t>=0.91, p-&lt;0.001).</w:t>
      </w:r>
      <w:r w:rsidR="00C36B51">
        <w:rPr>
          <w:rFonts w:ascii="Times New Roman" w:hAnsi="Times New Roman" w:cs="Times New Roman"/>
        </w:rPr>
        <w:t xml:space="preserve"> </w:t>
      </w:r>
      <w:r w:rsidR="00A872FE" w:rsidRPr="003F03F3">
        <w:rPr>
          <w:rFonts w:ascii="Times New Roman" w:hAnsi="Times New Roman" w:cs="Times New Roman"/>
        </w:rPr>
        <w:t>The new data set included host village and transmission rate as predictive factors.</w:t>
      </w:r>
      <w:r w:rsidR="00C36B51">
        <w:rPr>
          <w:rFonts w:ascii="Times New Roman" w:hAnsi="Times New Roman" w:cs="Times New Roman"/>
        </w:rPr>
        <w:t xml:space="preserve"> </w:t>
      </w:r>
      <w:r w:rsidR="00A872FE" w:rsidRPr="003F03F3">
        <w:rPr>
          <w:rFonts w:ascii="Times New Roman" w:hAnsi="Times New Roman" w:cs="Times New Roman"/>
        </w:rPr>
        <w:t xml:space="preserve">However a test for multicollinearity revealed that these were highly correlated, so only host village was included. Including the age of host in the model did not improve the overall fit to the new data set. </w:t>
      </w:r>
    </w:p>
    <w:p w14:paraId="6A8C2695" w14:textId="2B5C04B6" w:rsidR="00A872FE" w:rsidRPr="003F03F3" w:rsidRDefault="00A872FE" w:rsidP="00A872FE">
      <w:pPr>
        <w:rPr>
          <w:rFonts w:ascii="Times New Roman" w:hAnsi="Times New Roman" w:cs="Times New Roman"/>
          <w:i/>
        </w:rPr>
      </w:pPr>
      <w:r w:rsidRPr="003F03F3">
        <w:rPr>
          <w:rFonts w:ascii="Times New Roman" w:hAnsi="Times New Roman" w:cs="Times New Roman"/>
        </w:rPr>
        <w:t>An analysis of variance (ANOVA) was performed to measure the effect of each variable on the number of strains.</w:t>
      </w:r>
      <w:r w:rsidR="00C36B51">
        <w:rPr>
          <w:rFonts w:ascii="Times New Roman" w:hAnsi="Times New Roman" w:cs="Times New Roman"/>
        </w:rPr>
        <w:t xml:space="preserve"> </w:t>
      </w:r>
      <w:r w:rsidRPr="003F03F3">
        <w:rPr>
          <w:rFonts w:ascii="Times New Roman" w:hAnsi="Times New Roman" w:cs="Times New Roman"/>
        </w:rPr>
        <w:t>Only parasitemia (p-value=0.038) and the number of sequences (p &lt;0.001) were found to contribute to the variance.</w:t>
      </w:r>
      <w:r w:rsidR="00C36B51">
        <w:rPr>
          <w:rFonts w:ascii="Times New Roman" w:hAnsi="Times New Roman" w:cs="Times New Roman"/>
        </w:rPr>
        <w:t xml:space="preserve"> </w:t>
      </w:r>
      <w:r w:rsidRPr="003F03F3">
        <w:rPr>
          <w:rFonts w:ascii="Times New Roman" w:hAnsi="Times New Roman" w:cs="Times New Roman"/>
        </w:rPr>
        <w:t>Host village was not a factor (p = 0.219), however a fixed effects model attributed a small amount of variance to the host village of Peneng (p &lt; 0.05).</w:t>
      </w:r>
      <w:r w:rsidR="00C36B51">
        <w:rPr>
          <w:rFonts w:ascii="Times New Roman" w:hAnsi="Times New Roman" w:cs="Times New Roman"/>
        </w:rPr>
        <w:t xml:space="preserve"> </w:t>
      </w:r>
      <w:r w:rsidRPr="003F03F3">
        <w:rPr>
          <w:rFonts w:ascii="Times New Roman" w:hAnsi="Times New Roman" w:cs="Times New Roman"/>
        </w:rPr>
        <w:t xml:space="preserve">The number of strains was negatively correlated with parasitemia (as MF density) (Pearson correlation r= -0.22, p=0.04132), while the number of strains was positively </w:t>
      </w:r>
      <w:r w:rsidR="001F3469" w:rsidRPr="003F03F3">
        <w:rPr>
          <w:rFonts w:ascii="Times New Roman" w:hAnsi="Times New Roman" w:cs="Times New Roman"/>
        </w:rPr>
        <w:t xml:space="preserve">correlated </w:t>
      </w:r>
      <w:r w:rsidRPr="003F03F3">
        <w:rPr>
          <w:rFonts w:ascii="Times New Roman" w:hAnsi="Times New Roman" w:cs="Times New Roman"/>
        </w:rPr>
        <w:t>with the number of sequences (Pearson correlation r=0.8786, p&lt;0.001) (Figures S1 &amp; S2).</w:t>
      </w:r>
      <w:r w:rsidR="00C36B51">
        <w:rPr>
          <w:rFonts w:ascii="Times New Roman" w:hAnsi="Times New Roman" w:cs="Times New Roman"/>
        </w:rPr>
        <w:t xml:space="preserve"> </w:t>
      </w:r>
      <w:r w:rsidRPr="003F03F3">
        <w:rPr>
          <w:rFonts w:ascii="Times New Roman" w:hAnsi="Times New Roman" w:cs="Times New Roman"/>
        </w:rPr>
        <w:t xml:space="preserve">The data did not violate any of the assumptions of linear models. </w:t>
      </w:r>
    </w:p>
    <w:p w14:paraId="3C385002" w14:textId="77777777" w:rsidR="00B74BE7" w:rsidRPr="003F03F3" w:rsidRDefault="00B74BE7" w:rsidP="00A872FE">
      <w:pPr>
        <w:rPr>
          <w:rFonts w:ascii="Times New Roman" w:hAnsi="Times New Roman" w:cs="Times New Roman"/>
        </w:rPr>
      </w:pPr>
    </w:p>
    <w:p w14:paraId="0CF9C487" w14:textId="6DC144DB" w:rsidR="00C4202E" w:rsidRPr="002C17C2" w:rsidRDefault="001673D5" w:rsidP="00A872FE">
      <w:pPr>
        <w:rPr>
          <w:rFonts w:ascii="Times New Roman" w:hAnsi="Times New Roman" w:cs="Times New Roman"/>
          <w:b/>
        </w:rPr>
      </w:pPr>
      <w:r w:rsidRPr="002C17C2">
        <w:rPr>
          <w:rFonts w:ascii="Times New Roman" w:hAnsi="Times New Roman" w:cs="Times New Roman"/>
          <w:b/>
        </w:rPr>
        <w:t xml:space="preserve">Population saturation </w:t>
      </w:r>
      <w:r w:rsidR="00E01401" w:rsidRPr="002C17C2">
        <w:rPr>
          <w:rFonts w:ascii="Times New Roman" w:hAnsi="Times New Roman" w:cs="Times New Roman"/>
          <w:b/>
        </w:rPr>
        <w:t>and sampling</w:t>
      </w:r>
    </w:p>
    <w:p w14:paraId="35FBA30D" w14:textId="216E4342" w:rsidR="00D207F5" w:rsidRPr="003F03F3" w:rsidRDefault="007A15AD" w:rsidP="00C4202E">
      <w:pPr>
        <w:rPr>
          <w:rFonts w:ascii="Times New Roman" w:hAnsi="Times New Roman" w:cs="Times New Roman"/>
        </w:rPr>
      </w:pPr>
      <w:r w:rsidRPr="003F03F3">
        <w:rPr>
          <w:rFonts w:ascii="Times New Roman" w:hAnsi="Times New Roman" w:cs="Times New Roman"/>
        </w:rPr>
        <w:t xml:space="preserve">A single sample, T0388, was </w:t>
      </w:r>
      <w:r w:rsidR="00E01401" w:rsidRPr="003F03F3">
        <w:rPr>
          <w:rFonts w:ascii="Times New Roman" w:hAnsi="Times New Roman" w:cs="Times New Roman"/>
        </w:rPr>
        <w:t xml:space="preserve">chosen </w:t>
      </w:r>
      <w:r w:rsidR="00C65315" w:rsidRPr="003F03F3">
        <w:rPr>
          <w:rFonts w:ascii="Times New Roman" w:hAnsi="Times New Roman" w:cs="Times New Roman"/>
        </w:rPr>
        <w:t>to be</w:t>
      </w:r>
      <w:r w:rsidR="00E01401" w:rsidRPr="003F03F3">
        <w:rPr>
          <w:rFonts w:ascii="Times New Roman" w:hAnsi="Times New Roman" w:cs="Times New Roman"/>
        </w:rPr>
        <w:t xml:space="preserve"> isolated/cloned/sequenced</w:t>
      </w:r>
      <w:r w:rsidRPr="003F03F3">
        <w:rPr>
          <w:rFonts w:ascii="Times New Roman" w:hAnsi="Times New Roman" w:cs="Times New Roman"/>
        </w:rPr>
        <w:t xml:space="preserve"> 3 independent times. Our analysis of the 3 independent samples was consistent for haplotypes with frequencies &gt;0.1.</w:t>
      </w:r>
      <w:r w:rsidR="00C36B51">
        <w:rPr>
          <w:rFonts w:ascii="Times New Roman" w:hAnsi="Times New Roman" w:cs="Times New Roman"/>
        </w:rPr>
        <w:t xml:space="preserve"> </w:t>
      </w:r>
      <w:r w:rsidRPr="003F03F3">
        <w:rPr>
          <w:rFonts w:ascii="Times New Roman" w:hAnsi="Times New Roman" w:cs="Times New Roman"/>
        </w:rPr>
        <w:t>Rare haplotypes (&lt;0.1) were recovered with</w:t>
      </w:r>
      <w:r w:rsidR="00D207F5" w:rsidRPr="003F03F3">
        <w:rPr>
          <w:rFonts w:ascii="Times New Roman" w:hAnsi="Times New Roman" w:cs="Times New Roman"/>
        </w:rPr>
        <w:t xml:space="preserve"> varying success and </w:t>
      </w:r>
      <w:r w:rsidR="00E01401" w:rsidRPr="003F03F3">
        <w:rPr>
          <w:rFonts w:ascii="Times New Roman" w:hAnsi="Times New Roman" w:cs="Times New Roman"/>
        </w:rPr>
        <w:t>found to be</w:t>
      </w:r>
      <w:r w:rsidRPr="003F03F3">
        <w:rPr>
          <w:rFonts w:ascii="Times New Roman" w:hAnsi="Times New Roman" w:cs="Times New Roman"/>
        </w:rPr>
        <w:t xml:space="preserve"> highly dependent on the number of</w:t>
      </w:r>
      <w:r w:rsidR="00E01401" w:rsidRPr="003F03F3">
        <w:rPr>
          <w:rFonts w:ascii="Times New Roman" w:hAnsi="Times New Roman" w:cs="Times New Roman"/>
        </w:rPr>
        <w:t xml:space="preserve"> clones captured and sequenced.</w:t>
      </w:r>
      <w:r w:rsidR="00C36B51">
        <w:rPr>
          <w:rFonts w:ascii="Times New Roman" w:hAnsi="Times New Roman" w:cs="Times New Roman"/>
        </w:rPr>
        <w:t xml:space="preserve"> </w:t>
      </w:r>
      <w:r w:rsidR="00E01401" w:rsidRPr="003F03F3">
        <w:rPr>
          <w:rFonts w:ascii="Times New Roman" w:hAnsi="Times New Roman" w:cs="Times New Roman"/>
        </w:rPr>
        <w:t>To determine the percent of rare haplotypes captured,</w:t>
      </w:r>
      <w:r w:rsidR="00C65315" w:rsidRPr="003F03F3">
        <w:rPr>
          <w:rFonts w:ascii="Times New Roman" w:hAnsi="Times New Roman" w:cs="Times New Roman"/>
        </w:rPr>
        <w:t xml:space="preserve"> </w:t>
      </w:r>
    </w:p>
    <w:p w14:paraId="7001F94F" w14:textId="2B7EC1C7" w:rsidR="00C4202E" w:rsidRPr="003F03F3" w:rsidRDefault="00C65315" w:rsidP="00C4202E">
      <w:pPr>
        <w:rPr>
          <w:rFonts w:ascii="Times New Roman" w:hAnsi="Times New Roman" w:cs="Times New Roman"/>
        </w:rPr>
      </w:pPr>
      <w:r w:rsidRPr="003F03F3">
        <w:rPr>
          <w:rFonts w:ascii="Times New Roman" w:hAnsi="Times New Roman" w:cs="Times New Roman"/>
        </w:rPr>
        <w:t>we used a subsample of our</w:t>
      </w:r>
      <w:r w:rsidR="0071224E" w:rsidRPr="003F03F3">
        <w:rPr>
          <w:rFonts w:ascii="Times New Roman" w:hAnsi="Times New Roman" w:cs="Times New Roman"/>
        </w:rPr>
        <w:t xml:space="preserve"> </w:t>
      </w:r>
      <w:r w:rsidR="00E01401" w:rsidRPr="003F03F3">
        <w:rPr>
          <w:rFonts w:ascii="Times New Roman" w:hAnsi="Times New Roman" w:cs="Times New Roman"/>
        </w:rPr>
        <w:t xml:space="preserve">sequences to estimate </w:t>
      </w:r>
      <w:r w:rsidR="003F03F3">
        <w:rPr>
          <w:rFonts w:ascii="Times New Roman" w:hAnsi="Times New Roman" w:cs="Times New Roman"/>
        </w:rPr>
        <w:t xml:space="preserve">the population mutation rate θ. </w:t>
      </w:r>
      <w:r w:rsidR="002711B9">
        <w:rPr>
          <w:rFonts w:ascii="Times New Roman" w:hAnsi="Times New Roman" w:cs="Times New Roman"/>
        </w:rPr>
        <w:t>U</w:t>
      </w:r>
      <w:r w:rsidR="009316ED">
        <w:rPr>
          <w:rFonts w:ascii="Times New Roman" w:hAnsi="Times New Roman" w:cs="Times New Roman"/>
        </w:rPr>
        <w:t>nder a given value of θ</w:t>
      </w:r>
      <w:r w:rsidR="002711B9">
        <w:rPr>
          <w:rFonts w:ascii="Times New Roman" w:hAnsi="Times New Roman" w:cs="Times New Roman"/>
        </w:rPr>
        <w:t xml:space="preserve">, </w:t>
      </w:r>
      <w:r w:rsidR="00D207F5" w:rsidRPr="003F03F3">
        <w:rPr>
          <w:rFonts w:ascii="Times New Roman" w:hAnsi="Times New Roman" w:cs="Times New Roman"/>
        </w:rPr>
        <w:t xml:space="preserve">the distribution of haplotypes/alleles in a population is best described by Ewen’s sampling formula (ESF) which gives the configuration of the number of times each allele is observed </w:t>
      </w:r>
      <w:r w:rsidR="00D207F5" w:rsidRPr="003F03F3">
        <w:rPr>
          <w:rFonts w:ascii="Times New Roman" w:hAnsi="Times New Roman" w:cs="Times New Roman"/>
        </w:rPr>
        <w:fldChar w:fldCharType="begin" w:fldLock="1"/>
      </w:r>
      <w:r w:rsidR="00A42FA9">
        <w:rPr>
          <w:rFonts w:ascii="Times New Roman" w:hAnsi="Times New Roman" w:cs="Times New Roman"/>
        </w:rPr>
        <w:instrText>ADDIN CSL_CITATION { "citationItems" : [ { "id" : "ITEM-1", "itemData" : { "author" : [ { "dropping-particle" : "", "family" : "Ewens", "given" : "WJ", "non-dropping-particle" : "", "parse-names" : false, "suffix" : "" } ], "container-title" : "Theoretical population biology", "id" : "ITEM-1", "issued" : { "date-parts" : [ [ "1972" ] ] }, "page" : "87-112", "title" : "The sampling theory of selectively neutral alleles", "type" : "article-journal", "volume" : "3" }, "uris" : [ "http://www.mendeley.com/documents/?uuid=cd7b9ba2-9692-4806-aff7-20f73d4bb429" ] } ], "mendeley" : { "previouslyFormattedCitation" : "[6]" }, "properties" : { "noteIndex" : 0 }, "schema" : "https://github.com/citation-style-language/schema/raw/master/csl-citation.json" }</w:instrText>
      </w:r>
      <w:r w:rsidR="00D207F5" w:rsidRPr="003F03F3">
        <w:rPr>
          <w:rFonts w:ascii="Times New Roman" w:hAnsi="Times New Roman" w:cs="Times New Roman"/>
        </w:rPr>
        <w:fldChar w:fldCharType="separate"/>
      </w:r>
      <w:r w:rsidR="00A42FA9" w:rsidRPr="00A42FA9">
        <w:rPr>
          <w:rFonts w:ascii="Times New Roman" w:hAnsi="Times New Roman" w:cs="Times New Roman"/>
          <w:noProof/>
        </w:rPr>
        <w:t>[6]</w:t>
      </w:r>
      <w:r w:rsidR="00D207F5" w:rsidRPr="003F03F3">
        <w:rPr>
          <w:rFonts w:ascii="Times New Roman" w:hAnsi="Times New Roman" w:cs="Times New Roman"/>
        </w:rPr>
        <w:fldChar w:fldCharType="end"/>
      </w:r>
      <w:r w:rsidR="00D207F5" w:rsidRPr="003F03F3">
        <w:rPr>
          <w:rFonts w:ascii="Times New Roman" w:hAnsi="Times New Roman" w:cs="Times New Roman"/>
        </w:rPr>
        <w:t>. Using the density function of ESF, we calculate the cumulative probability (% of total haplotypes sampled) for our current samples sizes as well as the sample size needed to “capture” 95% of the expected haplotypes.</w:t>
      </w:r>
      <w:r w:rsidR="00C36B51">
        <w:rPr>
          <w:rFonts w:ascii="Times New Roman" w:hAnsi="Times New Roman" w:cs="Times New Roman"/>
        </w:rPr>
        <w:t xml:space="preserve"> </w:t>
      </w:r>
      <w:r w:rsidR="00D207F5" w:rsidRPr="003F03F3">
        <w:rPr>
          <w:rFonts w:ascii="Times New Roman" w:hAnsi="Times New Roman" w:cs="Times New Roman"/>
        </w:rPr>
        <w:t>We, on average, capture 78% of the total expected haplotypes for the 16 infrapopulations and 88% of the total number of expected haplotypes for the 7 villages. Supplemental tables S1 and S2 detail the cumulative probability associated with sampling each infrapopulation and village, respectively.</w:t>
      </w:r>
    </w:p>
    <w:p w14:paraId="16C64EAD" w14:textId="77777777" w:rsidR="00C4202E" w:rsidRPr="003F03F3" w:rsidRDefault="00C4202E" w:rsidP="00C4202E">
      <w:pPr>
        <w:rPr>
          <w:rFonts w:ascii="Times New Roman" w:hAnsi="Times New Roman" w:cs="Times New Roman"/>
          <w:i/>
        </w:rPr>
      </w:pPr>
    </w:p>
    <w:p w14:paraId="5CFA6464" w14:textId="6C2B2D5E" w:rsidR="008C380D" w:rsidRPr="002C17C2" w:rsidRDefault="008C380D" w:rsidP="00A872FE">
      <w:pPr>
        <w:rPr>
          <w:rFonts w:ascii="Times New Roman" w:hAnsi="Times New Roman" w:cs="Times New Roman"/>
          <w:b/>
        </w:rPr>
      </w:pPr>
      <w:r w:rsidRPr="002C17C2">
        <w:rPr>
          <w:rFonts w:ascii="Times New Roman" w:hAnsi="Times New Roman" w:cs="Times New Roman"/>
          <w:b/>
        </w:rPr>
        <w:t xml:space="preserve">Sequence subsampling for statistical analysis </w:t>
      </w:r>
    </w:p>
    <w:p w14:paraId="4F784D68" w14:textId="2D963735" w:rsidR="008C380D" w:rsidRPr="003F03F3" w:rsidRDefault="008C380D" w:rsidP="00A872FE">
      <w:pPr>
        <w:rPr>
          <w:rFonts w:ascii="Times New Roman" w:hAnsi="Times New Roman" w:cs="Times New Roman"/>
        </w:rPr>
      </w:pPr>
      <w:r w:rsidRPr="003F03F3">
        <w:rPr>
          <w:rFonts w:ascii="Times New Roman" w:hAnsi="Times New Roman" w:cs="Times New Roman"/>
        </w:rPr>
        <w:t xml:space="preserve">To account for inequality in sample sizes among infrapopulations, an artifact of sequence collection and cloning efficiency, we randomly subsampled all infrapopulations </w:t>
      </w:r>
      <w:r w:rsidR="00F616DF" w:rsidRPr="003F03F3">
        <w:rPr>
          <w:rFonts w:ascii="Times New Roman" w:hAnsi="Times New Roman" w:cs="Times New Roman"/>
        </w:rPr>
        <w:t>be</w:t>
      </w:r>
      <w:r w:rsidRPr="003F03F3">
        <w:rPr>
          <w:rFonts w:ascii="Times New Roman" w:hAnsi="Times New Roman" w:cs="Times New Roman"/>
        </w:rPr>
        <w:t>for</w:t>
      </w:r>
      <w:r w:rsidR="00F616DF" w:rsidRPr="003F03F3">
        <w:rPr>
          <w:rFonts w:ascii="Times New Roman" w:hAnsi="Times New Roman" w:cs="Times New Roman"/>
        </w:rPr>
        <w:t>e</w:t>
      </w:r>
      <w:r w:rsidRPr="003F03F3">
        <w:rPr>
          <w:rFonts w:ascii="Times New Roman" w:hAnsi="Times New Roman" w:cs="Times New Roman"/>
        </w:rPr>
        <w:t xml:space="preserve"> </w:t>
      </w:r>
      <w:r w:rsidR="00F616DF" w:rsidRPr="003F03F3">
        <w:rPr>
          <w:rFonts w:ascii="Times New Roman" w:hAnsi="Times New Roman" w:cs="Times New Roman"/>
        </w:rPr>
        <w:t>calculating genetic statistics</w:t>
      </w:r>
      <w:r w:rsidRPr="003F03F3">
        <w:rPr>
          <w:rFonts w:ascii="Times New Roman" w:hAnsi="Times New Roman" w:cs="Times New Roman"/>
        </w:rPr>
        <w:t>.</w:t>
      </w:r>
      <w:r w:rsidR="00C36B51">
        <w:rPr>
          <w:rFonts w:ascii="Times New Roman" w:hAnsi="Times New Roman" w:cs="Times New Roman"/>
        </w:rPr>
        <w:t xml:space="preserve"> </w:t>
      </w:r>
      <w:r w:rsidRPr="003F03F3">
        <w:rPr>
          <w:rFonts w:ascii="Times New Roman" w:hAnsi="Times New Roman" w:cs="Times New Roman"/>
        </w:rPr>
        <w:t>Infrapopulations were randomly sampled by drawing 10 sequences with replacement.</w:t>
      </w:r>
      <w:r w:rsidR="00C36B51">
        <w:rPr>
          <w:rFonts w:ascii="Times New Roman" w:hAnsi="Times New Roman" w:cs="Times New Roman"/>
        </w:rPr>
        <w:t xml:space="preserve"> </w:t>
      </w:r>
      <w:r w:rsidRPr="003F03F3">
        <w:rPr>
          <w:rFonts w:ascii="Times New Roman" w:hAnsi="Times New Roman" w:cs="Times New Roman"/>
        </w:rPr>
        <w:t>The new subsampled populations were then used to calculate all genetic statistics.</w:t>
      </w:r>
      <w:r w:rsidR="00C36B51">
        <w:rPr>
          <w:rFonts w:ascii="Times New Roman" w:hAnsi="Times New Roman" w:cs="Times New Roman"/>
        </w:rPr>
        <w:t xml:space="preserve"> </w:t>
      </w:r>
      <w:r w:rsidRPr="003F03F3">
        <w:rPr>
          <w:rFonts w:ascii="Times New Roman" w:hAnsi="Times New Roman" w:cs="Times New Roman"/>
        </w:rPr>
        <w:t>This process was repeated 1000 times with the resulting distribution used to determine the m</w:t>
      </w:r>
      <w:r w:rsidR="00845CC6" w:rsidRPr="003F03F3">
        <w:rPr>
          <w:rFonts w:ascii="Times New Roman" w:hAnsi="Times New Roman" w:cs="Times New Roman"/>
        </w:rPr>
        <w:t xml:space="preserve">ean and variance of each </w:t>
      </w:r>
      <w:r w:rsidRPr="003F03F3">
        <w:rPr>
          <w:rFonts w:ascii="Times New Roman" w:hAnsi="Times New Roman" w:cs="Times New Roman"/>
        </w:rPr>
        <w:t xml:space="preserve">statistic. </w:t>
      </w:r>
    </w:p>
    <w:p w14:paraId="0CEA4465" w14:textId="77777777" w:rsidR="008C380D" w:rsidRPr="003F03F3" w:rsidRDefault="008C380D" w:rsidP="00A872FE">
      <w:pPr>
        <w:rPr>
          <w:rFonts w:ascii="Times New Roman" w:hAnsi="Times New Roman" w:cs="Times New Roman"/>
        </w:rPr>
      </w:pPr>
    </w:p>
    <w:p w14:paraId="57621EE3" w14:textId="7909945B" w:rsidR="00B74BE7" w:rsidRPr="002C17C2" w:rsidRDefault="00B74BE7" w:rsidP="00A872FE">
      <w:pPr>
        <w:rPr>
          <w:rFonts w:ascii="Times New Roman" w:hAnsi="Times New Roman" w:cs="Times New Roman"/>
          <w:b/>
        </w:rPr>
      </w:pPr>
      <w:r w:rsidRPr="002C17C2">
        <w:rPr>
          <w:rFonts w:ascii="Times New Roman" w:hAnsi="Times New Roman" w:cs="Times New Roman"/>
          <w:b/>
        </w:rPr>
        <w:t>Grouping infrapopulations within a host village</w:t>
      </w:r>
    </w:p>
    <w:p w14:paraId="1DB1172B" w14:textId="7280C83B" w:rsidR="00A872FE" w:rsidRPr="003F03F3" w:rsidRDefault="00B74BE7">
      <w:pPr>
        <w:rPr>
          <w:rFonts w:ascii="Times New Roman" w:hAnsi="Times New Roman" w:cs="Times New Roman"/>
        </w:rPr>
      </w:pPr>
      <w:r w:rsidRPr="003F03F3">
        <w:rPr>
          <w:rFonts w:ascii="Times New Roman" w:hAnsi="Times New Roman" w:cs="Times New Roman"/>
        </w:rPr>
        <w:t>Interpretation of Φ</w:t>
      </w:r>
      <w:r w:rsidRPr="003F03F3">
        <w:rPr>
          <w:rFonts w:ascii="Times New Roman" w:hAnsi="Times New Roman" w:cs="Times New Roman"/>
          <w:vertAlign w:val="subscript"/>
        </w:rPr>
        <w:t>ST</w:t>
      </w:r>
      <w:r w:rsidR="00845CC6" w:rsidRPr="003F03F3">
        <w:rPr>
          <w:rFonts w:ascii="Times New Roman" w:hAnsi="Times New Roman" w:cs="Times New Roman"/>
          <w:vertAlign w:val="subscript"/>
        </w:rPr>
        <w:t>-V</w:t>
      </w:r>
      <w:r w:rsidRPr="003F03F3">
        <w:rPr>
          <w:rFonts w:ascii="Times New Roman" w:hAnsi="Times New Roman" w:cs="Times New Roman"/>
          <w:vertAlign w:val="subscript"/>
        </w:rPr>
        <w:t xml:space="preserve"> </w:t>
      </w:r>
      <w:r w:rsidRPr="003F03F3">
        <w:rPr>
          <w:rFonts w:ascii="Times New Roman" w:hAnsi="Times New Roman" w:cs="Times New Roman"/>
        </w:rPr>
        <w:t>was dependent on comparing the null distribution created by random sampling from a pool of all infrapopulations.</w:t>
      </w:r>
      <w:r w:rsidR="00C36B51">
        <w:rPr>
          <w:rFonts w:ascii="Times New Roman" w:hAnsi="Times New Roman" w:cs="Times New Roman"/>
        </w:rPr>
        <w:t xml:space="preserve"> </w:t>
      </w:r>
      <w:r w:rsidRPr="003F03F3">
        <w:rPr>
          <w:rFonts w:ascii="Times New Roman" w:hAnsi="Times New Roman" w:cs="Times New Roman"/>
        </w:rPr>
        <w:t>Φ</w:t>
      </w:r>
      <w:r w:rsidRPr="003F03F3">
        <w:rPr>
          <w:rFonts w:ascii="Times New Roman" w:hAnsi="Times New Roman" w:cs="Times New Roman"/>
          <w:vertAlign w:val="subscript"/>
        </w:rPr>
        <w:t>ST</w:t>
      </w:r>
      <w:r w:rsidR="00845CC6" w:rsidRPr="003F03F3">
        <w:rPr>
          <w:rFonts w:ascii="Times New Roman" w:hAnsi="Times New Roman" w:cs="Times New Roman"/>
          <w:vertAlign w:val="subscript"/>
        </w:rPr>
        <w:t>-V</w:t>
      </w:r>
      <w:r w:rsidRPr="003F03F3">
        <w:rPr>
          <w:rFonts w:ascii="Times New Roman" w:hAnsi="Times New Roman" w:cs="Times New Roman"/>
          <w:vertAlign w:val="subscript"/>
        </w:rPr>
        <w:t xml:space="preserve"> </w:t>
      </w:r>
      <w:r w:rsidRPr="003F03F3">
        <w:rPr>
          <w:rFonts w:ascii="Times New Roman" w:hAnsi="Times New Roman" w:cs="Times New Roman"/>
        </w:rPr>
        <w:t>values for panmictic simulations overlapped in all host villages with estimated Φ</w:t>
      </w:r>
      <w:r w:rsidRPr="003F03F3">
        <w:rPr>
          <w:rFonts w:ascii="Times New Roman" w:hAnsi="Times New Roman" w:cs="Times New Roman"/>
          <w:vertAlign w:val="subscript"/>
        </w:rPr>
        <w:t>ST</w:t>
      </w:r>
      <w:r w:rsidR="00845CC6" w:rsidRPr="003F03F3">
        <w:rPr>
          <w:rFonts w:ascii="Times New Roman" w:hAnsi="Times New Roman" w:cs="Times New Roman"/>
          <w:vertAlign w:val="subscript"/>
        </w:rPr>
        <w:t>-</w:t>
      </w:r>
      <w:r w:rsidR="00B440A6" w:rsidRPr="003F03F3">
        <w:rPr>
          <w:rFonts w:ascii="Times New Roman" w:hAnsi="Times New Roman" w:cs="Times New Roman"/>
          <w:vertAlign w:val="subscript"/>
        </w:rPr>
        <w:t>V</w:t>
      </w:r>
      <w:r w:rsidRPr="003F03F3">
        <w:rPr>
          <w:rFonts w:ascii="Times New Roman" w:hAnsi="Times New Roman" w:cs="Times New Roman"/>
          <w:vertAlign w:val="subscript"/>
        </w:rPr>
        <w:t xml:space="preserve"> </w:t>
      </w:r>
      <w:r w:rsidRPr="003F03F3">
        <w:rPr>
          <w:rFonts w:ascii="Times New Roman" w:hAnsi="Times New Roman" w:cs="Times New Roman"/>
          <w:vertAlign w:val="subscript"/>
        </w:rPr>
        <w:softHyphen/>
      </w:r>
      <w:r w:rsidRPr="003F03F3">
        <w:rPr>
          <w:rFonts w:ascii="Times New Roman" w:hAnsi="Times New Roman" w:cs="Times New Roman"/>
        </w:rPr>
        <w:t>values among real infrapopulations.</w:t>
      </w:r>
      <w:r w:rsidR="00C36B51">
        <w:rPr>
          <w:rFonts w:ascii="Times New Roman" w:hAnsi="Times New Roman" w:cs="Times New Roman"/>
        </w:rPr>
        <w:t xml:space="preserve"> </w:t>
      </w:r>
      <w:r w:rsidRPr="003F03F3">
        <w:rPr>
          <w:rFonts w:ascii="Times New Roman" w:hAnsi="Times New Roman" w:cs="Times New Roman"/>
        </w:rPr>
        <w:t>Interpretation of D</w:t>
      </w:r>
      <w:r w:rsidRPr="003F03F3">
        <w:rPr>
          <w:rFonts w:ascii="Times New Roman" w:hAnsi="Times New Roman" w:cs="Times New Roman"/>
          <w:vertAlign w:val="subscript"/>
        </w:rPr>
        <w:t>J</w:t>
      </w:r>
      <w:r w:rsidR="00B440A6" w:rsidRPr="003F03F3">
        <w:rPr>
          <w:rFonts w:ascii="Times New Roman" w:hAnsi="Times New Roman" w:cs="Times New Roman"/>
          <w:vertAlign w:val="subscript"/>
        </w:rPr>
        <w:t>-HV</w:t>
      </w:r>
      <w:r w:rsidRPr="003F03F3">
        <w:rPr>
          <w:rFonts w:ascii="Times New Roman" w:hAnsi="Times New Roman" w:cs="Times New Roman"/>
        </w:rPr>
        <w:t xml:space="preserve"> was dependent on a 1000 step permutation test where H</w:t>
      </w:r>
      <w:r w:rsidRPr="003F03F3">
        <w:rPr>
          <w:rFonts w:ascii="Times New Roman" w:hAnsi="Times New Roman" w:cs="Times New Roman"/>
          <w:vertAlign w:val="subscript"/>
        </w:rPr>
        <w:t>0</w:t>
      </w:r>
      <w:r w:rsidRPr="003F03F3">
        <w:rPr>
          <w:rFonts w:ascii="Times New Roman" w:hAnsi="Times New Roman" w:cs="Times New Roman"/>
        </w:rPr>
        <w:t xml:space="preserve"> was that D</w:t>
      </w:r>
      <w:r w:rsidRPr="003F03F3">
        <w:rPr>
          <w:rFonts w:ascii="Times New Roman" w:hAnsi="Times New Roman" w:cs="Times New Roman"/>
          <w:vertAlign w:val="subscript"/>
        </w:rPr>
        <w:t>J</w:t>
      </w:r>
      <w:r w:rsidR="00845CC6" w:rsidRPr="003F03F3">
        <w:rPr>
          <w:rFonts w:ascii="Times New Roman" w:hAnsi="Times New Roman" w:cs="Times New Roman"/>
          <w:vertAlign w:val="subscript"/>
        </w:rPr>
        <w:t>-</w:t>
      </w:r>
      <w:r w:rsidR="00B440A6" w:rsidRPr="003F03F3">
        <w:rPr>
          <w:rFonts w:ascii="Times New Roman" w:hAnsi="Times New Roman" w:cs="Times New Roman"/>
          <w:vertAlign w:val="subscript"/>
        </w:rPr>
        <w:t>V</w:t>
      </w:r>
      <w:r w:rsidRPr="003F03F3">
        <w:rPr>
          <w:rFonts w:ascii="Times New Roman" w:hAnsi="Times New Roman" w:cs="Times New Roman"/>
        </w:rPr>
        <w:t>=0—panmixia.</w:t>
      </w:r>
      <w:r w:rsidR="00C36B51">
        <w:rPr>
          <w:rFonts w:ascii="Times New Roman" w:hAnsi="Times New Roman" w:cs="Times New Roman"/>
        </w:rPr>
        <w:t xml:space="preserve"> </w:t>
      </w:r>
      <w:r w:rsidRPr="003F03F3">
        <w:rPr>
          <w:rFonts w:ascii="Times New Roman" w:hAnsi="Times New Roman" w:cs="Times New Roman"/>
        </w:rPr>
        <w:t>Within host villages, the permutation test failed to reject panmixia (Bonferroni adjusted α=0.0083 for Peneng, Albulum1, and Albulum2) except in case of Yautong2 (p-value =0.0195).</w:t>
      </w:r>
      <w:r w:rsidR="00C36B51">
        <w:rPr>
          <w:rFonts w:ascii="Times New Roman" w:hAnsi="Times New Roman" w:cs="Times New Roman"/>
        </w:rPr>
        <w:t xml:space="preserve"> </w:t>
      </w:r>
      <w:r w:rsidRPr="003F03F3">
        <w:rPr>
          <w:rFonts w:ascii="Times New Roman" w:hAnsi="Times New Roman" w:cs="Times New Roman"/>
        </w:rPr>
        <w:t>Differences between infrapopulations within Yautong 2 were also reflected in the infrapopulation clustering analysis that consistently placed T</w:t>
      </w:r>
      <w:r w:rsidR="008A37D7" w:rsidRPr="003F03F3">
        <w:rPr>
          <w:rFonts w:ascii="Times New Roman" w:hAnsi="Times New Roman" w:cs="Times New Roman"/>
        </w:rPr>
        <w:t>0</w:t>
      </w:r>
      <w:r w:rsidRPr="003F03F3">
        <w:rPr>
          <w:rFonts w:ascii="Times New Roman" w:hAnsi="Times New Roman" w:cs="Times New Roman"/>
        </w:rPr>
        <w:t>557</w:t>
      </w:r>
      <w:r w:rsidR="008A37D7" w:rsidRPr="003F03F3">
        <w:rPr>
          <w:rFonts w:ascii="Times New Roman" w:hAnsi="Times New Roman" w:cs="Times New Roman"/>
        </w:rPr>
        <w:t>Y2</w:t>
      </w:r>
      <w:r w:rsidRPr="003F03F3">
        <w:rPr>
          <w:rFonts w:ascii="Times New Roman" w:hAnsi="Times New Roman" w:cs="Times New Roman"/>
        </w:rPr>
        <w:t xml:space="preserve"> and T</w:t>
      </w:r>
      <w:r w:rsidR="008A37D7" w:rsidRPr="003F03F3">
        <w:rPr>
          <w:rFonts w:ascii="Times New Roman" w:hAnsi="Times New Roman" w:cs="Times New Roman"/>
        </w:rPr>
        <w:t>0</w:t>
      </w:r>
      <w:r w:rsidRPr="003F03F3">
        <w:rPr>
          <w:rFonts w:ascii="Times New Roman" w:hAnsi="Times New Roman" w:cs="Times New Roman"/>
        </w:rPr>
        <w:t>582</w:t>
      </w:r>
      <w:r w:rsidR="008A37D7" w:rsidRPr="003F03F3">
        <w:rPr>
          <w:rFonts w:ascii="Times New Roman" w:hAnsi="Times New Roman" w:cs="Times New Roman"/>
        </w:rPr>
        <w:t>Y2</w:t>
      </w:r>
      <w:r w:rsidRPr="003F03F3">
        <w:rPr>
          <w:rFonts w:ascii="Times New Roman" w:hAnsi="Times New Roman" w:cs="Times New Roman"/>
        </w:rPr>
        <w:t xml:space="preserve"> into separate groups; no significant difference was found using Φ</w:t>
      </w:r>
      <w:r w:rsidRPr="003F03F3">
        <w:rPr>
          <w:rFonts w:ascii="Times New Roman" w:hAnsi="Times New Roman" w:cs="Times New Roman"/>
          <w:vertAlign w:val="subscript"/>
        </w:rPr>
        <w:t>ST</w:t>
      </w:r>
      <w:r w:rsidR="00845CC6" w:rsidRPr="003F03F3">
        <w:rPr>
          <w:rFonts w:ascii="Times New Roman" w:hAnsi="Times New Roman" w:cs="Times New Roman"/>
          <w:vertAlign w:val="subscript"/>
        </w:rPr>
        <w:t>-</w:t>
      </w:r>
      <w:r w:rsidR="00B440A6" w:rsidRPr="003F03F3">
        <w:rPr>
          <w:rFonts w:ascii="Times New Roman" w:hAnsi="Times New Roman" w:cs="Times New Roman"/>
          <w:vertAlign w:val="subscript"/>
        </w:rPr>
        <w:t>V</w:t>
      </w:r>
      <w:r w:rsidRPr="003F03F3">
        <w:rPr>
          <w:rFonts w:ascii="Times New Roman" w:hAnsi="Times New Roman" w:cs="Times New Roman"/>
        </w:rPr>
        <w:t>.</w:t>
      </w:r>
    </w:p>
    <w:p w14:paraId="77A25DBD" w14:textId="77777777" w:rsidR="00B74BE7" w:rsidRPr="003F03F3" w:rsidRDefault="00B74BE7">
      <w:pPr>
        <w:rPr>
          <w:rFonts w:ascii="Times New Roman" w:hAnsi="Times New Roman" w:cs="Times New Roman"/>
        </w:rPr>
      </w:pPr>
    </w:p>
    <w:p w14:paraId="2AF31472" w14:textId="27427898" w:rsidR="00B74BE7" w:rsidRPr="002C17C2" w:rsidRDefault="005D2538">
      <w:pPr>
        <w:rPr>
          <w:rFonts w:ascii="Times New Roman" w:hAnsi="Times New Roman" w:cs="Times New Roman"/>
          <w:b/>
        </w:rPr>
      </w:pPr>
      <w:r w:rsidRPr="002C17C2">
        <w:rPr>
          <w:rFonts w:ascii="Times New Roman" w:hAnsi="Times New Roman" w:cs="Times New Roman"/>
          <w:b/>
        </w:rPr>
        <w:t xml:space="preserve">Power </w:t>
      </w:r>
      <w:r w:rsidR="008049CC">
        <w:rPr>
          <w:rFonts w:ascii="Times New Roman" w:hAnsi="Times New Roman" w:cs="Times New Roman"/>
          <w:b/>
        </w:rPr>
        <w:t>t</w:t>
      </w:r>
      <w:r w:rsidR="00B74BE7" w:rsidRPr="002C17C2">
        <w:rPr>
          <w:rFonts w:ascii="Times New Roman" w:hAnsi="Times New Roman" w:cs="Times New Roman"/>
          <w:b/>
        </w:rPr>
        <w:t xml:space="preserve">ests of </w:t>
      </w:r>
      <w:r w:rsidR="008049CC">
        <w:rPr>
          <w:rFonts w:ascii="Times New Roman" w:hAnsi="Times New Roman" w:cs="Times New Roman"/>
          <w:b/>
        </w:rPr>
        <w:t>g</w:t>
      </w:r>
      <w:r w:rsidR="00B74BE7" w:rsidRPr="002C17C2">
        <w:rPr>
          <w:rFonts w:ascii="Times New Roman" w:hAnsi="Times New Roman" w:cs="Times New Roman"/>
          <w:b/>
        </w:rPr>
        <w:t xml:space="preserve">enetic </w:t>
      </w:r>
      <w:r w:rsidR="008049CC">
        <w:rPr>
          <w:rFonts w:ascii="Times New Roman" w:hAnsi="Times New Roman" w:cs="Times New Roman"/>
          <w:b/>
        </w:rPr>
        <w:t>d</w:t>
      </w:r>
      <w:r w:rsidR="00B74BE7" w:rsidRPr="002C17C2">
        <w:rPr>
          <w:rFonts w:ascii="Times New Roman" w:hAnsi="Times New Roman" w:cs="Times New Roman"/>
          <w:b/>
        </w:rPr>
        <w:t>ifferentiation</w:t>
      </w:r>
    </w:p>
    <w:p w14:paraId="201DCF3C" w14:textId="7910AF10" w:rsidR="0050729C" w:rsidRPr="003F03F3" w:rsidRDefault="00B74BE7">
      <w:pPr>
        <w:rPr>
          <w:rFonts w:ascii="Times New Roman" w:hAnsi="Times New Roman" w:cs="Times New Roman"/>
        </w:rPr>
      </w:pPr>
      <w:r w:rsidRPr="003F03F3">
        <w:rPr>
          <w:rFonts w:ascii="Times New Roman" w:hAnsi="Times New Roman" w:cs="Times New Roman"/>
        </w:rPr>
        <w:t xml:space="preserve">The program POWSIM </w:t>
      </w:r>
      <w:r w:rsidRPr="003F03F3">
        <w:rPr>
          <w:rFonts w:ascii="Times New Roman" w:hAnsi="Times New Roman" w:cs="Times New Roman"/>
        </w:rPr>
        <w:fldChar w:fldCharType="begin" w:fldLock="1"/>
      </w:r>
      <w:r w:rsidR="00A42FA9">
        <w:rPr>
          <w:rFonts w:ascii="Times New Roman" w:hAnsi="Times New Roman" w:cs="Times New Roman"/>
        </w:rPr>
        <w:instrText>ADDIN CSL_CITATION { "citationItems" : [ { "id" : "ITEM-1", "itemData" : { "DOI" : "10.1111/j.1365-294X.2006.01378.x", "author" : [ { "dropping-particle" : "", "family" : "Ryman", "given" : "N.", "non-dropping-particle" : "", "parse-names" : false, "suffix" : "" }, { "dropping-particle" : "", "family" : "Palm", "given" : "S.", "non-dropping-particle" : "", "parse-names" : false, "suffix" : "" } ], "container-title" : "Molecular Ecology Notes", "id" : "ITEM-1", "issue" : "3", "issued" : { "date-parts" : [ [ "2006" ] ] }, "page" : "600\u2013602", "publisher" : "Wiley Online Library", "title" : "POWSIM: a computer program for assessing statistical power when testing for genetic differentiation", "type" : "article-journal", "volume" : "6" }, "uris" : [ "http://www.mendeley.com/documents/?uuid=7db633ba-c054-459b-a52e-d5d3d8321f37" ] } ], "mendeley" : { "previouslyFormattedCitation" : "[7]" }, "properties" : { "noteIndex" : 0 }, "schema" : "https://github.com/citation-style-language/schema/raw/master/csl-citation.json" }</w:instrText>
      </w:r>
      <w:r w:rsidRPr="003F03F3">
        <w:rPr>
          <w:rFonts w:ascii="Times New Roman" w:hAnsi="Times New Roman" w:cs="Times New Roman"/>
        </w:rPr>
        <w:fldChar w:fldCharType="separate"/>
      </w:r>
      <w:r w:rsidR="00A42FA9" w:rsidRPr="00A42FA9">
        <w:rPr>
          <w:rFonts w:ascii="Times New Roman" w:hAnsi="Times New Roman" w:cs="Times New Roman"/>
          <w:noProof/>
        </w:rPr>
        <w:t>[7]</w:t>
      </w:r>
      <w:r w:rsidRPr="003F03F3">
        <w:rPr>
          <w:rFonts w:ascii="Times New Roman" w:hAnsi="Times New Roman" w:cs="Times New Roman"/>
        </w:rPr>
        <w:fldChar w:fldCharType="end"/>
      </w:r>
      <w:r w:rsidRPr="003F03F3">
        <w:rPr>
          <w:rFonts w:ascii="Times New Roman" w:hAnsi="Times New Roman" w:cs="Times New Roman"/>
        </w:rPr>
        <w:t>, which calculates power for the correlate statistic of F</w:t>
      </w:r>
      <w:r w:rsidRPr="003F03F3">
        <w:rPr>
          <w:rFonts w:ascii="Times New Roman" w:hAnsi="Times New Roman" w:cs="Times New Roman"/>
          <w:vertAlign w:val="subscript"/>
        </w:rPr>
        <w:t>ST</w:t>
      </w:r>
      <w:r w:rsidRPr="003F03F3">
        <w:rPr>
          <w:rFonts w:ascii="Times New Roman" w:hAnsi="Times New Roman" w:cs="Times New Roman"/>
        </w:rPr>
        <w:t xml:space="preserve"> </w:t>
      </w:r>
      <w:r w:rsidRPr="003F03F3">
        <w:rPr>
          <w:rFonts w:ascii="Times New Roman" w:hAnsi="Times New Roman" w:cs="Times New Roman"/>
        </w:rPr>
        <w:fldChar w:fldCharType="begin" w:fldLock="1"/>
      </w:r>
      <w:r w:rsidR="00A42FA9">
        <w:rPr>
          <w:rFonts w:ascii="Times New Roman" w:hAnsi="Times New Roman" w:cs="Times New Roman"/>
        </w:rPr>
        <w:instrText>ADDIN CSL_CITATION { "citationItems" : [ { "id" : "ITEM-1", "itemData" : { "author" : [ { "dropping-particle" : "", "family" : "Wright", "given" : "Sewall", "non-dropping-particle" : "", "parse-names" : false, "suffix" : "" }, { "dropping-particle" : "", "family" : "MePhee", "given" : "H C", "non-dropping-particle" : "", "parse-names" : false, "suffix" : "" } ], "container-title" : "J. Agric. Res", "id" : "ITEM-1", "issued" : { "date-parts" : [ [ "1925" ] ] }, "page" : "377-383", "title" : "An approximate method of calculating coefficients of inbreeding and relationship.", "type" : "article-journal", "volume" : "31" }, "uris" : [ "http://www.mendeley.com/documents/?uuid=2f8f4354-990d-4220-abf9-20e4482bbb93" ] } ], "mendeley" : { "previouslyFormattedCitation" : "[8]" }, "properties" : { "noteIndex" : 0 }, "schema" : "https://github.com/citation-style-language/schema/raw/master/csl-citation.json" }</w:instrText>
      </w:r>
      <w:r w:rsidRPr="003F03F3">
        <w:rPr>
          <w:rFonts w:ascii="Times New Roman" w:hAnsi="Times New Roman" w:cs="Times New Roman"/>
        </w:rPr>
        <w:fldChar w:fldCharType="separate"/>
      </w:r>
      <w:r w:rsidR="00A42FA9" w:rsidRPr="00A42FA9">
        <w:rPr>
          <w:rFonts w:ascii="Times New Roman" w:hAnsi="Times New Roman" w:cs="Times New Roman"/>
          <w:noProof/>
        </w:rPr>
        <w:t>[8]</w:t>
      </w:r>
      <w:r w:rsidRPr="003F03F3">
        <w:rPr>
          <w:rFonts w:ascii="Times New Roman" w:hAnsi="Times New Roman" w:cs="Times New Roman"/>
        </w:rPr>
        <w:fldChar w:fldCharType="end"/>
      </w:r>
      <w:r w:rsidRPr="003F03F3">
        <w:rPr>
          <w:rFonts w:ascii="Times New Roman" w:hAnsi="Times New Roman" w:cs="Times New Roman"/>
        </w:rPr>
        <w:t>, was used to assess power to detect genetic differentiation and therefore reject panmixia</w:t>
      </w:r>
      <w:r w:rsidR="000C789A" w:rsidRPr="003F03F3">
        <w:rPr>
          <w:rFonts w:ascii="Times New Roman" w:hAnsi="Times New Roman" w:cs="Times New Roman"/>
        </w:rPr>
        <w:t xml:space="preserve"> (POWSIM parameters: 10 generations per year, N</w:t>
      </w:r>
      <w:r w:rsidR="000C789A" w:rsidRPr="003F03F3">
        <w:rPr>
          <w:rFonts w:ascii="Times New Roman" w:hAnsi="Times New Roman" w:cs="Times New Roman"/>
          <w:vertAlign w:val="subscript"/>
        </w:rPr>
        <w:t>e</w:t>
      </w:r>
      <w:r w:rsidR="000C789A" w:rsidRPr="003F03F3">
        <w:rPr>
          <w:rFonts w:ascii="Times New Roman" w:hAnsi="Times New Roman" w:cs="Times New Roman"/>
        </w:rPr>
        <w:t>=5000-10000, 10 years of drift</w:t>
      </w:r>
      <w:r w:rsidR="00E60B58" w:rsidRPr="003F03F3">
        <w:rPr>
          <w:rFonts w:ascii="Times New Roman" w:hAnsi="Times New Roman" w:cs="Times New Roman"/>
        </w:rPr>
        <w:t xml:space="preserve"> with 10 generations per year—power was lowered (&lt;80%) when we assumed fewer than 10 generations per year</w:t>
      </w:r>
      <w:r w:rsidR="000C789A" w:rsidRPr="003F03F3">
        <w:rPr>
          <w:rFonts w:ascii="Times New Roman" w:hAnsi="Times New Roman" w:cs="Times New Roman"/>
        </w:rPr>
        <w:t>).</w:t>
      </w:r>
      <w:r w:rsidR="00C36B51">
        <w:rPr>
          <w:rFonts w:ascii="Times New Roman" w:hAnsi="Times New Roman" w:cs="Times New Roman"/>
        </w:rPr>
        <w:t xml:space="preserve"> </w:t>
      </w:r>
      <w:r w:rsidRPr="003F03F3">
        <w:rPr>
          <w:rFonts w:ascii="Times New Roman" w:hAnsi="Times New Roman" w:cs="Times New Roman"/>
        </w:rPr>
        <w:t>Power analysis was also determined directly for Φ</w:t>
      </w:r>
      <w:r w:rsidRPr="003F03F3">
        <w:rPr>
          <w:rFonts w:ascii="Times New Roman" w:hAnsi="Times New Roman" w:cs="Times New Roman"/>
          <w:vertAlign w:val="subscript"/>
        </w:rPr>
        <w:t>ST</w:t>
      </w:r>
      <w:r w:rsidR="00B440A6" w:rsidRPr="003F03F3">
        <w:rPr>
          <w:rFonts w:ascii="Times New Roman" w:hAnsi="Times New Roman" w:cs="Times New Roman"/>
          <w:vertAlign w:val="subscript"/>
        </w:rPr>
        <w:t>-V</w:t>
      </w:r>
      <w:r w:rsidRPr="003F03F3">
        <w:rPr>
          <w:rFonts w:ascii="Times New Roman" w:hAnsi="Times New Roman" w:cs="Times New Roman"/>
          <w:vertAlign w:val="subscript"/>
        </w:rPr>
        <w:t xml:space="preserve"> </w:t>
      </w:r>
      <w:r w:rsidRPr="003F03F3">
        <w:rPr>
          <w:rFonts w:ascii="Times New Roman" w:hAnsi="Times New Roman" w:cs="Times New Roman"/>
        </w:rPr>
        <w:t>by generating a null distribution of Φ</w:t>
      </w:r>
      <w:r w:rsidRPr="003F03F3">
        <w:rPr>
          <w:rFonts w:ascii="Times New Roman" w:hAnsi="Times New Roman" w:cs="Times New Roman"/>
          <w:vertAlign w:val="subscript"/>
        </w:rPr>
        <w:t>ST</w:t>
      </w:r>
      <w:r w:rsidRPr="003F03F3">
        <w:rPr>
          <w:rFonts w:ascii="Times New Roman" w:hAnsi="Times New Roman" w:cs="Times New Roman"/>
        </w:rPr>
        <w:t xml:space="preserve"> for each host village, recording the proportion of simulations where Φ</w:t>
      </w:r>
      <w:r w:rsidRPr="003F03F3">
        <w:rPr>
          <w:rFonts w:ascii="Times New Roman" w:hAnsi="Times New Roman" w:cs="Times New Roman"/>
          <w:vertAlign w:val="subscript"/>
        </w:rPr>
        <w:t>ST</w:t>
      </w:r>
      <w:r w:rsidR="00B440A6" w:rsidRPr="003F03F3">
        <w:rPr>
          <w:rFonts w:ascii="Times New Roman" w:hAnsi="Times New Roman" w:cs="Times New Roman"/>
          <w:vertAlign w:val="subscript"/>
        </w:rPr>
        <w:t>-V</w:t>
      </w:r>
      <w:r w:rsidRPr="003F03F3">
        <w:rPr>
          <w:rFonts w:ascii="Times New Roman" w:hAnsi="Times New Roman" w:cs="Times New Roman"/>
        </w:rPr>
        <w:t xml:space="preserve"> was great than 0, and then subtracting this value from 1.</w:t>
      </w:r>
    </w:p>
    <w:p w14:paraId="36900CBC" w14:textId="201A8094" w:rsidR="00B74BE7" w:rsidRPr="003F03F3" w:rsidRDefault="00B74BE7">
      <w:pPr>
        <w:rPr>
          <w:rFonts w:ascii="Times New Roman" w:hAnsi="Times New Roman" w:cs="Times New Roman"/>
        </w:rPr>
      </w:pPr>
    </w:p>
    <w:p w14:paraId="6D0A0D93" w14:textId="6FF59666" w:rsidR="008C00FC" w:rsidRPr="002C17C2" w:rsidRDefault="00473918">
      <w:pPr>
        <w:rPr>
          <w:rFonts w:ascii="Times New Roman" w:hAnsi="Times New Roman" w:cs="Times New Roman"/>
          <w:b/>
        </w:rPr>
      </w:pPr>
      <w:r w:rsidRPr="002C17C2">
        <w:rPr>
          <w:rFonts w:ascii="Times New Roman" w:hAnsi="Times New Roman" w:cs="Times New Roman"/>
          <w:b/>
        </w:rPr>
        <w:t>References</w:t>
      </w:r>
    </w:p>
    <w:p w14:paraId="6152CC92" w14:textId="26CC845D" w:rsidR="00A42FA9" w:rsidRPr="00A42FA9" w:rsidRDefault="008C00FC">
      <w:pPr>
        <w:pStyle w:val="NormalWeb"/>
        <w:ind w:left="640" w:hanging="640"/>
        <w:divId w:val="1977488626"/>
        <w:rPr>
          <w:rFonts w:ascii="Times New Roman" w:hAnsi="Times New Roman"/>
          <w:noProof/>
          <w:sz w:val="24"/>
        </w:rPr>
      </w:pPr>
      <w:r w:rsidRPr="008A37D7">
        <w:rPr>
          <w:rFonts w:ascii="Times New Roman" w:hAnsi="Times New Roman"/>
          <w:sz w:val="24"/>
          <w:szCs w:val="24"/>
        </w:rPr>
        <w:fldChar w:fldCharType="begin" w:fldLock="1"/>
      </w:r>
      <w:r w:rsidRPr="008A37D7">
        <w:rPr>
          <w:rFonts w:ascii="Times New Roman" w:hAnsi="Times New Roman"/>
          <w:sz w:val="24"/>
          <w:szCs w:val="24"/>
        </w:rPr>
        <w:instrText xml:space="preserve">ADDIN Mendeley Bibliography CSL_BIBLIOGRAPHY </w:instrText>
      </w:r>
      <w:r w:rsidRPr="008A37D7">
        <w:rPr>
          <w:rFonts w:ascii="Times New Roman" w:hAnsi="Times New Roman"/>
          <w:sz w:val="24"/>
          <w:szCs w:val="24"/>
        </w:rPr>
        <w:fldChar w:fldCharType="separate"/>
      </w:r>
      <w:r w:rsidR="00A42FA9" w:rsidRPr="00A42FA9">
        <w:rPr>
          <w:rFonts w:ascii="Times New Roman" w:hAnsi="Times New Roman"/>
          <w:noProof/>
          <w:sz w:val="24"/>
        </w:rPr>
        <w:t xml:space="preserve">1. </w:t>
      </w:r>
      <w:r w:rsidR="00A42FA9" w:rsidRPr="00A42FA9">
        <w:rPr>
          <w:rFonts w:ascii="Times New Roman" w:hAnsi="Times New Roman"/>
          <w:noProof/>
          <w:sz w:val="24"/>
        </w:rPr>
        <w:tab/>
        <w:t>Ramesh A, Small ST, Kloos ZA, Kazura JW, Nutman TB, et al. (2012) The complete mitochondrial genome sequence of the filarial nematode Wuchereria bancrofti from three geographic isolates provides evidence of complex demographic history. Molecular Biochemical Parasitology 183: 32–41.</w:t>
      </w:r>
    </w:p>
    <w:p w14:paraId="407EF167" w14:textId="77777777" w:rsidR="00A42FA9" w:rsidRPr="00A42FA9" w:rsidRDefault="00A42FA9">
      <w:pPr>
        <w:pStyle w:val="NormalWeb"/>
        <w:ind w:left="640" w:hanging="640"/>
        <w:divId w:val="1977488626"/>
        <w:rPr>
          <w:rFonts w:ascii="Times New Roman" w:hAnsi="Times New Roman"/>
          <w:noProof/>
          <w:sz w:val="24"/>
        </w:rPr>
      </w:pPr>
      <w:r w:rsidRPr="00A42FA9">
        <w:rPr>
          <w:rFonts w:ascii="Times New Roman" w:hAnsi="Times New Roman"/>
          <w:noProof/>
          <w:sz w:val="24"/>
        </w:rPr>
        <w:t xml:space="preserve">2. </w:t>
      </w:r>
      <w:r w:rsidRPr="00A42FA9">
        <w:rPr>
          <w:rFonts w:ascii="Times New Roman" w:hAnsi="Times New Roman"/>
          <w:noProof/>
          <w:sz w:val="24"/>
        </w:rPr>
        <w:tab/>
        <w:t>Watterson G (1975) On the number of segregating sites in genetical models without recombination. Theoretical Population Biology 7: 265–276.</w:t>
      </w:r>
    </w:p>
    <w:p w14:paraId="60FFD9A1" w14:textId="77777777" w:rsidR="00A42FA9" w:rsidRPr="00A42FA9" w:rsidRDefault="00A42FA9">
      <w:pPr>
        <w:pStyle w:val="NormalWeb"/>
        <w:ind w:left="640" w:hanging="640"/>
        <w:divId w:val="1977488626"/>
        <w:rPr>
          <w:rFonts w:ascii="Times New Roman" w:hAnsi="Times New Roman"/>
          <w:noProof/>
          <w:sz w:val="24"/>
        </w:rPr>
      </w:pPr>
      <w:r w:rsidRPr="00A42FA9">
        <w:rPr>
          <w:rFonts w:ascii="Times New Roman" w:hAnsi="Times New Roman"/>
          <w:noProof/>
          <w:sz w:val="24"/>
        </w:rPr>
        <w:t xml:space="preserve">3. </w:t>
      </w:r>
      <w:r w:rsidRPr="00A42FA9">
        <w:rPr>
          <w:rFonts w:ascii="Times New Roman" w:hAnsi="Times New Roman"/>
          <w:noProof/>
          <w:sz w:val="24"/>
        </w:rPr>
        <w:tab/>
        <w:t>Krawczak M, Reiss J (1989) Polymerase chain reaction: replication errors and reliability of gene diagnosis. Nucleic acids … 17: 2197–2201.</w:t>
      </w:r>
    </w:p>
    <w:p w14:paraId="524CCDD4" w14:textId="77777777" w:rsidR="00A42FA9" w:rsidRPr="00A42FA9" w:rsidRDefault="00A42FA9">
      <w:pPr>
        <w:pStyle w:val="NormalWeb"/>
        <w:ind w:left="640" w:hanging="640"/>
        <w:divId w:val="1977488626"/>
        <w:rPr>
          <w:rFonts w:ascii="Times New Roman" w:hAnsi="Times New Roman"/>
          <w:noProof/>
          <w:sz w:val="24"/>
        </w:rPr>
      </w:pPr>
      <w:r w:rsidRPr="00A42FA9">
        <w:rPr>
          <w:rFonts w:ascii="Times New Roman" w:hAnsi="Times New Roman"/>
          <w:noProof/>
          <w:sz w:val="24"/>
        </w:rPr>
        <w:t xml:space="preserve">4. </w:t>
      </w:r>
      <w:r w:rsidRPr="00A42FA9">
        <w:rPr>
          <w:rFonts w:ascii="Times New Roman" w:hAnsi="Times New Roman"/>
          <w:noProof/>
          <w:sz w:val="24"/>
        </w:rPr>
        <w:tab/>
        <w:t>Edgar R, Haas B, Clemente J (2011) UCHIME improves sensitivity and speed of chimera detection. … 27: 2194–2200. doi:10.1093/bioinformatics/btr381.</w:t>
      </w:r>
    </w:p>
    <w:p w14:paraId="67811DC6" w14:textId="77777777" w:rsidR="00A42FA9" w:rsidRPr="00A42FA9" w:rsidRDefault="00A42FA9">
      <w:pPr>
        <w:pStyle w:val="NormalWeb"/>
        <w:ind w:left="640" w:hanging="640"/>
        <w:divId w:val="1977488626"/>
        <w:rPr>
          <w:rFonts w:ascii="Times New Roman" w:hAnsi="Times New Roman"/>
          <w:noProof/>
          <w:sz w:val="24"/>
        </w:rPr>
      </w:pPr>
      <w:r w:rsidRPr="00A42FA9">
        <w:rPr>
          <w:rFonts w:ascii="Times New Roman" w:hAnsi="Times New Roman"/>
          <w:noProof/>
          <w:sz w:val="24"/>
        </w:rPr>
        <w:t xml:space="preserve">5. </w:t>
      </w:r>
      <w:r w:rsidRPr="00A42FA9">
        <w:rPr>
          <w:rFonts w:ascii="Times New Roman" w:hAnsi="Times New Roman"/>
          <w:noProof/>
          <w:sz w:val="24"/>
        </w:rPr>
        <w:tab/>
        <w:t>Cook RD, Sanford W (1982) Residuals and influence in regression. New York, NY: Chapman &amp; Hall.</w:t>
      </w:r>
    </w:p>
    <w:p w14:paraId="5F601403" w14:textId="77777777" w:rsidR="00A42FA9" w:rsidRPr="00A42FA9" w:rsidRDefault="00A42FA9">
      <w:pPr>
        <w:pStyle w:val="NormalWeb"/>
        <w:ind w:left="640" w:hanging="640"/>
        <w:divId w:val="1977488626"/>
        <w:rPr>
          <w:rFonts w:ascii="Times New Roman" w:hAnsi="Times New Roman"/>
          <w:noProof/>
          <w:sz w:val="24"/>
        </w:rPr>
      </w:pPr>
      <w:r w:rsidRPr="00A42FA9">
        <w:rPr>
          <w:rFonts w:ascii="Times New Roman" w:hAnsi="Times New Roman"/>
          <w:noProof/>
          <w:sz w:val="24"/>
        </w:rPr>
        <w:t xml:space="preserve">6. </w:t>
      </w:r>
      <w:r w:rsidRPr="00A42FA9">
        <w:rPr>
          <w:rFonts w:ascii="Times New Roman" w:hAnsi="Times New Roman"/>
          <w:noProof/>
          <w:sz w:val="24"/>
        </w:rPr>
        <w:tab/>
        <w:t>Ewens W (1972) The sampling theory of selectively neutral alleles. Theoretical population biology 3: 87–112.</w:t>
      </w:r>
    </w:p>
    <w:p w14:paraId="03ECA430" w14:textId="77777777" w:rsidR="00A42FA9" w:rsidRPr="00A42FA9" w:rsidRDefault="00A42FA9">
      <w:pPr>
        <w:pStyle w:val="NormalWeb"/>
        <w:ind w:left="640" w:hanging="640"/>
        <w:divId w:val="1977488626"/>
        <w:rPr>
          <w:rFonts w:ascii="Times New Roman" w:hAnsi="Times New Roman"/>
          <w:noProof/>
          <w:sz w:val="24"/>
        </w:rPr>
      </w:pPr>
      <w:r w:rsidRPr="00A42FA9">
        <w:rPr>
          <w:rFonts w:ascii="Times New Roman" w:hAnsi="Times New Roman"/>
          <w:noProof/>
          <w:sz w:val="24"/>
        </w:rPr>
        <w:t xml:space="preserve">7. </w:t>
      </w:r>
      <w:r w:rsidRPr="00A42FA9">
        <w:rPr>
          <w:rFonts w:ascii="Times New Roman" w:hAnsi="Times New Roman"/>
          <w:noProof/>
          <w:sz w:val="24"/>
        </w:rPr>
        <w:tab/>
        <w:t>Ryman N, Palm S (2006) POWSIM: a computer program for assessing statistical power when testing for genetic differentiation. Molecular Ecology Notes 6: 600–602. doi:10.1111/j.1365-294X.2006.01378.x.</w:t>
      </w:r>
    </w:p>
    <w:p w14:paraId="35B7C447" w14:textId="10190109" w:rsidR="008C00FC" w:rsidRPr="00281CCD" w:rsidRDefault="00A42FA9" w:rsidP="00281CCD">
      <w:pPr>
        <w:pStyle w:val="NormalWeb"/>
        <w:ind w:left="640" w:hanging="640"/>
        <w:divId w:val="1977488626"/>
        <w:rPr>
          <w:rFonts w:ascii="Times New Roman" w:hAnsi="Times New Roman"/>
          <w:noProof/>
          <w:sz w:val="24"/>
        </w:rPr>
      </w:pPr>
      <w:r w:rsidRPr="00A42FA9">
        <w:rPr>
          <w:rFonts w:ascii="Times New Roman" w:hAnsi="Times New Roman"/>
          <w:noProof/>
          <w:sz w:val="24"/>
        </w:rPr>
        <w:t xml:space="preserve">8. </w:t>
      </w:r>
      <w:r w:rsidRPr="00A42FA9">
        <w:rPr>
          <w:rFonts w:ascii="Times New Roman" w:hAnsi="Times New Roman"/>
          <w:noProof/>
          <w:sz w:val="24"/>
        </w:rPr>
        <w:tab/>
        <w:t>Wright S, MePhee HC (1925) An approximate method of calculating coefficients of inbreeding and relationship. J Agric Res 31: 377–383.</w:t>
      </w:r>
      <w:r w:rsidR="008C00FC" w:rsidRPr="008A37D7">
        <w:rPr>
          <w:rFonts w:ascii="Times New Roman" w:hAnsi="Times New Roman"/>
          <w:sz w:val="24"/>
          <w:szCs w:val="24"/>
        </w:rPr>
        <w:fldChar w:fldCharType="end"/>
      </w:r>
    </w:p>
    <w:sectPr w:rsidR="008C00FC" w:rsidRPr="00281CCD" w:rsidSect="002C17C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C6F38" w14:textId="77777777" w:rsidR="00A42FA9" w:rsidRDefault="00A42FA9" w:rsidP="00326D96">
      <w:r>
        <w:separator/>
      </w:r>
    </w:p>
  </w:endnote>
  <w:endnote w:type="continuationSeparator" w:id="0">
    <w:p w14:paraId="59E1DDBD" w14:textId="77777777" w:rsidR="00A42FA9" w:rsidRDefault="00A42FA9" w:rsidP="0032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Math">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50CCB" w14:textId="77777777" w:rsidR="00A42FA9" w:rsidRDefault="00A42FA9" w:rsidP="00326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0290AD" w14:textId="77777777" w:rsidR="00A42FA9" w:rsidRDefault="00A42FA9" w:rsidP="00326D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C9203" w14:textId="77777777" w:rsidR="00A42FA9" w:rsidRDefault="00A42FA9" w:rsidP="00326D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49CC">
      <w:rPr>
        <w:rStyle w:val="PageNumber"/>
        <w:noProof/>
      </w:rPr>
      <w:t>1</w:t>
    </w:r>
    <w:r>
      <w:rPr>
        <w:rStyle w:val="PageNumber"/>
      </w:rPr>
      <w:fldChar w:fldCharType="end"/>
    </w:r>
  </w:p>
  <w:p w14:paraId="5C84B3A4" w14:textId="77777777" w:rsidR="00A42FA9" w:rsidRDefault="00A42FA9" w:rsidP="00326D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14072A" w14:textId="77777777" w:rsidR="00A42FA9" w:rsidRDefault="00A42FA9" w:rsidP="00326D96">
      <w:r>
        <w:separator/>
      </w:r>
    </w:p>
  </w:footnote>
  <w:footnote w:type="continuationSeparator" w:id="0">
    <w:p w14:paraId="1B2F9E12" w14:textId="77777777" w:rsidR="00A42FA9" w:rsidRDefault="00A42FA9" w:rsidP="00326D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391"/>
    <w:rsid w:val="00055228"/>
    <w:rsid w:val="00057B5E"/>
    <w:rsid w:val="000C789A"/>
    <w:rsid w:val="00110395"/>
    <w:rsid w:val="00115D17"/>
    <w:rsid w:val="001673D5"/>
    <w:rsid w:val="001F3469"/>
    <w:rsid w:val="002711B9"/>
    <w:rsid w:val="00281CCD"/>
    <w:rsid w:val="002C17C2"/>
    <w:rsid w:val="002E6BBA"/>
    <w:rsid w:val="0032566E"/>
    <w:rsid w:val="00326D96"/>
    <w:rsid w:val="00382172"/>
    <w:rsid w:val="003A32C0"/>
    <w:rsid w:val="003F03F3"/>
    <w:rsid w:val="004177C5"/>
    <w:rsid w:val="00473918"/>
    <w:rsid w:val="004B4F0A"/>
    <w:rsid w:val="0050729C"/>
    <w:rsid w:val="005D1C70"/>
    <w:rsid w:val="005D2538"/>
    <w:rsid w:val="005D6692"/>
    <w:rsid w:val="00641947"/>
    <w:rsid w:val="0071224E"/>
    <w:rsid w:val="007A15AD"/>
    <w:rsid w:val="007D4AAC"/>
    <w:rsid w:val="007E1518"/>
    <w:rsid w:val="008025F1"/>
    <w:rsid w:val="008049CC"/>
    <w:rsid w:val="00811391"/>
    <w:rsid w:val="00845CC6"/>
    <w:rsid w:val="00855888"/>
    <w:rsid w:val="00864762"/>
    <w:rsid w:val="00892547"/>
    <w:rsid w:val="00894429"/>
    <w:rsid w:val="008A20C7"/>
    <w:rsid w:val="008A37D7"/>
    <w:rsid w:val="008C00FC"/>
    <w:rsid w:val="008C380D"/>
    <w:rsid w:val="008D7AE0"/>
    <w:rsid w:val="008E54D1"/>
    <w:rsid w:val="00921932"/>
    <w:rsid w:val="009316ED"/>
    <w:rsid w:val="009B694F"/>
    <w:rsid w:val="00A25BFA"/>
    <w:rsid w:val="00A42FA9"/>
    <w:rsid w:val="00A505B4"/>
    <w:rsid w:val="00A872FE"/>
    <w:rsid w:val="00B104DA"/>
    <w:rsid w:val="00B440A6"/>
    <w:rsid w:val="00B74BE7"/>
    <w:rsid w:val="00C23A4A"/>
    <w:rsid w:val="00C36B51"/>
    <w:rsid w:val="00C4202E"/>
    <w:rsid w:val="00C65315"/>
    <w:rsid w:val="00CB55D6"/>
    <w:rsid w:val="00CE1E4A"/>
    <w:rsid w:val="00CE3F10"/>
    <w:rsid w:val="00D07FCD"/>
    <w:rsid w:val="00D207F5"/>
    <w:rsid w:val="00D329D9"/>
    <w:rsid w:val="00D32DD9"/>
    <w:rsid w:val="00D762C8"/>
    <w:rsid w:val="00D84A59"/>
    <w:rsid w:val="00DB4587"/>
    <w:rsid w:val="00DF79A0"/>
    <w:rsid w:val="00E01401"/>
    <w:rsid w:val="00E33587"/>
    <w:rsid w:val="00E60B58"/>
    <w:rsid w:val="00E62348"/>
    <w:rsid w:val="00E7252C"/>
    <w:rsid w:val="00E963A8"/>
    <w:rsid w:val="00EB250C"/>
    <w:rsid w:val="00EC5CA5"/>
    <w:rsid w:val="00ED0F75"/>
    <w:rsid w:val="00EF61C2"/>
    <w:rsid w:val="00F616DF"/>
    <w:rsid w:val="00F80FB4"/>
    <w:rsid w:val="00F9019D"/>
    <w:rsid w:val="00FA7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19A10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2FE"/>
    <w:rPr>
      <w:sz w:val="16"/>
      <w:szCs w:val="16"/>
    </w:rPr>
  </w:style>
  <w:style w:type="paragraph" w:styleId="CommentText">
    <w:name w:val="annotation text"/>
    <w:basedOn w:val="Normal"/>
    <w:link w:val="CommentTextChar"/>
    <w:uiPriority w:val="99"/>
    <w:semiHidden/>
    <w:unhideWhenUsed/>
    <w:rsid w:val="00A872FE"/>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A872FE"/>
    <w:rPr>
      <w:rFonts w:eastAsiaTheme="minorHAnsi"/>
      <w:sz w:val="20"/>
      <w:szCs w:val="20"/>
    </w:rPr>
  </w:style>
  <w:style w:type="paragraph" w:styleId="BalloonText">
    <w:name w:val="Balloon Text"/>
    <w:basedOn w:val="Normal"/>
    <w:link w:val="BalloonTextChar"/>
    <w:uiPriority w:val="99"/>
    <w:semiHidden/>
    <w:unhideWhenUsed/>
    <w:rsid w:val="00A872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2FE"/>
    <w:rPr>
      <w:rFonts w:ascii="Lucida Grande" w:hAnsi="Lucida Grande" w:cs="Lucida Grande"/>
      <w:sz w:val="18"/>
      <w:szCs w:val="18"/>
    </w:rPr>
  </w:style>
  <w:style w:type="paragraph" w:styleId="BodyText2">
    <w:name w:val="Body Text 2"/>
    <w:basedOn w:val="Normal"/>
    <w:link w:val="BodyText2Char"/>
    <w:rsid w:val="00F9019D"/>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F9019D"/>
    <w:rPr>
      <w:rFonts w:ascii="Times New Roman" w:eastAsia="Times New Roman" w:hAnsi="Times New Roman" w:cs="Times New Roman"/>
    </w:rPr>
  </w:style>
  <w:style w:type="paragraph" w:styleId="NormalWeb">
    <w:name w:val="Normal (Web)"/>
    <w:basedOn w:val="Normal"/>
    <w:uiPriority w:val="99"/>
    <w:unhideWhenUsed/>
    <w:rsid w:val="008C00FC"/>
    <w:pPr>
      <w:spacing w:before="100" w:beforeAutospacing="1" w:after="100" w:afterAutospacing="1"/>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473918"/>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473918"/>
    <w:rPr>
      <w:rFonts w:eastAsiaTheme="minorHAnsi"/>
      <w:b/>
      <w:bCs/>
      <w:sz w:val="20"/>
      <w:szCs w:val="20"/>
    </w:rPr>
  </w:style>
  <w:style w:type="character" w:styleId="LineNumber">
    <w:name w:val="line number"/>
    <w:basedOn w:val="DefaultParagraphFont"/>
    <w:uiPriority w:val="99"/>
    <w:semiHidden/>
    <w:unhideWhenUsed/>
    <w:rsid w:val="00326D96"/>
  </w:style>
  <w:style w:type="paragraph" w:styleId="Footer">
    <w:name w:val="footer"/>
    <w:basedOn w:val="Normal"/>
    <w:link w:val="FooterChar"/>
    <w:uiPriority w:val="99"/>
    <w:unhideWhenUsed/>
    <w:rsid w:val="00326D96"/>
    <w:pPr>
      <w:tabs>
        <w:tab w:val="center" w:pos="4320"/>
        <w:tab w:val="right" w:pos="8640"/>
      </w:tabs>
    </w:pPr>
  </w:style>
  <w:style w:type="character" w:customStyle="1" w:styleId="FooterChar">
    <w:name w:val="Footer Char"/>
    <w:basedOn w:val="DefaultParagraphFont"/>
    <w:link w:val="Footer"/>
    <w:uiPriority w:val="99"/>
    <w:rsid w:val="00326D96"/>
  </w:style>
  <w:style w:type="character" w:styleId="PageNumber">
    <w:name w:val="page number"/>
    <w:basedOn w:val="DefaultParagraphFont"/>
    <w:uiPriority w:val="99"/>
    <w:semiHidden/>
    <w:unhideWhenUsed/>
    <w:rsid w:val="00326D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2FE"/>
    <w:rPr>
      <w:sz w:val="16"/>
      <w:szCs w:val="16"/>
    </w:rPr>
  </w:style>
  <w:style w:type="paragraph" w:styleId="CommentText">
    <w:name w:val="annotation text"/>
    <w:basedOn w:val="Normal"/>
    <w:link w:val="CommentTextChar"/>
    <w:uiPriority w:val="99"/>
    <w:semiHidden/>
    <w:unhideWhenUsed/>
    <w:rsid w:val="00A872FE"/>
    <w:pPr>
      <w:spacing w:after="200"/>
    </w:pPr>
    <w:rPr>
      <w:rFonts w:eastAsiaTheme="minorHAnsi"/>
      <w:sz w:val="20"/>
      <w:szCs w:val="20"/>
    </w:rPr>
  </w:style>
  <w:style w:type="character" w:customStyle="1" w:styleId="CommentTextChar">
    <w:name w:val="Comment Text Char"/>
    <w:basedOn w:val="DefaultParagraphFont"/>
    <w:link w:val="CommentText"/>
    <w:uiPriority w:val="99"/>
    <w:semiHidden/>
    <w:rsid w:val="00A872FE"/>
    <w:rPr>
      <w:rFonts w:eastAsiaTheme="minorHAnsi"/>
      <w:sz w:val="20"/>
      <w:szCs w:val="20"/>
    </w:rPr>
  </w:style>
  <w:style w:type="paragraph" w:styleId="BalloonText">
    <w:name w:val="Balloon Text"/>
    <w:basedOn w:val="Normal"/>
    <w:link w:val="BalloonTextChar"/>
    <w:uiPriority w:val="99"/>
    <w:semiHidden/>
    <w:unhideWhenUsed/>
    <w:rsid w:val="00A872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872FE"/>
    <w:rPr>
      <w:rFonts w:ascii="Lucida Grande" w:hAnsi="Lucida Grande" w:cs="Lucida Grande"/>
      <w:sz w:val="18"/>
      <w:szCs w:val="18"/>
    </w:rPr>
  </w:style>
  <w:style w:type="paragraph" w:styleId="BodyText2">
    <w:name w:val="Body Text 2"/>
    <w:basedOn w:val="Normal"/>
    <w:link w:val="BodyText2Char"/>
    <w:rsid w:val="00F9019D"/>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F9019D"/>
    <w:rPr>
      <w:rFonts w:ascii="Times New Roman" w:eastAsia="Times New Roman" w:hAnsi="Times New Roman" w:cs="Times New Roman"/>
    </w:rPr>
  </w:style>
  <w:style w:type="paragraph" w:styleId="NormalWeb">
    <w:name w:val="Normal (Web)"/>
    <w:basedOn w:val="Normal"/>
    <w:uiPriority w:val="99"/>
    <w:unhideWhenUsed/>
    <w:rsid w:val="008C00FC"/>
    <w:pPr>
      <w:spacing w:before="100" w:beforeAutospacing="1" w:after="100" w:afterAutospacing="1"/>
    </w:pPr>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473918"/>
    <w:pPr>
      <w:spacing w:after="0"/>
    </w:pPr>
    <w:rPr>
      <w:rFonts w:eastAsiaTheme="minorEastAsia"/>
      <w:b/>
      <w:bCs/>
    </w:rPr>
  </w:style>
  <w:style w:type="character" w:customStyle="1" w:styleId="CommentSubjectChar">
    <w:name w:val="Comment Subject Char"/>
    <w:basedOn w:val="CommentTextChar"/>
    <w:link w:val="CommentSubject"/>
    <w:uiPriority w:val="99"/>
    <w:semiHidden/>
    <w:rsid w:val="00473918"/>
    <w:rPr>
      <w:rFonts w:eastAsiaTheme="minorHAnsi"/>
      <w:b/>
      <w:bCs/>
      <w:sz w:val="20"/>
      <w:szCs w:val="20"/>
    </w:rPr>
  </w:style>
  <w:style w:type="character" w:styleId="LineNumber">
    <w:name w:val="line number"/>
    <w:basedOn w:val="DefaultParagraphFont"/>
    <w:uiPriority w:val="99"/>
    <w:semiHidden/>
    <w:unhideWhenUsed/>
    <w:rsid w:val="00326D96"/>
  </w:style>
  <w:style w:type="paragraph" w:styleId="Footer">
    <w:name w:val="footer"/>
    <w:basedOn w:val="Normal"/>
    <w:link w:val="FooterChar"/>
    <w:uiPriority w:val="99"/>
    <w:unhideWhenUsed/>
    <w:rsid w:val="00326D96"/>
    <w:pPr>
      <w:tabs>
        <w:tab w:val="center" w:pos="4320"/>
        <w:tab w:val="right" w:pos="8640"/>
      </w:tabs>
    </w:pPr>
  </w:style>
  <w:style w:type="character" w:customStyle="1" w:styleId="FooterChar">
    <w:name w:val="Footer Char"/>
    <w:basedOn w:val="DefaultParagraphFont"/>
    <w:link w:val="Footer"/>
    <w:uiPriority w:val="99"/>
    <w:rsid w:val="00326D96"/>
  </w:style>
  <w:style w:type="character" w:styleId="PageNumber">
    <w:name w:val="page number"/>
    <w:basedOn w:val="DefaultParagraphFont"/>
    <w:uiPriority w:val="99"/>
    <w:semiHidden/>
    <w:unhideWhenUsed/>
    <w:rsid w:val="00326D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2677943">
      <w:bodyDiv w:val="1"/>
      <w:marLeft w:val="0"/>
      <w:marRight w:val="0"/>
      <w:marTop w:val="0"/>
      <w:marBottom w:val="0"/>
      <w:divBdr>
        <w:top w:val="none" w:sz="0" w:space="0" w:color="auto"/>
        <w:left w:val="none" w:sz="0" w:space="0" w:color="auto"/>
        <w:bottom w:val="none" w:sz="0" w:space="0" w:color="auto"/>
        <w:right w:val="none" w:sz="0" w:space="0" w:color="auto"/>
      </w:divBdr>
      <w:divsChild>
        <w:div w:id="446966180">
          <w:marLeft w:val="0"/>
          <w:marRight w:val="0"/>
          <w:marTop w:val="0"/>
          <w:marBottom w:val="0"/>
          <w:divBdr>
            <w:top w:val="none" w:sz="0" w:space="0" w:color="auto"/>
            <w:left w:val="none" w:sz="0" w:space="0" w:color="auto"/>
            <w:bottom w:val="none" w:sz="0" w:space="0" w:color="auto"/>
            <w:right w:val="none" w:sz="0" w:space="0" w:color="auto"/>
          </w:divBdr>
          <w:divsChild>
            <w:div w:id="1081953744">
              <w:marLeft w:val="0"/>
              <w:marRight w:val="0"/>
              <w:marTop w:val="0"/>
              <w:marBottom w:val="0"/>
              <w:divBdr>
                <w:top w:val="none" w:sz="0" w:space="0" w:color="auto"/>
                <w:left w:val="none" w:sz="0" w:space="0" w:color="auto"/>
                <w:bottom w:val="none" w:sz="0" w:space="0" w:color="auto"/>
                <w:right w:val="none" w:sz="0" w:space="0" w:color="auto"/>
              </w:divBdr>
              <w:divsChild>
                <w:div w:id="1896306551">
                  <w:marLeft w:val="0"/>
                  <w:marRight w:val="0"/>
                  <w:marTop w:val="0"/>
                  <w:marBottom w:val="0"/>
                  <w:divBdr>
                    <w:top w:val="none" w:sz="0" w:space="0" w:color="auto"/>
                    <w:left w:val="none" w:sz="0" w:space="0" w:color="auto"/>
                    <w:bottom w:val="none" w:sz="0" w:space="0" w:color="auto"/>
                    <w:right w:val="none" w:sz="0" w:space="0" w:color="auto"/>
                  </w:divBdr>
                  <w:divsChild>
                    <w:div w:id="762457517">
                      <w:marLeft w:val="0"/>
                      <w:marRight w:val="0"/>
                      <w:marTop w:val="0"/>
                      <w:marBottom w:val="0"/>
                      <w:divBdr>
                        <w:top w:val="none" w:sz="0" w:space="0" w:color="auto"/>
                        <w:left w:val="none" w:sz="0" w:space="0" w:color="auto"/>
                        <w:bottom w:val="none" w:sz="0" w:space="0" w:color="auto"/>
                        <w:right w:val="none" w:sz="0" w:space="0" w:color="auto"/>
                      </w:divBdr>
                      <w:divsChild>
                        <w:div w:id="472791758">
                          <w:marLeft w:val="0"/>
                          <w:marRight w:val="0"/>
                          <w:marTop w:val="0"/>
                          <w:marBottom w:val="0"/>
                          <w:divBdr>
                            <w:top w:val="none" w:sz="0" w:space="0" w:color="auto"/>
                            <w:left w:val="none" w:sz="0" w:space="0" w:color="auto"/>
                            <w:bottom w:val="none" w:sz="0" w:space="0" w:color="auto"/>
                            <w:right w:val="none" w:sz="0" w:space="0" w:color="auto"/>
                          </w:divBdr>
                          <w:divsChild>
                            <w:div w:id="176429557">
                              <w:marLeft w:val="0"/>
                              <w:marRight w:val="0"/>
                              <w:marTop w:val="0"/>
                              <w:marBottom w:val="0"/>
                              <w:divBdr>
                                <w:top w:val="none" w:sz="0" w:space="0" w:color="auto"/>
                                <w:left w:val="none" w:sz="0" w:space="0" w:color="auto"/>
                                <w:bottom w:val="none" w:sz="0" w:space="0" w:color="auto"/>
                                <w:right w:val="none" w:sz="0" w:space="0" w:color="auto"/>
                              </w:divBdr>
                              <w:divsChild>
                                <w:div w:id="590167511">
                                  <w:marLeft w:val="0"/>
                                  <w:marRight w:val="0"/>
                                  <w:marTop w:val="0"/>
                                  <w:marBottom w:val="0"/>
                                  <w:divBdr>
                                    <w:top w:val="none" w:sz="0" w:space="0" w:color="auto"/>
                                    <w:left w:val="none" w:sz="0" w:space="0" w:color="auto"/>
                                    <w:bottom w:val="none" w:sz="0" w:space="0" w:color="auto"/>
                                    <w:right w:val="none" w:sz="0" w:space="0" w:color="auto"/>
                                  </w:divBdr>
                                  <w:divsChild>
                                    <w:div w:id="949626384">
                                      <w:marLeft w:val="0"/>
                                      <w:marRight w:val="0"/>
                                      <w:marTop w:val="0"/>
                                      <w:marBottom w:val="0"/>
                                      <w:divBdr>
                                        <w:top w:val="none" w:sz="0" w:space="0" w:color="auto"/>
                                        <w:left w:val="none" w:sz="0" w:space="0" w:color="auto"/>
                                        <w:bottom w:val="none" w:sz="0" w:space="0" w:color="auto"/>
                                        <w:right w:val="none" w:sz="0" w:space="0" w:color="auto"/>
                                      </w:divBdr>
                                      <w:divsChild>
                                        <w:div w:id="197748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3302</Words>
  <Characters>18825</Characters>
  <Application>Microsoft Macintosh Word</Application>
  <DocSecurity>0</DocSecurity>
  <Lines>156</Lines>
  <Paragraphs>44</Paragraphs>
  <ScaleCrop>false</ScaleCrop>
  <Company/>
  <LinksUpToDate>false</LinksUpToDate>
  <CharactersWithSpaces>22083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Peter Zimmerman</cp:lastModifiedBy>
  <cp:revision>2</cp:revision>
  <cp:lastPrinted>2013-04-09T15:38:00Z</cp:lastPrinted>
  <dcterms:created xsi:type="dcterms:W3CDTF">2013-06-05T18:33:00Z</dcterms:created>
  <dcterms:modified xsi:type="dcterms:W3CDTF">2013-06-05T18:33:00Z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stsmall@gmail.com@www.mendeley.com</vt:lpwstr>
  </property>
  <property fmtid="{D5CDD505-2E9C-101B-9397-08002B2CF9AE}" pid="4" name="Mendeley Citation Style_1">
    <vt:lpwstr>http://www.zotero.org/styles/plos-neglected-tropical-diseases</vt:lpwstr>
  </property>
  <property fmtid="{D5CDD505-2E9C-101B-9397-08002B2CF9AE}" pid="5" name="Mendeley Recent Style Id 0_1">
    <vt:lpwstr>http://www.zotero.org/styles/apsa</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http://www.zotero.org/styles/asa</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http://www.zotero.org/styles/mhra</vt:lpwstr>
  </property>
  <property fmtid="{D5CDD505-2E9C-101B-9397-08002B2CF9AE}" pid="18" name="Mendeley Recent Style Name 6_1">
    <vt:lpwstr>Modern Humanities Research Association (note with bibliography)</vt:lpwstr>
  </property>
  <property fmtid="{D5CDD505-2E9C-101B-9397-08002B2CF9AE}" pid="19" name="Mendeley Recent Style Id 7_1">
    <vt:lpwstr>http://www.zotero.org/styles/mla</vt:lpwstr>
  </property>
  <property fmtid="{D5CDD505-2E9C-101B-9397-08002B2CF9AE}" pid="20" name="Mendeley Recent Style Name 7_1">
    <vt:lpwstr>Modern Language Association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http://www.zotero.org/styles/plos-neglected-tropical-diseases</vt:lpwstr>
  </property>
  <property fmtid="{D5CDD505-2E9C-101B-9397-08002B2CF9AE}" pid="24" name="Mendeley Recent Style Name 9_1">
    <vt:lpwstr>PLoS Neglected Tropical Diseases</vt:lpwstr>
  </property>
</Properties>
</file>