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5E6A5" w14:textId="740D91D0" w:rsidR="00B81696" w:rsidRPr="00760851" w:rsidRDefault="00B81696" w:rsidP="00B81696">
      <w:pPr>
        <w:spacing w:line="480" w:lineRule="auto"/>
        <w:rPr>
          <w:rFonts w:ascii="Georgia" w:hAnsi="Georgia"/>
        </w:rPr>
      </w:pPr>
      <w:r w:rsidRPr="00B81696">
        <w:rPr>
          <w:rFonts w:ascii="Georgia" w:hAnsi="Georgia"/>
          <w:b/>
          <w:bCs/>
        </w:rPr>
        <w:t xml:space="preserve">S3 </w:t>
      </w:r>
      <w:r w:rsidRPr="00B81696">
        <w:rPr>
          <w:rFonts w:ascii="Georgia" w:hAnsi="Georgia"/>
          <w:b/>
          <w:bCs/>
        </w:rPr>
        <w:t>Fig</w:t>
      </w:r>
      <w:r w:rsidRPr="00760851">
        <w:rPr>
          <w:rFonts w:ascii="Georgia" w:hAnsi="Georgia"/>
        </w:rPr>
        <w:t>. Directed acyclic graph depicting the causal relations between exposure of interest (</w:t>
      </w:r>
      <w:r>
        <w:rPr>
          <w:rFonts w:ascii="Georgia" w:hAnsi="Georgia"/>
        </w:rPr>
        <w:t>Previously treated TB</w:t>
      </w:r>
      <w:r w:rsidRPr="00760851">
        <w:rPr>
          <w:rFonts w:ascii="Georgia" w:hAnsi="Georgia"/>
        </w:rPr>
        <w:t>), outcome of interest (loss to follow-up) and other covariates.</w:t>
      </w:r>
    </w:p>
    <w:p w14:paraId="01FE1473" w14:textId="77777777" w:rsidR="00B81696" w:rsidRPr="00760851" w:rsidRDefault="00B81696" w:rsidP="00B81696">
      <w:pPr>
        <w:spacing w:line="480" w:lineRule="auto"/>
        <w:rPr>
          <w:rFonts w:ascii="Georgia" w:hAnsi="Georgia"/>
        </w:rPr>
      </w:pPr>
      <w:r w:rsidRPr="00760851">
        <w:rPr>
          <w:rFonts w:ascii="Georgia" w:hAnsi="Georgia"/>
          <w:noProof/>
        </w:rPr>
        <w:drawing>
          <wp:inline distT="0" distB="0" distL="0" distR="0" wp14:anchorId="74901A5E" wp14:editId="57507768">
            <wp:extent cx="5943600" cy="2667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31E5A" w14:textId="77777777" w:rsidR="00B81696" w:rsidRPr="00760851" w:rsidRDefault="00B81696" w:rsidP="00B81696">
      <w:pPr>
        <w:spacing w:line="480" w:lineRule="auto"/>
        <w:rPr>
          <w:rFonts w:ascii="Georgia" w:hAnsi="Georgia"/>
        </w:rPr>
      </w:pPr>
      <w:r w:rsidRPr="00760851">
        <w:rPr>
          <w:rFonts w:ascii="Georgia" w:hAnsi="Georgia"/>
        </w:rPr>
        <w:t xml:space="preserve">Abbreviations: </w:t>
      </w:r>
      <w:r>
        <w:rPr>
          <w:rFonts w:ascii="Georgia" w:hAnsi="Georgia"/>
        </w:rPr>
        <w:t>TB, tuberculosis; MDR, multidrug-resistant.</w:t>
      </w:r>
    </w:p>
    <w:p w14:paraId="7C5D2C43" w14:textId="77777777" w:rsidR="008C446E" w:rsidRDefault="008C446E"/>
    <w:sectPr w:rsidR="008C4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YwNTOwMDc3MjcxNjdX0lEKTi0uzszPAykwrAUACzEKdiwAAAA="/>
  </w:docVars>
  <w:rsids>
    <w:rsidRoot w:val="0077211E"/>
    <w:rsid w:val="0077211E"/>
    <w:rsid w:val="008C446E"/>
    <w:rsid w:val="00A76138"/>
    <w:rsid w:val="00B81696"/>
    <w:rsid w:val="00D9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4E79E"/>
  <w15:chartTrackingRefBased/>
  <w15:docId w15:val="{B99D2BA6-D727-474D-87E5-2B2E9D39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69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Davit Baliashvili</dc:creator>
  <cp:keywords/>
  <dc:description/>
  <cp:lastModifiedBy>Davit Baliashvili</cp:lastModifiedBy>
  <cp:revision>2</cp:revision>
  <dcterms:created xsi:type="dcterms:W3CDTF">2023-03-21T07:08:00Z</dcterms:created>
  <dcterms:modified xsi:type="dcterms:W3CDTF">2023-03-21T07:08:00Z</dcterms:modified>
</cp:coreProperties>
</file>