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BE9D3" w14:textId="23A63FD8" w:rsidR="00C5099A" w:rsidRPr="00871450" w:rsidRDefault="000D143A" w:rsidP="00C5099A">
      <w:pPr>
        <w:spacing w:line="276" w:lineRule="auto"/>
        <w:rPr>
          <w:rFonts w:ascii="Arial" w:hAnsi="Arial" w:cs="Arial"/>
          <w:b/>
          <w:bCs/>
          <w:sz w:val="28"/>
          <w:szCs w:val="28"/>
        </w:rPr>
      </w:pPr>
      <w:bookmarkStart w:id="0" w:name="_Toc2379539"/>
      <w:r w:rsidRPr="000D143A">
        <w:rPr>
          <w:rFonts w:ascii="Arial" w:hAnsi="Arial" w:cs="Arial"/>
          <w:b/>
          <w:bCs/>
          <w:sz w:val="28"/>
          <w:szCs w:val="28"/>
        </w:rPr>
        <w:t>Estimated economic burden of genital herpes and HIV attributable to herpes simplex virus type-2 infections in 90 low and middle income countries: A modeling study</w:t>
      </w:r>
    </w:p>
    <w:p w14:paraId="51D82813" w14:textId="065646CC" w:rsidR="00160CC8" w:rsidRDefault="00160CC8" w:rsidP="00160CC8">
      <w:pPr>
        <w:spacing w:line="276" w:lineRule="auto"/>
        <w:rPr>
          <w:rFonts w:ascii="Arial" w:hAnsi="Arial" w:cs="Arial"/>
          <w:bCs/>
          <w:sz w:val="22"/>
          <w:szCs w:val="22"/>
        </w:rPr>
      </w:pPr>
    </w:p>
    <w:p w14:paraId="36E6B8AE" w14:textId="2A03B331" w:rsidR="00160CC8" w:rsidRPr="008D6407" w:rsidRDefault="00160CC8" w:rsidP="00160CC8">
      <w:pPr>
        <w:spacing w:line="276" w:lineRule="auto"/>
        <w:rPr>
          <w:rFonts w:ascii="Arial" w:hAnsi="Arial" w:cs="Arial"/>
          <w:b/>
          <w:sz w:val="28"/>
          <w:szCs w:val="28"/>
        </w:rPr>
      </w:pPr>
      <w:r w:rsidRPr="008D6407">
        <w:rPr>
          <w:rFonts w:ascii="Arial" w:hAnsi="Arial" w:cs="Arial"/>
          <w:b/>
          <w:sz w:val="28"/>
          <w:szCs w:val="28"/>
        </w:rPr>
        <w:t>S</w:t>
      </w:r>
      <w:r w:rsidR="00E67F84">
        <w:rPr>
          <w:rFonts w:ascii="Arial" w:hAnsi="Arial" w:cs="Arial"/>
          <w:b/>
          <w:sz w:val="28"/>
          <w:szCs w:val="28"/>
        </w:rPr>
        <w:t>upplementary</w:t>
      </w:r>
      <w:r w:rsidRPr="008D6407">
        <w:rPr>
          <w:rFonts w:ascii="Arial" w:hAnsi="Arial" w:cs="Arial"/>
          <w:b/>
          <w:sz w:val="28"/>
          <w:szCs w:val="28"/>
        </w:rPr>
        <w:t xml:space="preserve"> Appendix 1</w:t>
      </w:r>
    </w:p>
    <w:p w14:paraId="662896A6" w14:textId="77777777" w:rsidR="00160CC8" w:rsidRPr="00871450" w:rsidRDefault="00160CC8" w:rsidP="00160CC8">
      <w:pPr>
        <w:spacing w:line="276" w:lineRule="auto"/>
        <w:rPr>
          <w:rFonts w:ascii="Arial" w:hAnsi="Arial" w:cs="Arial"/>
          <w:bCs/>
          <w:sz w:val="22"/>
          <w:szCs w:val="22"/>
        </w:rPr>
      </w:pPr>
    </w:p>
    <w:p w14:paraId="034727D5" w14:textId="77777777" w:rsidR="00805AD0" w:rsidRPr="00871450" w:rsidRDefault="00805AD0" w:rsidP="00805AD0">
      <w:pPr>
        <w:spacing w:line="276" w:lineRule="auto"/>
        <w:rPr>
          <w:rFonts w:ascii="Arial" w:hAnsi="Arial" w:cs="Arial"/>
          <w:color w:val="000000" w:themeColor="text1"/>
          <w:vertAlign w:val="superscript"/>
        </w:rPr>
      </w:pPr>
      <w:r w:rsidRPr="00871450">
        <w:rPr>
          <w:rFonts w:ascii="Arial" w:hAnsi="Arial" w:cs="Arial"/>
          <w:color w:val="000000" w:themeColor="text1"/>
        </w:rPr>
        <w:t>Sachin SILVA</w:t>
      </w:r>
      <w:r w:rsidRPr="00871450">
        <w:rPr>
          <w:rFonts w:ascii="Arial" w:hAnsi="Arial" w:cs="Arial"/>
          <w:color w:val="000000" w:themeColor="text1"/>
          <w:vertAlign w:val="superscript"/>
        </w:rPr>
        <w:t>1</w:t>
      </w:r>
      <w:r>
        <w:rPr>
          <w:rFonts w:ascii="Arial" w:hAnsi="Arial" w:cs="Arial"/>
          <w:color w:val="000000" w:themeColor="text1"/>
          <w:vertAlign w:val="superscript"/>
        </w:rPr>
        <w:t>, 2</w:t>
      </w:r>
      <w:r w:rsidRPr="00871450">
        <w:rPr>
          <w:rFonts w:ascii="Arial" w:hAnsi="Arial" w:cs="Arial"/>
          <w:color w:val="000000" w:themeColor="text1"/>
        </w:rPr>
        <w:t>, Houssein</w:t>
      </w:r>
      <w:r>
        <w:rPr>
          <w:rFonts w:ascii="Arial" w:hAnsi="Arial" w:cs="Arial"/>
          <w:color w:val="000000" w:themeColor="text1"/>
        </w:rPr>
        <w:t xml:space="preserve"> H</w:t>
      </w:r>
      <w:r w:rsidRPr="00871450">
        <w:rPr>
          <w:rFonts w:ascii="Arial" w:hAnsi="Arial" w:cs="Arial"/>
          <w:color w:val="000000" w:themeColor="text1"/>
        </w:rPr>
        <w:t xml:space="preserve"> AYOUB</w:t>
      </w:r>
      <w:r>
        <w:rPr>
          <w:rFonts w:ascii="Arial" w:hAnsi="Arial" w:cs="Arial"/>
          <w:color w:val="000000" w:themeColor="text1"/>
          <w:vertAlign w:val="superscript"/>
        </w:rPr>
        <w:t>3</w:t>
      </w:r>
      <w:r w:rsidRPr="00871450">
        <w:rPr>
          <w:rFonts w:ascii="Arial" w:hAnsi="Arial" w:cs="Arial"/>
          <w:color w:val="000000" w:themeColor="text1"/>
        </w:rPr>
        <w:t>,</w:t>
      </w:r>
      <w:r w:rsidRPr="00436A05">
        <w:rPr>
          <w:rFonts w:ascii="Arial" w:hAnsi="Arial" w:cs="Arial"/>
          <w:color w:val="000000" w:themeColor="text1"/>
        </w:rPr>
        <w:t xml:space="preserve"> </w:t>
      </w:r>
      <w:r>
        <w:rPr>
          <w:rFonts w:ascii="Arial" w:hAnsi="Arial" w:cs="Arial"/>
          <w:color w:val="000000" w:themeColor="text1"/>
        </w:rPr>
        <w:t>Christine JOHNSTON</w:t>
      </w:r>
      <w:r>
        <w:rPr>
          <w:rFonts w:ascii="Arial" w:hAnsi="Arial" w:cs="Arial"/>
          <w:color w:val="000000" w:themeColor="text1"/>
          <w:vertAlign w:val="superscript"/>
        </w:rPr>
        <w:t>4,5</w:t>
      </w:r>
      <w:r w:rsidRPr="00871450">
        <w:rPr>
          <w:rFonts w:ascii="Arial" w:hAnsi="Arial" w:cs="Arial"/>
          <w:color w:val="000000" w:themeColor="text1"/>
        </w:rPr>
        <w:t xml:space="preserve">, </w:t>
      </w:r>
      <w:r>
        <w:rPr>
          <w:rFonts w:ascii="Arial" w:hAnsi="Arial" w:cs="Arial"/>
          <w:color w:val="000000" w:themeColor="text1"/>
        </w:rPr>
        <w:t>Rifat ATUN</w:t>
      </w:r>
      <w:r w:rsidRPr="000E21C0">
        <w:rPr>
          <w:rFonts w:ascii="Arial" w:hAnsi="Arial" w:cs="Arial"/>
          <w:color w:val="000000" w:themeColor="text1"/>
          <w:vertAlign w:val="superscript"/>
        </w:rPr>
        <w:t>1</w:t>
      </w:r>
      <w:r w:rsidRPr="00871450">
        <w:rPr>
          <w:rFonts w:ascii="Arial" w:hAnsi="Arial" w:cs="Arial"/>
          <w:color w:val="000000" w:themeColor="text1"/>
        </w:rPr>
        <w:t>, Laith J ABU-RADDAD</w:t>
      </w:r>
      <w:r>
        <w:rPr>
          <w:rFonts w:ascii="Arial" w:hAnsi="Arial" w:cs="Arial"/>
          <w:color w:val="000000" w:themeColor="text1"/>
          <w:vertAlign w:val="superscript"/>
        </w:rPr>
        <w:t>6,7,8</w:t>
      </w:r>
    </w:p>
    <w:p w14:paraId="5BCFC702" w14:textId="77777777" w:rsidR="00805AD0" w:rsidRPr="00871450" w:rsidRDefault="00805AD0" w:rsidP="00805AD0">
      <w:pPr>
        <w:spacing w:line="276" w:lineRule="auto"/>
        <w:rPr>
          <w:rFonts w:ascii="Arial" w:hAnsi="Arial" w:cs="Arial"/>
          <w:color w:val="000000" w:themeColor="text1"/>
          <w:sz w:val="22"/>
          <w:szCs w:val="22"/>
          <w:vertAlign w:val="superscript"/>
        </w:rPr>
      </w:pPr>
    </w:p>
    <w:p w14:paraId="4D126D26" w14:textId="77777777" w:rsidR="00805AD0" w:rsidRPr="00871450" w:rsidRDefault="00805AD0" w:rsidP="00805AD0">
      <w:pPr>
        <w:pStyle w:val="ListParagraph"/>
        <w:numPr>
          <w:ilvl w:val="0"/>
          <w:numId w:val="12"/>
        </w:numPr>
        <w:spacing w:line="276" w:lineRule="auto"/>
        <w:rPr>
          <w:rFonts w:ascii="Arial" w:hAnsi="Arial" w:cs="Arial"/>
          <w:color w:val="000000" w:themeColor="text1"/>
          <w:szCs w:val="22"/>
        </w:rPr>
      </w:pPr>
      <w:r w:rsidRPr="00871450">
        <w:rPr>
          <w:rFonts w:ascii="Arial" w:hAnsi="Arial" w:cs="Arial"/>
          <w:color w:val="000000" w:themeColor="text1"/>
          <w:szCs w:val="22"/>
        </w:rPr>
        <w:t>Harvard TH Chan School of Public Health, Harvard University</w:t>
      </w:r>
    </w:p>
    <w:p w14:paraId="56F217FB" w14:textId="77777777" w:rsidR="00805AD0" w:rsidRDefault="00805AD0" w:rsidP="00805AD0">
      <w:pPr>
        <w:pStyle w:val="ListParagraph"/>
        <w:spacing w:line="276" w:lineRule="auto"/>
        <w:rPr>
          <w:rFonts w:ascii="Arial" w:hAnsi="Arial" w:cs="Arial"/>
          <w:color w:val="000000" w:themeColor="text1"/>
          <w:szCs w:val="22"/>
        </w:rPr>
      </w:pPr>
      <w:r w:rsidRPr="00871450">
        <w:rPr>
          <w:rFonts w:ascii="Arial" w:hAnsi="Arial" w:cs="Arial"/>
          <w:color w:val="000000" w:themeColor="text1"/>
          <w:szCs w:val="22"/>
        </w:rPr>
        <w:t xml:space="preserve">Boston, MA </w:t>
      </w:r>
      <w:r>
        <w:rPr>
          <w:rFonts w:ascii="Arial" w:hAnsi="Arial" w:cs="Arial"/>
          <w:color w:val="000000" w:themeColor="text1"/>
          <w:szCs w:val="22"/>
        </w:rPr>
        <w:t>Massachusetts, United States of America</w:t>
      </w:r>
    </w:p>
    <w:p w14:paraId="208ED579" w14:textId="77777777" w:rsidR="00805AD0" w:rsidRDefault="00805AD0" w:rsidP="00805AD0">
      <w:pPr>
        <w:pStyle w:val="ListParagraph"/>
        <w:numPr>
          <w:ilvl w:val="0"/>
          <w:numId w:val="12"/>
        </w:numPr>
        <w:rPr>
          <w:rFonts w:ascii="Arial" w:hAnsi="Arial" w:cs="Arial"/>
          <w:szCs w:val="22"/>
        </w:rPr>
      </w:pPr>
      <w:r w:rsidRPr="00190CB6">
        <w:rPr>
          <w:rFonts w:ascii="Arial" w:hAnsi="Arial" w:cs="Arial"/>
          <w:szCs w:val="22"/>
        </w:rPr>
        <w:t xml:space="preserve">University of California, San Francisco, Institute for Global Health Sciences, </w:t>
      </w:r>
    </w:p>
    <w:p w14:paraId="22A03BE8" w14:textId="77777777" w:rsidR="00805AD0" w:rsidRPr="00392C24" w:rsidRDefault="00805AD0" w:rsidP="00805AD0">
      <w:pPr>
        <w:pStyle w:val="ListParagraph"/>
        <w:rPr>
          <w:rFonts w:ascii="Arial" w:hAnsi="Arial" w:cs="Arial"/>
          <w:szCs w:val="22"/>
        </w:rPr>
      </w:pPr>
      <w:r w:rsidRPr="00190CB6">
        <w:rPr>
          <w:rFonts w:ascii="Arial" w:hAnsi="Arial" w:cs="Arial"/>
          <w:szCs w:val="22"/>
        </w:rPr>
        <w:t xml:space="preserve">San Francisco, </w:t>
      </w:r>
      <w:r>
        <w:rPr>
          <w:rFonts w:ascii="Arial" w:hAnsi="Arial" w:cs="Arial"/>
          <w:szCs w:val="22"/>
        </w:rPr>
        <w:t>California, United States of America</w:t>
      </w:r>
    </w:p>
    <w:p w14:paraId="7826E88D" w14:textId="77777777" w:rsidR="00805AD0" w:rsidRDefault="00805AD0" w:rsidP="00805AD0">
      <w:pPr>
        <w:pStyle w:val="ListParagraph"/>
        <w:numPr>
          <w:ilvl w:val="0"/>
          <w:numId w:val="12"/>
        </w:numPr>
        <w:spacing w:line="276" w:lineRule="auto"/>
        <w:rPr>
          <w:rFonts w:ascii="Arial" w:hAnsi="Arial" w:cs="Arial"/>
          <w:color w:val="000000" w:themeColor="text1"/>
          <w:szCs w:val="22"/>
        </w:rPr>
      </w:pPr>
      <w:r>
        <w:rPr>
          <w:rFonts w:ascii="Arial" w:hAnsi="Arial" w:cs="Arial"/>
          <w:color w:val="000000" w:themeColor="text1"/>
          <w:szCs w:val="22"/>
        </w:rPr>
        <w:t>Mathematics Program, Department of Mathematics, Statistics, and Physics, College of Arts and Sciences, Qatar University</w:t>
      </w:r>
    </w:p>
    <w:p w14:paraId="07B46F0C" w14:textId="77777777" w:rsidR="00805AD0" w:rsidRPr="00DA1B2A" w:rsidRDefault="00805AD0" w:rsidP="00805AD0">
      <w:pPr>
        <w:pStyle w:val="ListParagraph"/>
        <w:rPr>
          <w:rFonts w:ascii="Arial" w:hAnsi="Arial" w:cs="Arial"/>
          <w:szCs w:val="22"/>
          <w:lang w:val="fr-FR"/>
        </w:rPr>
      </w:pPr>
      <w:r w:rsidRPr="00871450">
        <w:rPr>
          <w:rFonts w:ascii="Arial" w:hAnsi="Arial" w:cs="Arial"/>
          <w:color w:val="000000" w:themeColor="text1"/>
          <w:szCs w:val="22"/>
          <w:lang w:val="fr-FR"/>
        </w:rPr>
        <w:t>Doha, Qatar</w:t>
      </w:r>
    </w:p>
    <w:p w14:paraId="3014E2B9" w14:textId="77777777" w:rsidR="00805AD0" w:rsidRPr="00871450" w:rsidRDefault="00805AD0" w:rsidP="00805AD0">
      <w:pPr>
        <w:pStyle w:val="ListParagraph"/>
        <w:numPr>
          <w:ilvl w:val="0"/>
          <w:numId w:val="12"/>
        </w:numPr>
        <w:spacing w:line="276" w:lineRule="auto"/>
        <w:jc w:val="both"/>
        <w:outlineLvl w:val="0"/>
        <w:rPr>
          <w:rFonts w:ascii="Arial" w:hAnsi="Arial" w:cs="Arial"/>
          <w:bCs/>
          <w:szCs w:val="22"/>
        </w:rPr>
      </w:pPr>
      <w:r w:rsidRPr="00871450">
        <w:rPr>
          <w:rFonts w:ascii="Arial" w:hAnsi="Arial" w:cs="Arial"/>
          <w:bCs/>
          <w:szCs w:val="22"/>
        </w:rPr>
        <w:t>Department of Medicine, University of Washington</w:t>
      </w:r>
    </w:p>
    <w:p w14:paraId="2C4A9200" w14:textId="77777777" w:rsidR="00805AD0" w:rsidRPr="00871450" w:rsidRDefault="00805AD0" w:rsidP="00805AD0">
      <w:pPr>
        <w:pStyle w:val="ListParagraph"/>
        <w:spacing w:line="276" w:lineRule="auto"/>
        <w:jc w:val="both"/>
        <w:outlineLvl w:val="0"/>
        <w:rPr>
          <w:rFonts w:ascii="Arial" w:hAnsi="Arial" w:cs="Arial"/>
          <w:bCs/>
          <w:szCs w:val="22"/>
        </w:rPr>
      </w:pPr>
      <w:r w:rsidRPr="00871450">
        <w:rPr>
          <w:rFonts w:ascii="Arial" w:hAnsi="Arial" w:cs="Arial"/>
          <w:bCs/>
          <w:szCs w:val="22"/>
        </w:rPr>
        <w:t xml:space="preserve">, Seattle, </w:t>
      </w:r>
      <w:r>
        <w:rPr>
          <w:rFonts w:ascii="Arial" w:hAnsi="Arial" w:cs="Arial"/>
          <w:bCs/>
          <w:szCs w:val="22"/>
        </w:rPr>
        <w:t>Washington, United States of America</w:t>
      </w:r>
      <w:r w:rsidRPr="00871450">
        <w:rPr>
          <w:rFonts w:ascii="Arial" w:hAnsi="Arial" w:cs="Arial"/>
          <w:bCs/>
          <w:szCs w:val="22"/>
        </w:rPr>
        <w:t xml:space="preserve"> </w:t>
      </w:r>
    </w:p>
    <w:p w14:paraId="43CFC5B8" w14:textId="77777777" w:rsidR="00805AD0" w:rsidRPr="00DA1B2A" w:rsidRDefault="00805AD0" w:rsidP="00805AD0">
      <w:pPr>
        <w:pStyle w:val="ListParagraph"/>
        <w:numPr>
          <w:ilvl w:val="0"/>
          <w:numId w:val="12"/>
        </w:numPr>
        <w:spacing w:line="276" w:lineRule="auto"/>
        <w:jc w:val="both"/>
        <w:outlineLvl w:val="0"/>
        <w:rPr>
          <w:rFonts w:ascii="Arial" w:hAnsi="Arial" w:cs="Arial"/>
          <w:color w:val="000000" w:themeColor="text1"/>
          <w:szCs w:val="22"/>
        </w:rPr>
      </w:pPr>
      <w:r w:rsidRPr="00871450">
        <w:rPr>
          <w:rFonts w:ascii="Arial" w:hAnsi="Arial" w:cs="Arial"/>
          <w:bCs/>
          <w:szCs w:val="22"/>
        </w:rPr>
        <w:t xml:space="preserve">Vaccine and Infectious Diseases Division, Fred Hutchinson Cancer Research Center Eastlake Building, Day Campus,., Seattle, </w:t>
      </w:r>
      <w:r>
        <w:rPr>
          <w:rFonts w:ascii="Arial" w:hAnsi="Arial" w:cs="Arial"/>
          <w:bCs/>
          <w:szCs w:val="22"/>
        </w:rPr>
        <w:t>Washington, United States of America</w:t>
      </w:r>
    </w:p>
    <w:p w14:paraId="14E0F4C5" w14:textId="77777777" w:rsidR="00805AD0" w:rsidRPr="00871450" w:rsidRDefault="00805AD0" w:rsidP="00805AD0">
      <w:pPr>
        <w:pStyle w:val="ListParagraph"/>
        <w:numPr>
          <w:ilvl w:val="0"/>
          <w:numId w:val="12"/>
        </w:numPr>
        <w:rPr>
          <w:rFonts w:ascii="Arial" w:hAnsi="Arial" w:cs="Arial"/>
          <w:color w:val="000000" w:themeColor="text1"/>
          <w:szCs w:val="22"/>
        </w:rPr>
      </w:pPr>
      <w:r w:rsidRPr="00871450">
        <w:rPr>
          <w:rFonts w:ascii="Arial" w:hAnsi="Arial" w:cs="Arial"/>
          <w:color w:val="000000" w:themeColor="text1"/>
          <w:szCs w:val="22"/>
        </w:rPr>
        <w:t>Infectious Diseases Epidemiology Group, Weill Cornell Medicine – Qatar</w:t>
      </w:r>
    </w:p>
    <w:p w14:paraId="151AE3A4" w14:textId="77777777" w:rsidR="00805AD0" w:rsidRPr="00DA1B2A" w:rsidRDefault="00805AD0" w:rsidP="00805AD0">
      <w:pPr>
        <w:pStyle w:val="ListParagraph"/>
        <w:rPr>
          <w:rFonts w:ascii="Arial" w:hAnsi="Arial" w:cs="Arial"/>
          <w:color w:val="000000" w:themeColor="text1"/>
          <w:szCs w:val="22"/>
          <w:lang w:val="fr-FR"/>
        </w:rPr>
      </w:pPr>
      <w:r w:rsidRPr="00871450">
        <w:rPr>
          <w:rFonts w:ascii="Arial" w:hAnsi="Arial" w:cs="Arial"/>
          <w:color w:val="000000" w:themeColor="text1"/>
          <w:szCs w:val="22"/>
          <w:lang w:val="fr-FR"/>
        </w:rPr>
        <w:t>Doha, Qatar</w:t>
      </w:r>
    </w:p>
    <w:p w14:paraId="439BB54A" w14:textId="77777777" w:rsidR="00805AD0" w:rsidRPr="00871450" w:rsidRDefault="00805AD0" w:rsidP="00805AD0">
      <w:pPr>
        <w:pStyle w:val="ListParagraph"/>
        <w:numPr>
          <w:ilvl w:val="0"/>
          <w:numId w:val="12"/>
        </w:numPr>
        <w:rPr>
          <w:rFonts w:ascii="Arial" w:hAnsi="Arial" w:cs="Arial"/>
          <w:szCs w:val="22"/>
        </w:rPr>
      </w:pPr>
      <w:r w:rsidRPr="00871450">
        <w:rPr>
          <w:rFonts w:ascii="Arial" w:hAnsi="Arial" w:cs="Arial"/>
          <w:szCs w:val="22"/>
        </w:rPr>
        <w:t>World Health Organization Collaborating Centre for Disease Epidemiology Analytics on HIV/AIDS, Sexually Transmitted Infections, and Viral Hepatitis, Weill Cornell Medicine – Qatar</w:t>
      </w:r>
    </w:p>
    <w:p w14:paraId="47869FE4" w14:textId="77777777" w:rsidR="00805AD0" w:rsidRPr="00871450" w:rsidRDefault="00805AD0" w:rsidP="00805AD0">
      <w:pPr>
        <w:pStyle w:val="ListParagraph"/>
        <w:rPr>
          <w:rFonts w:ascii="Arial" w:hAnsi="Arial" w:cs="Arial"/>
          <w:szCs w:val="22"/>
          <w:lang w:val="fr-FR"/>
        </w:rPr>
      </w:pPr>
      <w:r w:rsidRPr="00871450">
        <w:rPr>
          <w:rFonts w:ascii="Arial" w:hAnsi="Arial" w:cs="Arial"/>
          <w:color w:val="000000" w:themeColor="text1"/>
          <w:szCs w:val="22"/>
          <w:lang w:val="fr-FR"/>
        </w:rPr>
        <w:t>Doha, Qatar</w:t>
      </w:r>
    </w:p>
    <w:p w14:paraId="12B0B6A9" w14:textId="77777777" w:rsidR="00805AD0" w:rsidRPr="00871450" w:rsidRDefault="00805AD0" w:rsidP="00805AD0">
      <w:pPr>
        <w:pStyle w:val="ListParagraph"/>
        <w:numPr>
          <w:ilvl w:val="0"/>
          <w:numId w:val="12"/>
        </w:numPr>
        <w:rPr>
          <w:rFonts w:ascii="Arial" w:hAnsi="Arial" w:cs="Arial"/>
          <w:szCs w:val="22"/>
        </w:rPr>
      </w:pPr>
      <w:r w:rsidRPr="00871450">
        <w:rPr>
          <w:rFonts w:ascii="Arial" w:hAnsi="Arial" w:cs="Arial"/>
          <w:color w:val="000000" w:themeColor="text1"/>
          <w:szCs w:val="22"/>
        </w:rPr>
        <w:t xml:space="preserve">Department of Population Health Sciences, Weill Cornell Medicine, Cornell University, </w:t>
      </w:r>
    </w:p>
    <w:p w14:paraId="205C3A27" w14:textId="77777777" w:rsidR="00805AD0" w:rsidRDefault="00805AD0" w:rsidP="00805AD0">
      <w:pPr>
        <w:pStyle w:val="ListParagraph"/>
        <w:rPr>
          <w:rFonts w:ascii="Arial" w:hAnsi="Arial" w:cs="Arial"/>
          <w:color w:val="000000" w:themeColor="text1"/>
          <w:szCs w:val="22"/>
        </w:rPr>
      </w:pPr>
      <w:r w:rsidRPr="00871450">
        <w:rPr>
          <w:rFonts w:ascii="Arial" w:hAnsi="Arial" w:cs="Arial"/>
          <w:color w:val="000000" w:themeColor="text1"/>
          <w:szCs w:val="22"/>
        </w:rPr>
        <w:t xml:space="preserve">New York, </w:t>
      </w:r>
      <w:r>
        <w:rPr>
          <w:rFonts w:ascii="Arial" w:hAnsi="Arial" w:cs="Arial"/>
          <w:color w:val="000000" w:themeColor="text1"/>
          <w:szCs w:val="22"/>
        </w:rPr>
        <w:t>New York, United States of America</w:t>
      </w:r>
    </w:p>
    <w:p w14:paraId="038A36D9" w14:textId="77777777" w:rsidR="00663E8C" w:rsidRPr="00871450" w:rsidRDefault="00663E8C" w:rsidP="00663E8C">
      <w:pPr>
        <w:spacing w:line="276" w:lineRule="auto"/>
        <w:jc w:val="both"/>
        <w:outlineLvl w:val="0"/>
        <w:rPr>
          <w:rFonts w:ascii="Arial" w:hAnsi="Arial" w:cs="Arial"/>
          <w:b/>
          <w:sz w:val="22"/>
          <w:szCs w:val="22"/>
        </w:rPr>
      </w:pPr>
    </w:p>
    <w:p w14:paraId="37DC4B2F" w14:textId="77777777" w:rsidR="00805AD0" w:rsidRPr="00DA1B2A" w:rsidRDefault="00805AD0" w:rsidP="00805AD0">
      <w:pPr>
        <w:spacing w:line="276" w:lineRule="auto"/>
        <w:jc w:val="both"/>
        <w:outlineLvl w:val="0"/>
        <w:rPr>
          <w:rFonts w:ascii="Arial" w:hAnsi="Arial" w:cs="Arial"/>
          <w:sz w:val="22"/>
          <w:szCs w:val="22"/>
        </w:rPr>
      </w:pPr>
      <w:r>
        <w:rPr>
          <w:rFonts w:ascii="Arial" w:hAnsi="Arial" w:cs="Arial"/>
          <w:b/>
          <w:sz w:val="22"/>
          <w:szCs w:val="22"/>
        </w:rPr>
        <w:t>*</w:t>
      </w:r>
      <w:r w:rsidRPr="00DA1B2A">
        <w:rPr>
          <w:rFonts w:ascii="Arial" w:hAnsi="Arial" w:cs="Arial"/>
          <w:sz w:val="22"/>
          <w:szCs w:val="22"/>
        </w:rPr>
        <w:t xml:space="preserve"> </w:t>
      </w:r>
      <w:r>
        <w:rPr>
          <w:rFonts w:ascii="Arial" w:hAnsi="Arial" w:cs="Arial"/>
          <w:sz w:val="22"/>
          <w:szCs w:val="22"/>
        </w:rPr>
        <w:t>sas7443</w:t>
      </w:r>
      <w:r w:rsidRPr="00DA1B2A">
        <w:rPr>
          <w:rFonts w:ascii="Arial" w:hAnsi="Arial" w:cs="Arial"/>
          <w:sz w:val="22"/>
          <w:szCs w:val="22"/>
        </w:rPr>
        <w:t>@</w:t>
      </w:r>
      <w:r>
        <w:rPr>
          <w:rFonts w:ascii="Arial" w:hAnsi="Arial" w:cs="Arial"/>
          <w:sz w:val="22"/>
          <w:szCs w:val="22"/>
        </w:rPr>
        <w:t>mail</w:t>
      </w:r>
      <w:r w:rsidRPr="00DA1B2A">
        <w:rPr>
          <w:rFonts w:ascii="Arial" w:hAnsi="Arial" w:cs="Arial"/>
          <w:sz w:val="22"/>
          <w:szCs w:val="22"/>
        </w:rPr>
        <w:t>.</w:t>
      </w:r>
      <w:r>
        <w:rPr>
          <w:rFonts w:ascii="Arial" w:hAnsi="Arial" w:cs="Arial"/>
          <w:sz w:val="22"/>
          <w:szCs w:val="22"/>
        </w:rPr>
        <w:t>harvard</w:t>
      </w:r>
      <w:r w:rsidRPr="00DA1B2A">
        <w:rPr>
          <w:rFonts w:ascii="Arial" w:hAnsi="Arial" w:cs="Arial"/>
          <w:sz w:val="22"/>
          <w:szCs w:val="22"/>
        </w:rPr>
        <w:t>.edu</w:t>
      </w:r>
    </w:p>
    <w:p w14:paraId="49EB3230" w14:textId="77777777" w:rsidR="00646BD6" w:rsidRDefault="009E14F8" w:rsidP="00824149">
      <w:pPr>
        <w:rPr>
          <w:rFonts w:ascii="Arial" w:hAnsi="Arial" w:cs="Arial"/>
        </w:rPr>
      </w:pPr>
      <w:r w:rsidRPr="00871450">
        <w:rPr>
          <w:rFonts w:ascii="Arial" w:hAnsi="Arial" w:cs="Arial"/>
        </w:rPr>
        <w:br w:type="page"/>
      </w:r>
    </w:p>
    <w:sdt>
      <w:sdtPr>
        <w:rPr>
          <w:rFonts w:asciiTheme="minorHAnsi" w:eastAsiaTheme="minorHAnsi" w:hAnsiTheme="minorHAnsi" w:cstheme="minorBidi"/>
          <w:b w:val="0"/>
          <w:bCs w:val="0"/>
          <w:color w:val="auto"/>
          <w:sz w:val="24"/>
          <w:szCs w:val="24"/>
        </w:rPr>
        <w:id w:val="-132951114"/>
        <w:docPartObj>
          <w:docPartGallery w:val="Table of Contents"/>
          <w:docPartUnique/>
        </w:docPartObj>
      </w:sdtPr>
      <w:sdtEndPr>
        <w:rPr>
          <w:rFonts w:ascii="Arial" w:eastAsia="Times New Roman" w:hAnsi="Arial" w:cs="Arial"/>
          <w:noProof/>
          <w:sz w:val="22"/>
          <w:szCs w:val="22"/>
        </w:rPr>
      </w:sdtEndPr>
      <w:sdtContent>
        <w:p w14:paraId="67522788" w14:textId="2DE0D7AF" w:rsidR="00646BD6" w:rsidRPr="008B7FBA" w:rsidRDefault="00646BD6">
          <w:pPr>
            <w:pStyle w:val="TOCHeading"/>
            <w:rPr>
              <w:rFonts w:ascii="Arial" w:hAnsi="Arial" w:cs="Arial"/>
              <w:color w:val="000000" w:themeColor="text1"/>
              <w:sz w:val="22"/>
              <w:szCs w:val="22"/>
            </w:rPr>
          </w:pPr>
          <w:r w:rsidRPr="008D6407">
            <w:rPr>
              <w:rFonts w:ascii="Arial" w:hAnsi="Arial" w:cs="Arial"/>
              <w:color w:val="000000" w:themeColor="text1"/>
              <w:sz w:val="22"/>
              <w:szCs w:val="22"/>
            </w:rPr>
            <w:t>Table of Contents</w:t>
          </w:r>
        </w:p>
        <w:p w14:paraId="25BF0FB2" w14:textId="77777777" w:rsidR="00481103" w:rsidRPr="008D6407" w:rsidRDefault="00481103" w:rsidP="00481103">
          <w:pPr>
            <w:rPr>
              <w:rFonts w:ascii="Arial" w:hAnsi="Arial" w:cs="Arial"/>
              <w:sz w:val="22"/>
              <w:szCs w:val="22"/>
            </w:rPr>
          </w:pPr>
        </w:p>
        <w:p w14:paraId="22024386" w14:textId="30898163" w:rsidR="008A202C" w:rsidRPr="008B7FBA" w:rsidRDefault="00646BD6">
          <w:pPr>
            <w:pStyle w:val="TOC2"/>
            <w:rPr>
              <w:rFonts w:ascii="Arial" w:eastAsiaTheme="minorEastAsia" w:hAnsi="Arial" w:cs="Arial"/>
              <w:smallCaps w:val="0"/>
              <w:noProof/>
              <w:sz w:val="22"/>
              <w:szCs w:val="22"/>
            </w:rPr>
          </w:pPr>
          <w:r w:rsidRPr="00DD7BDC">
            <w:rPr>
              <w:rFonts w:ascii="Arial" w:hAnsi="Arial" w:cs="Arial"/>
              <w:sz w:val="22"/>
              <w:szCs w:val="22"/>
            </w:rPr>
            <w:fldChar w:fldCharType="begin"/>
          </w:r>
          <w:r w:rsidRPr="008A202C">
            <w:rPr>
              <w:rFonts w:ascii="Arial" w:hAnsi="Arial" w:cs="Arial"/>
              <w:sz w:val="22"/>
              <w:szCs w:val="22"/>
            </w:rPr>
            <w:instrText xml:space="preserve"> TOC \o "1-3" \h \z \u </w:instrText>
          </w:r>
          <w:r w:rsidRPr="00DD7BDC">
            <w:rPr>
              <w:rFonts w:ascii="Arial" w:hAnsi="Arial" w:cs="Arial"/>
              <w:sz w:val="22"/>
              <w:szCs w:val="22"/>
            </w:rPr>
            <w:fldChar w:fldCharType="separate"/>
          </w:r>
          <w:hyperlink w:anchor="_Toc81857615" w:history="1">
            <w:r w:rsidR="008A202C" w:rsidRPr="008B7FBA">
              <w:rPr>
                <w:rStyle w:val="Hyperlink"/>
                <w:rFonts w:ascii="Arial" w:hAnsi="Arial" w:cs="Arial"/>
                <w:noProof/>
                <w:sz w:val="22"/>
                <w:szCs w:val="22"/>
              </w:rPr>
              <w:t>Section 1: Reference Case</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_Toc81857615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3</w:t>
            </w:r>
            <w:r w:rsidR="008A202C" w:rsidRPr="008B7FBA">
              <w:rPr>
                <w:rFonts w:ascii="Arial" w:hAnsi="Arial" w:cs="Arial"/>
                <w:noProof/>
                <w:webHidden/>
                <w:sz w:val="22"/>
                <w:szCs w:val="22"/>
              </w:rPr>
              <w:fldChar w:fldCharType="end"/>
            </w:r>
          </w:hyperlink>
        </w:p>
        <w:p w14:paraId="4BE535DC" w14:textId="3B4C7756" w:rsidR="008A202C" w:rsidRPr="008B7FBA" w:rsidRDefault="00000000">
          <w:pPr>
            <w:pStyle w:val="TOC2"/>
            <w:rPr>
              <w:rFonts w:ascii="Arial" w:eastAsiaTheme="minorEastAsia" w:hAnsi="Arial" w:cs="Arial"/>
              <w:smallCaps w:val="0"/>
              <w:noProof/>
              <w:sz w:val="22"/>
              <w:szCs w:val="22"/>
            </w:rPr>
          </w:pPr>
          <w:hyperlink w:anchor="_Toc81857616" w:history="1">
            <w:r w:rsidR="008A202C" w:rsidRPr="008B7FBA">
              <w:rPr>
                <w:rStyle w:val="Hyperlink"/>
                <w:rFonts w:ascii="Arial" w:hAnsi="Arial" w:cs="Arial"/>
                <w:noProof/>
                <w:sz w:val="22"/>
                <w:szCs w:val="22"/>
              </w:rPr>
              <w:t>Section 2: Country Selection</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_Toc81857616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3</w:t>
            </w:r>
            <w:r w:rsidR="008A202C" w:rsidRPr="008B7FBA">
              <w:rPr>
                <w:rFonts w:ascii="Arial" w:hAnsi="Arial" w:cs="Arial"/>
                <w:noProof/>
                <w:webHidden/>
                <w:sz w:val="22"/>
                <w:szCs w:val="22"/>
              </w:rPr>
              <w:fldChar w:fldCharType="end"/>
            </w:r>
          </w:hyperlink>
        </w:p>
        <w:p w14:paraId="33500C05" w14:textId="453B0989" w:rsidR="008A202C" w:rsidRPr="008B7FBA" w:rsidRDefault="00000000">
          <w:pPr>
            <w:pStyle w:val="TOC2"/>
            <w:rPr>
              <w:rFonts w:ascii="Arial" w:eastAsiaTheme="minorEastAsia" w:hAnsi="Arial" w:cs="Arial"/>
              <w:smallCaps w:val="0"/>
              <w:noProof/>
              <w:sz w:val="22"/>
              <w:szCs w:val="22"/>
            </w:rPr>
          </w:pPr>
          <w:hyperlink w:anchor="_Toc81857617" w:history="1">
            <w:r w:rsidR="008A202C" w:rsidRPr="008B7FBA">
              <w:rPr>
                <w:rStyle w:val="Hyperlink"/>
                <w:rFonts w:ascii="Arial" w:hAnsi="Arial" w:cs="Arial"/>
                <w:noProof/>
                <w:sz w:val="22"/>
                <w:szCs w:val="22"/>
              </w:rPr>
              <w:t>Section 3: Genital Herpes</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_Toc81857617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3</w:t>
            </w:r>
            <w:r w:rsidR="008A202C" w:rsidRPr="008B7FBA">
              <w:rPr>
                <w:rFonts w:ascii="Arial" w:hAnsi="Arial" w:cs="Arial"/>
                <w:noProof/>
                <w:webHidden/>
                <w:sz w:val="22"/>
                <w:szCs w:val="22"/>
              </w:rPr>
              <w:fldChar w:fldCharType="end"/>
            </w:r>
          </w:hyperlink>
        </w:p>
        <w:p w14:paraId="20E9E027" w14:textId="0063D3C1" w:rsidR="008A202C" w:rsidRPr="008B7FBA" w:rsidRDefault="00000000" w:rsidP="00C06527">
          <w:pPr>
            <w:pStyle w:val="TOC3"/>
            <w:rPr>
              <w:rFonts w:eastAsiaTheme="minorEastAsia"/>
              <w:noProof/>
            </w:rPr>
          </w:pPr>
          <w:hyperlink w:anchor="_Toc81857618" w:history="1">
            <w:r w:rsidR="008A202C" w:rsidRPr="008B7FBA">
              <w:rPr>
                <w:rStyle w:val="Hyperlink"/>
                <w:rFonts w:ascii="Arial" w:hAnsi="Arial" w:cs="Arial"/>
                <w:noProof/>
                <w:sz w:val="22"/>
                <w:szCs w:val="22"/>
              </w:rPr>
              <w:t>A. Disease Burden</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_Toc81857618 \h </w:instrText>
            </w:r>
            <w:r w:rsidR="008A202C" w:rsidRPr="008B7FBA">
              <w:rPr>
                <w:noProof/>
                <w:webHidden/>
              </w:rPr>
            </w:r>
            <w:r w:rsidR="008A202C" w:rsidRPr="008B7FBA">
              <w:rPr>
                <w:noProof/>
                <w:webHidden/>
              </w:rPr>
              <w:fldChar w:fldCharType="separate"/>
            </w:r>
            <w:r w:rsidR="008A202C" w:rsidRPr="008B7FBA">
              <w:rPr>
                <w:noProof/>
                <w:webHidden/>
              </w:rPr>
              <w:t>3</w:t>
            </w:r>
            <w:r w:rsidR="008A202C" w:rsidRPr="008B7FBA">
              <w:rPr>
                <w:noProof/>
                <w:webHidden/>
              </w:rPr>
              <w:fldChar w:fldCharType="end"/>
            </w:r>
          </w:hyperlink>
        </w:p>
        <w:p w14:paraId="474904D2" w14:textId="5A37790E" w:rsidR="008A202C" w:rsidRPr="008B7FBA" w:rsidRDefault="00000000" w:rsidP="00C06527">
          <w:pPr>
            <w:pStyle w:val="TOC3"/>
            <w:rPr>
              <w:rFonts w:eastAsiaTheme="minorEastAsia"/>
              <w:noProof/>
            </w:rPr>
          </w:pPr>
          <w:hyperlink w:anchor="_Toc81857619" w:history="1">
            <w:r w:rsidR="008A202C" w:rsidRPr="008B7FBA">
              <w:rPr>
                <w:rStyle w:val="Hyperlink"/>
                <w:rFonts w:ascii="Arial" w:hAnsi="Arial" w:cs="Arial"/>
                <w:noProof/>
                <w:sz w:val="22"/>
                <w:szCs w:val="22"/>
              </w:rPr>
              <w:t>B. Natural History</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_Toc81857619 \h </w:instrText>
            </w:r>
            <w:r w:rsidR="008A202C" w:rsidRPr="008B7FBA">
              <w:rPr>
                <w:noProof/>
                <w:webHidden/>
              </w:rPr>
            </w:r>
            <w:r w:rsidR="008A202C" w:rsidRPr="008B7FBA">
              <w:rPr>
                <w:noProof/>
                <w:webHidden/>
              </w:rPr>
              <w:fldChar w:fldCharType="separate"/>
            </w:r>
            <w:r w:rsidR="008A202C" w:rsidRPr="008B7FBA">
              <w:rPr>
                <w:noProof/>
                <w:webHidden/>
              </w:rPr>
              <w:t>4</w:t>
            </w:r>
            <w:r w:rsidR="008A202C" w:rsidRPr="008B7FBA">
              <w:rPr>
                <w:noProof/>
                <w:webHidden/>
              </w:rPr>
              <w:fldChar w:fldCharType="end"/>
            </w:r>
          </w:hyperlink>
        </w:p>
        <w:p w14:paraId="574ABF29" w14:textId="5DB3814D" w:rsidR="008A202C" w:rsidRPr="008B7FBA" w:rsidRDefault="00000000" w:rsidP="00C06527">
          <w:pPr>
            <w:pStyle w:val="TOC3"/>
            <w:rPr>
              <w:rFonts w:eastAsiaTheme="minorEastAsia"/>
              <w:noProof/>
            </w:rPr>
          </w:pPr>
          <w:hyperlink w:anchor="_Toc81857620" w:history="1">
            <w:r w:rsidR="008A202C" w:rsidRPr="008B7FBA">
              <w:rPr>
                <w:rStyle w:val="Hyperlink"/>
                <w:rFonts w:ascii="Arial" w:hAnsi="Arial" w:cs="Arial"/>
                <w:noProof/>
                <w:sz w:val="22"/>
                <w:szCs w:val="22"/>
              </w:rPr>
              <w:t>C. Treatment Costs</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_Toc81857620 \h </w:instrText>
            </w:r>
            <w:r w:rsidR="008A202C" w:rsidRPr="008B7FBA">
              <w:rPr>
                <w:noProof/>
                <w:webHidden/>
              </w:rPr>
            </w:r>
            <w:r w:rsidR="008A202C" w:rsidRPr="008B7FBA">
              <w:rPr>
                <w:noProof/>
                <w:webHidden/>
              </w:rPr>
              <w:fldChar w:fldCharType="separate"/>
            </w:r>
            <w:r w:rsidR="008A202C" w:rsidRPr="008B7FBA">
              <w:rPr>
                <w:noProof/>
                <w:webHidden/>
              </w:rPr>
              <w:t>6</w:t>
            </w:r>
            <w:r w:rsidR="008A202C" w:rsidRPr="008B7FBA">
              <w:rPr>
                <w:noProof/>
                <w:webHidden/>
              </w:rPr>
              <w:fldChar w:fldCharType="end"/>
            </w:r>
          </w:hyperlink>
        </w:p>
        <w:p w14:paraId="69945DAF" w14:textId="36C352B2" w:rsidR="008A202C" w:rsidRPr="008B7FBA" w:rsidRDefault="00000000" w:rsidP="00C06527">
          <w:pPr>
            <w:pStyle w:val="TOC3"/>
            <w:rPr>
              <w:rFonts w:eastAsiaTheme="minorEastAsia"/>
              <w:noProof/>
            </w:rPr>
          </w:pPr>
          <w:hyperlink w:anchor="_Toc81857621" w:history="1">
            <w:r w:rsidR="008A202C" w:rsidRPr="008B7FBA">
              <w:rPr>
                <w:rStyle w:val="Hyperlink"/>
                <w:rFonts w:ascii="Arial" w:hAnsi="Arial" w:cs="Arial"/>
                <w:noProof/>
                <w:sz w:val="22"/>
                <w:szCs w:val="22"/>
              </w:rPr>
              <w:t>D. Productivity Costs</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_Toc81857621 \h </w:instrText>
            </w:r>
            <w:r w:rsidR="008A202C" w:rsidRPr="008B7FBA">
              <w:rPr>
                <w:noProof/>
                <w:webHidden/>
              </w:rPr>
            </w:r>
            <w:r w:rsidR="008A202C" w:rsidRPr="008B7FBA">
              <w:rPr>
                <w:noProof/>
                <w:webHidden/>
              </w:rPr>
              <w:fldChar w:fldCharType="separate"/>
            </w:r>
            <w:r w:rsidR="008A202C" w:rsidRPr="008B7FBA">
              <w:rPr>
                <w:noProof/>
                <w:webHidden/>
              </w:rPr>
              <w:t>8</w:t>
            </w:r>
            <w:r w:rsidR="008A202C" w:rsidRPr="008B7FBA">
              <w:rPr>
                <w:noProof/>
                <w:webHidden/>
              </w:rPr>
              <w:fldChar w:fldCharType="end"/>
            </w:r>
          </w:hyperlink>
        </w:p>
        <w:p w14:paraId="7BDB01F3" w14:textId="3F5884C9" w:rsidR="008A202C" w:rsidRPr="008B7FBA" w:rsidRDefault="00000000" w:rsidP="00C06527">
          <w:pPr>
            <w:pStyle w:val="TOC3"/>
            <w:rPr>
              <w:rFonts w:eastAsiaTheme="minorEastAsia"/>
              <w:noProof/>
            </w:rPr>
          </w:pPr>
          <w:hyperlink w:anchor="_Toc81857622" w:history="1">
            <w:r w:rsidR="008A202C" w:rsidRPr="008B7FBA">
              <w:rPr>
                <w:rStyle w:val="Hyperlink"/>
                <w:rFonts w:ascii="Arial" w:hAnsi="Arial" w:cs="Arial"/>
                <w:noProof/>
                <w:sz w:val="22"/>
                <w:szCs w:val="22"/>
              </w:rPr>
              <w:t>E. Disutility Costs</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_Toc81857622 \h </w:instrText>
            </w:r>
            <w:r w:rsidR="008A202C" w:rsidRPr="008B7FBA">
              <w:rPr>
                <w:noProof/>
                <w:webHidden/>
              </w:rPr>
            </w:r>
            <w:r w:rsidR="008A202C" w:rsidRPr="008B7FBA">
              <w:rPr>
                <w:noProof/>
                <w:webHidden/>
              </w:rPr>
              <w:fldChar w:fldCharType="separate"/>
            </w:r>
            <w:r w:rsidR="008A202C" w:rsidRPr="008B7FBA">
              <w:rPr>
                <w:noProof/>
                <w:webHidden/>
              </w:rPr>
              <w:t>8</w:t>
            </w:r>
            <w:r w:rsidR="008A202C" w:rsidRPr="008B7FBA">
              <w:rPr>
                <w:noProof/>
                <w:webHidden/>
              </w:rPr>
              <w:fldChar w:fldCharType="end"/>
            </w:r>
          </w:hyperlink>
        </w:p>
        <w:p w14:paraId="1BE6BF64" w14:textId="53C1C832" w:rsidR="008A202C" w:rsidRPr="008B7FBA" w:rsidRDefault="00000000">
          <w:pPr>
            <w:pStyle w:val="TOC2"/>
            <w:rPr>
              <w:rFonts w:ascii="Arial" w:eastAsiaTheme="minorEastAsia" w:hAnsi="Arial" w:cs="Arial"/>
              <w:smallCaps w:val="0"/>
              <w:noProof/>
              <w:sz w:val="22"/>
              <w:szCs w:val="22"/>
            </w:rPr>
          </w:pPr>
          <w:hyperlink w:anchor="_Toc81857623" w:history="1">
            <w:r w:rsidR="008A202C" w:rsidRPr="008B7FBA">
              <w:rPr>
                <w:rStyle w:val="Hyperlink"/>
                <w:rFonts w:ascii="Arial" w:hAnsi="Arial" w:cs="Arial"/>
                <w:noProof/>
                <w:sz w:val="22"/>
                <w:szCs w:val="22"/>
              </w:rPr>
              <w:t>Section 4. HIV Attributable to HSV-2</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_Toc81857623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9</w:t>
            </w:r>
            <w:r w:rsidR="008A202C" w:rsidRPr="008B7FBA">
              <w:rPr>
                <w:rFonts w:ascii="Arial" w:hAnsi="Arial" w:cs="Arial"/>
                <w:noProof/>
                <w:webHidden/>
                <w:sz w:val="22"/>
                <w:szCs w:val="22"/>
              </w:rPr>
              <w:fldChar w:fldCharType="end"/>
            </w:r>
          </w:hyperlink>
        </w:p>
        <w:p w14:paraId="7E491965" w14:textId="2579C14E" w:rsidR="008A202C" w:rsidRPr="008B7FBA" w:rsidRDefault="00000000" w:rsidP="00C06527">
          <w:pPr>
            <w:pStyle w:val="TOC3"/>
            <w:rPr>
              <w:rFonts w:eastAsiaTheme="minorEastAsia"/>
              <w:noProof/>
            </w:rPr>
          </w:pPr>
          <w:hyperlink w:anchor="_Toc81857624" w:history="1">
            <w:r w:rsidR="008A202C" w:rsidRPr="008B7FBA">
              <w:rPr>
                <w:rStyle w:val="Hyperlink"/>
                <w:rFonts w:ascii="Arial" w:hAnsi="Arial" w:cs="Arial"/>
                <w:noProof/>
                <w:sz w:val="22"/>
                <w:szCs w:val="22"/>
              </w:rPr>
              <w:t>A.</w:t>
            </w:r>
            <w:r w:rsidR="008A202C" w:rsidRPr="008B7FBA">
              <w:rPr>
                <w:rFonts w:eastAsiaTheme="minorEastAsia"/>
                <w:noProof/>
              </w:rPr>
              <w:tab/>
            </w:r>
            <w:r w:rsidR="008A202C" w:rsidRPr="008B7FBA">
              <w:rPr>
                <w:rStyle w:val="Hyperlink"/>
                <w:rFonts w:ascii="Arial" w:hAnsi="Arial" w:cs="Arial"/>
                <w:noProof/>
                <w:sz w:val="22"/>
                <w:szCs w:val="22"/>
              </w:rPr>
              <w:t>Disease Burden</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_Toc81857624 \h </w:instrText>
            </w:r>
            <w:r w:rsidR="008A202C" w:rsidRPr="008B7FBA">
              <w:rPr>
                <w:noProof/>
                <w:webHidden/>
              </w:rPr>
            </w:r>
            <w:r w:rsidR="008A202C" w:rsidRPr="008B7FBA">
              <w:rPr>
                <w:noProof/>
                <w:webHidden/>
              </w:rPr>
              <w:fldChar w:fldCharType="separate"/>
            </w:r>
            <w:r w:rsidR="008A202C" w:rsidRPr="008B7FBA">
              <w:rPr>
                <w:noProof/>
                <w:webHidden/>
              </w:rPr>
              <w:t>9</w:t>
            </w:r>
            <w:r w:rsidR="008A202C" w:rsidRPr="008B7FBA">
              <w:rPr>
                <w:noProof/>
                <w:webHidden/>
              </w:rPr>
              <w:fldChar w:fldCharType="end"/>
            </w:r>
          </w:hyperlink>
        </w:p>
        <w:p w14:paraId="55602F20" w14:textId="03E75E98" w:rsidR="008A202C" w:rsidRPr="008B7FBA" w:rsidRDefault="00000000" w:rsidP="00C06527">
          <w:pPr>
            <w:pStyle w:val="TOC3"/>
            <w:rPr>
              <w:rFonts w:eastAsiaTheme="minorEastAsia"/>
              <w:noProof/>
            </w:rPr>
          </w:pPr>
          <w:hyperlink w:anchor="_Toc81857625" w:history="1">
            <w:r w:rsidR="008A202C" w:rsidRPr="008B7FBA">
              <w:rPr>
                <w:rStyle w:val="Hyperlink"/>
                <w:rFonts w:ascii="Arial" w:hAnsi="Arial" w:cs="Arial"/>
                <w:noProof/>
                <w:sz w:val="22"/>
                <w:szCs w:val="22"/>
              </w:rPr>
              <w:t>B.</w:t>
            </w:r>
            <w:r w:rsidR="008A202C" w:rsidRPr="008B7FBA">
              <w:rPr>
                <w:rFonts w:eastAsiaTheme="minorEastAsia"/>
                <w:noProof/>
              </w:rPr>
              <w:tab/>
            </w:r>
            <w:r w:rsidR="008A202C" w:rsidRPr="008B7FBA">
              <w:rPr>
                <w:rStyle w:val="Hyperlink"/>
                <w:rFonts w:ascii="Arial" w:hAnsi="Arial" w:cs="Arial"/>
                <w:noProof/>
                <w:sz w:val="22"/>
                <w:szCs w:val="22"/>
              </w:rPr>
              <w:t>Treatment Costs</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_Toc81857625 \h </w:instrText>
            </w:r>
            <w:r w:rsidR="008A202C" w:rsidRPr="008B7FBA">
              <w:rPr>
                <w:noProof/>
                <w:webHidden/>
              </w:rPr>
            </w:r>
            <w:r w:rsidR="008A202C" w:rsidRPr="008B7FBA">
              <w:rPr>
                <w:noProof/>
                <w:webHidden/>
              </w:rPr>
              <w:fldChar w:fldCharType="separate"/>
            </w:r>
            <w:r w:rsidR="008A202C" w:rsidRPr="008B7FBA">
              <w:rPr>
                <w:noProof/>
                <w:webHidden/>
              </w:rPr>
              <w:t>10</w:t>
            </w:r>
            <w:r w:rsidR="008A202C" w:rsidRPr="008B7FBA">
              <w:rPr>
                <w:noProof/>
                <w:webHidden/>
              </w:rPr>
              <w:fldChar w:fldCharType="end"/>
            </w:r>
          </w:hyperlink>
        </w:p>
        <w:p w14:paraId="65FCCD24" w14:textId="361D525F" w:rsidR="008A202C" w:rsidRPr="008B7FBA" w:rsidRDefault="00000000" w:rsidP="00C06527">
          <w:pPr>
            <w:pStyle w:val="TOC3"/>
            <w:rPr>
              <w:rFonts w:eastAsiaTheme="minorEastAsia"/>
              <w:noProof/>
            </w:rPr>
          </w:pPr>
          <w:hyperlink w:anchor="_Toc81857626" w:history="1">
            <w:r w:rsidR="008A202C" w:rsidRPr="008B7FBA">
              <w:rPr>
                <w:rStyle w:val="Hyperlink"/>
                <w:rFonts w:ascii="Arial" w:hAnsi="Arial" w:cs="Arial"/>
                <w:noProof/>
                <w:sz w:val="22"/>
                <w:szCs w:val="22"/>
              </w:rPr>
              <w:t>C.</w:t>
            </w:r>
            <w:r w:rsidR="008A202C" w:rsidRPr="008B7FBA">
              <w:rPr>
                <w:rFonts w:eastAsiaTheme="minorEastAsia"/>
                <w:noProof/>
              </w:rPr>
              <w:tab/>
            </w:r>
            <w:r w:rsidR="008A202C" w:rsidRPr="008B7FBA">
              <w:rPr>
                <w:rStyle w:val="Hyperlink"/>
                <w:rFonts w:ascii="Arial" w:hAnsi="Arial" w:cs="Arial"/>
                <w:noProof/>
                <w:sz w:val="22"/>
                <w:szCs w:val="22"/>
              </w:rPr>
              <w:t>Productivity Costs</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_Toc81857626 \h </w:instrText>
            </w:r>
            <w:r w:rsidR="008A202C" w:rsidRPr="008B7FBA">
              <w:rPr>
                <w:noProof/>
                <w:webHidden/>
              </w:rPr>
            </w:r>
            <w:r w:rsidR="008A202C" w:rsidRPr="008B7FBA">
              <w:rPr>
                <w:noProof/>
                <w:webHidden/>
              </w:rPr>
              <w:fldChar w:fldCharType="separate"/>
            </w:r>
            <w:r w:rsidR="008A202C" w:rsidRPr="008B7FBA">
              <w:rPr>
                <w:noProof/>
                <w:webHidden/>
              </w:rPr>
              <w:t>10</w:t>
            </w:r>
            <w:r w:rsidR="008A202C" w:rsidRPr="008B7FBA">
              <w:rPr>
                <w:noProof/>
                <w:webHidden/>
              </w:rPr>
              <w:fldChar w:fldCharType="end"/>
            </w:r>
          </w:hyperlink>
        </w:p>
        <w:p w14:paraId="2E56DB36" w14:textId="01ACD612" w:rsidR="008A202C" w:rsidRPr="008B7FBA" w:rsidRDefault="00000000">
          <w:pPr>
            <w:pStyle w:val="TOC2"/>
            <w:rPr>
              <w:rFonts w:ascii="Arial" w:eastAsiaTheme="minorEastAsia" w:hAnsi="Arial" w:cs="Arial"/>
              <w:smallCaps w:val="0"/>
              <w:noProof/>
              <w:sz w:val="22"/>
              <w:szCs w:val="22"/>
            </w:rPr>
          </w:pPr>
          <w:hyperlink w:anchor="_Toc81857627" w:history="1">
            <w:r w:rsidR="008A202C" w:rsidRPr="008B7FBA">
              <w:rPr>
                <w:rStyle w:val="Hyperlink"/>
                <w:rFonts w:ascii="Arial" w:hAnsi="Arial" w:cs="Arial"/>
                <w:noProof/>
                <w:sz w:val="22"/>
                <w:szCs w:val="22"/>
              </w:rPr>
              <w:t>Section 5. WHO AFRICA Region Estimates</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_Toc81857627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11</w:t>
            </w:r>
            <w:r w:rsidR="008A202C" w:rsidRPr="008B7FBA">
              <w:rPr>
                <w:rFonts w:ascii="Arial" w:hAnsi="Arial" w:cs="Arial"/>
                <w:noProof/>
                <w:webHidden/>
                <w:sz w:val="22"/>
                <w:szCs w:val="22"/>
              </w:rPr>
              <w:fldChar w:fldCharType="end"/>
            </w:r>
          </w:hyperlink>
        </w:p>
        <w:p w14:paraId="55246721" w14:textId="21C86219" w:rsidR="008A202C" w:rsidRPr="008B7FBA" w:rsidRDefault="00000000" w:rsidP="00C06527">
          <w:pPr>
            <w:pStyle w:val="TOC3"/>
            <w:rPr>
              <w:rFonts w:eastAsiaTheme="minorEastAsia"/>
              <w:noProof/>
            </w:rPr>
          </w:pPr>
          <w:hyperlink w:anchor="_Toc81857628" w:history="1">
            <w:r w:rsidR="008A202C" w:rsidRPr="008B7FBA">
              <w:rPr>
                <w:rStyle w:val="Hyperlink"/>
                <w:rFonts w:ascii="Arial" w:hAnsi="Arial" w:cs="Arial"/>
                <w:noProof/>
                <w:sz w:val="22"/>
                <w:szCs w:val="22"/>
              </w:rPr>
              <w:t>A.</w:t>
            </w:r>
            <w:r w:rsidR="008A202C" w:rsidRPr="008B7FBA">
              <w:rPr>
                <w:rFonts w:eastAsiaTheme="minorEastAsia"/>
                <w:noProof/>
              </w:rPr>
              <w:tab/>
            </w:r>
            <w:r w:rsidR="008A202C" w:rsidRPr="008B7FBA">
              <w:rPr>
                <w:rStyle w:val="Hyperlink"/>
                <w:rFonts w:ascii="Arial" w:hAnsi="Arial" w:cs="Arial"/>
                <w:noProof/>
                <w:sz w:val="22"/>
                <w:szCs w:val="22"/>
              </w:rPr>
              <w:t>Disease Burden</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_Toc81857628 \h </w:instrText>
            </w:r>
            <w:r w:rsidR="008A202C" w:rsidRPr="008B7FBA">
              <w:rPr>
                <w:noProof/>
                <w:webHidden/>
              </w:rPr>
            </w:r>
            <w:r w:rsidR="008A202C" w:rsidRPr="008B7FBA">
              <w:rPr>
                <w:noProof/>
                <w:webHidden/>
              </w:rPr>
              <w:fldChar w:fldCharType="separate"/>
            </w:r>
            <w:r w:rsidR="008A202C" w:rsidRPr="008B7FBA">
              <w:rPr>
                <w:noProof/>
                <w:webHidden/>
              </w:rPr>
              <w:t>11</w:t>
            </w:r>
            <w:r w:rsidR="008A202C" w:rsidRPr="008B7FBA">
              <w:rPr>
                <w:noProof/>
                <w:webHidden/>
              </w:rPr>
              <w:fldChar w:fldCharType="end"/>
            </w:r>
          </w:hyperlink>
        </w:p>
        <w:p w14:paraId="709545E3" w14:textId="038E56C8" w:rsidR="008A202C" w:rsidRPr="008B7FBA" w:rsidRDefault="00000000" w:rsidP="00C06527">
          <w:pPr>
            <w:pStyle w:val="TOC3"/>
            <w:rPr>
              <w:rFonts w:eastAsiaTheme="minorEastAsia"/>
              <w:noProof/>
            </w:rPr>
          </w:pPr>
          <w:hyperlink w:anchor="_Toc81857629" w:history="1">
            <w:r w:rsidR="008A202C" w:rsidRPr="008B7FBA">
              <w:rPr>
                <w:rStyle w:val="Hyperlink"/>
                <w:rFonts w:ascii="Arial" w:hAnsi="Arial" w:cs="Arial"/>
                <w:noProof/>
                <w:sz w:val="22"/>
                <w:szCs w:val="22"/>
              </w:rPr>
              <w:t>B.</w:t>
            </w:r>
            <w:r w:rsidR="008A202C" w:rsidRPr="008B7FBA">
              <w:rPr>
                <w:rFonts w:eastAsiaTheme="minorEastAsia"/>
                <w:noProof/>
              </w:rPr>
              <w:tab/>
            </w:r>
            <w:r w:rsidR="008A202C" w:rsidRPr="008B7FBA">
              <w:rPr>
                <w:rStyle w:val="Hyperlink"/>
                <w:rFonts w:ascii="Arial" w:hAnsi="Arial" w:cs="Arial"/>
                <w:noProof/>
                <w:sz w:val="22"/>
                <w:szCs w:val="22"/>
              </w:rPr>
              <w:t>Economic Losses</w:t>
            </w:r>
            <w:r w:rsidR="008A202C" w:rsidRPr="008B7FBA">
              <w:rPr>
                <w:noProof/>
                <w:webHidden/>
              </w:rPr>
              <w:tab/>
            </w:r>
            <w:r w:rsidR="008A202C" w:rsidRPr="008B7FBA">
              <w:rPr>
                <w:noProof/>
                <w:webHidden/>
              </w:rPr>
              <w:fldChar w:fldCharType="begin"/>
            </w:r>
            <w:r w:rsidR="008A202C" w:rsidRPr="008B7FBA">
              <w:rPr>
                <w:noProof/>
                <w:webHidden/>
              </w:rPr>
              <w:instrText xml:space="preserve"> PAGEREF _Toc81857629 \h </w:instrText>
            </w:r>
            <w:r w:rsidR="008A202C" w:rsidRPr="008B7FBA">
              <w:rPr>
                <w:noProof/>
                <w:webHidden/>
              </w:rPr>
            </w:r>
            <w:r w:rsidR="008A202C" w:rsidRPr="008B7FBA">
              <w:rPr>
                <w:noProof/>
                <w:webHidden/>
              </w:rPr>
              <w:fldChar w:fldCharType="separate"/>
            </w:r>
            <w:r w:rsidR="008A202C" w:rsidRPr="008B7FBA">
              <w:rPr>
                <w:noProof/>
                <w:webHidden/>
              </w:rPr>
              <w:t>12</w:t>
            </w:r>
            <w:r w:rsidR="008A202C" w:rsidRPr="008B7FBA">
              <w:rPr>
                <w:noProof/>
                <w:webHidden/>
              </w:rPr>
              <w:fldChar w:fldCharType="end"/>
            </w:r>
          </w:hyperlink>
        </w:p>
        <w:p w14:paraId="29A6FAB2" w14:textId="6EA7985B" w:rsidR="008A202C" w:rsidRPr="008B7FBA" w:rsidRDefault="00000000">
          <w:pPr>
            <w:pStyle w:val="TOC2"/>
            <w:rPr>
              <w:rFonts w:ascii="Arial" w:eastAsiaTheme="minorEastAsia" w:hAnsi="Arial" w:cs="Arial"/>
              <w:smallCaps w:val="0"/>
              <w:noProof/>
              <w:sz w:val="22"/>
              <w:szCs w:val="22"/>
            </w:rPr>
          </w:pPr>
          <w:hyperlink w:anchor="_Toc81857630" w:history="1">
            <w:r w:rsidR="008A202C" w:rsidRPr="008B7FBA">
              <w:rPr>
                <w:rStyle w:val="Hyperlink"/>
                <w:rFonts w:ascii="Arial" w:hAnsi="Arial" w:cs="Arial"/>
                <w:noProof/>
                <w:sz w:val="22"/>
                <w:szCs w:val="22"/>
              </w:rPr>
              <w:t>Section 6. Currency Conversion</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_Toc81857630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13</w:t>
            </w:r>
            <w:r w:rsidR="008A202C" w:rsidRPr="008B7FBA">
              <w:rPr>
                <w:rFonts w:ascii="Arial" w:hAnsi="Arial" w:cs="Arial"/>
                <w:noProof/>
                <w:webHidden/>
                <w:sz w:val="22"/>
                <w:szCs w:val="22"/>
              </w:rPr>
              <w:fldChar w:fldCharType="end"/>
            </w:r>
          </w:hyperlink>
        </w:p>
        <w:p w14:paraId="05EC416E" w14:textId="3E7CFF08" w:rsidR="008A202C" w:rsidRPr="008B7FBA" w:rsidRDefault="00000000">
          <w:pPr>
            <w:pStyle w:val="TOC2"/>
            <w:rPr>
              <w:rFonts w:ascii="Arial" w:eastAsiaTheme="minorEastAsia" w:hAnsi="Arial" w:cs="Arial"/>
              <w:smallCaps w:val="0"/>
              <w:noProof/>
              <w:sz w:val="22"/>
              <w:szCs w:val="22"/>
            </w:rPr>
          </w:pPr>
          <w:hyperlink w:anchor="_Toc81857631" w:history="1">
            <w:r w:rsidR="008A202C" w:rsidRPr="008B7FBA">
              <w:rPr>
                <w:rStyle w:val="Hyperlink"/>
                <w:rFonts w:ascii="Arial" w:hAnsi="Arial" w:cs="Arial"/>
                <w:noProof/>
                <w:sz w:val="22"/>
                <w:szCs w:val="22"/>
              </w:rPr>
              <w:t>Section 7. Sensitivity Analysis</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_Toc81857631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13</w:t>
            </w:r>
            <w:r w:rsidR="008A202C" w:rsidRPr="008B7FBA">
              <w:rPr>
                <w:rFonts w:ascii="Arial" w:hAnsi="Arial" w:cs="Arial"/>
                <w:noProof/>
                <w:webHidden/>
                <w:sz w:val="22"/>
                <w:szCs w:val="22"/>
              </w:rPr>
              <w:fldChar w:fldCharType="end"/>
            </w:r>
          </w:hyperlink>
        </w:p>
        <w:p w14:paraId="5396C65E" w14:textId="33D8D73B" w:rsidR="008A202C" w:rsidRPr="008B7FBA" w:rsidRDefault="00000000">
          <w:pPr>
            <w:pStyle w:val="TOC2"/>
            <w:rPr>
              <w:rFonts w:ascii="Arial" w:eastAsiaTheme="minorEastAsia" w:hAnsi="Arial" w:cs="Arial"/>
              <w:smallCaps w:val="0"/>
              <w:noProof/>
              <w:sz w:val="22"/>
              <w:szCs w:val="22"/>
            </w:rPr>
          </w:pPr>
          <w:hyperlink w:anchor="_Toc81857632" w:history="1">
            <w:r w:rsidR="008A202C" w:rsidRPr="008B7FBA">
              <w:rPr>
                <w:rStyle w:val="Hyperlink"/>
                <w:rFonts w:ascii="Arial" w:hAnsi="Arial" w:cs="Arial"/>
                <w:noProof/>
                <w:sz w:val="22"/>
                <w:szCs w:val="22"/>
              </w:rPr>
              <w:t>Section 8. Literature Review</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_Toc81857632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15</w:t>
            </w:r>
            <w:r w:rsidR="008A202C" w:rsidRPr="008B7FBA">
              <w:rPr>
                <w:rFonts w:ascii="Arial" w:hAnsi="Arial" w:cs="Arial"/>
                <w:noProof/>
                <w:webHidden/>
                <w:sz w:val="22"/>
                <w:szCs w:val="22"/>
              </w:rPr>
              <w:fldChar w:fldCharType="end"/>
            </w:r>
          </w:hyperlink>
        </w:p>
        <w:p w14:paraId="1F723FAC" w14:textId="37EC7C31" w:rsidR="008A202C" w:rsidRPr="008B7FBA" w:rsidRDefault="00000000">
          <w:pPr>
            <w:pStyle w:val="TOC2"/>
            <w:rPr>
              <w:rFonts w:ascii="Arial" w:eastAsiaTheme="minorEastAsia" w:hAnsi="Arial" w:cs="Arial"/>
              <w:smallCaps w:val="0"/>
              <w:noProof/>
              <w:sz w:val="22"/>
              <w:szCs w:val="22"/>
            </w:rPr>
          </w:pPr>
          <w:hyperlink w:anchor="_Toc81857634" w:history="1">
            <w:r w:rsidR="008A202C" w:rsidRPr="008B7FBA">
              <w:rPr>
                <w:rStyle w:val="Hyperlink"/>
                <w:rFonts w:ascii="Arial" w:hAnsi="Arial" w:cs="Arial"/>
                <w:noProof/>
                <w:sz w:val="22"/>
                <w:szCs w:val="22"/>
              </w:rPr>
              <w:t>Section 9. Supporting Tables</w:t>
            </w:r>
            <w:r w:rsidR="008A202C" w:rsidRPr="008B7FBA">
              <w:rPr>
                <w:rFonts w:ascii="Arial" w:hAnsi="Arial" w:cs="Arial"/>
                <w:noProof/>
                <w:webHidden/>
                <w:sz w:val="22"/>
                <w:szCs w:val="22"/>
              </w:rPr>
              <w:tab/>
            </w:r>
            <w:r w:rsidR="008A202C" w:rsidRPr="008B7FBA">
              <w:rPr>
                <w:rFonts w:ascii="Arial" w:hAnsi="Arial" w:cs="Arial"/>
                <w:noProof/>
                <w:webHidden/>
                <w:sz w:val="22"/>
                <w:szCs w:val="22"/>
              </w:rPr>
              <w:fldChar w:fldCharType="begin"/>
            </w:r>
            <w:r w:rsidR="008A202C" w:rsidRPr="008B7FBA">
              <w:rPr>
                <w:rFonts w:ascii="Arial" w:hAnsi="Arial" w:cs="Arial"/>
                <w:noProof/>
                <w:webHidden/>
                <w:sz w:val="22"/>
                <w:szCs w:val="22"/>
              </w:rPr>
              <w:instrText xml:space="preserve"> PAGEREF _Toc81857634 \h </w:instrText>
            </w:r>
            <w:r w:rsidR="008A202C" w:rsidRPr="008B7FBA">
              <w:rPr>
                <w:rFonts w:ascii="Arial" w:hAnsi="Arial" w:cs="Arial"/>
                <w:noProof/>
                <w:webHidden/>
                <w:sz w:val="22"/>
                <w:szCs w:val="22"/>
              </w:rPr>
            </w:r>
            <w:r w:rsidR="008A202C" w:rsidRPr="008B7FBA">
              <w:rPr>
                <w:rFonts w:ascii="Arial" w:hAnsi="Arial" w:cs="Arial"/>
                <w:noProof/>
                <w:webHidden/>
                <w:sz w:val="22"/>
                <w:szCs w:val="22"/>
              </w:rPr>
              <w:fldChar w:fldCharType="separate"/>
            </w:r>
            <w:r w:rsidR="008A202C" w:rsidRPr="008B7FBA">
              <w:rPr>
                <w:rFonts w:ascii="Arial" w:hAnsi="Arial" w:cs="Arial"/>
                <w:noProof/>
                <w:webHidden/>
                <w:sz w:val="22"/>
                <w:szCs w:val="22"/>
              </w:rPr>
              <w:t>19</w:t>
            </w:r>
            <w:r w:rsidR="008A202C" w:rsidRPr="008B7FBA">
              <w:rPr>
                <w:rFonts w:ascii="Arial" w:hAnsi="Arial" w:cs="Arial"/>
                <w:noProof/>
                <w:webHidden/>
                <w:sz w:val="22"/>
                <w:szCs w:val="22"/>
              </w:rPr>
              <w:fldChar w:fldCharType="end"/>
            </w:r>
          </w:hyperlink>
        </w:p>
        <w:p w14:paraId="55C36BCA" w14:textId="24359B44" w:rsidR="00646BD6" w:rsidRPr="003E5F9D" w:rsidRDefault="00646BD6">
          <w:pPr>
            <w:rPr>
              <w:rFonts w:ascii="Arial" w:hAnsi="Arial" w:cs="Arial"/>
              <w:sz w:val="22"/>
              <w:szCs w:val="22"/>
            </w:rPr>
          </w:pPr>
          <w:r w:rsidRPr="00DD7BDC">
            <w:rPr>
              <w:rFonts w:ascii="Arial" w:hAnsi="Arial" w:cs="Arial"/>
              <w:b/>
              <w:bCs/>
              <w:noProof/>
              <w:sz w:val="22"/>
              <w:szCs w:val="22"/>
            </w:rPr>
            <w:fldChar w:fldCharType="end"/>
          </w:r>
        </w:p>
      </w:sdtContent>
    </w:sdt>
    <w:p w14:paraId="2548C852" w14:textId="559427C7" w:rsidR="00646BD6" w:rsidRDefault="00646BD6" w:rsidP="00824149">
      <w:pPr>
        <w:rPr>
          <w:rFonts w:ascii="Arial" w:hAnsi="Arial" w:cs="Arial"/>
        </w:rPr>
      </w:pPr>
    </w:p>
    <w:p w14:paraId="2FC6DD21" w14:textId="202A326A" w:rsidR="006B4F81" w:rsidRPr="008B7FBA" w:rsidRDefault="006B4F81" w:rsidP="00824149">
      <w:pPr>
        <w:rPr>
          <w:rFonts w:ascii="Arial" w:hAnsi="Arial" w:cs="Arial"/>
          <w:b/>
          <w:bCs/>
          <w:sz w:val="21"/>
          <w:szCs w:val="21"/>
        </w:rPr>
      </w:pPr>
      <w:r w:rsidRPr="008B7FBA">
        <w:rPr>
          <w:rFonts w:ascii="Arial" w:hAnsi="Arial" w:cs="Arial"/>
          <w:b/>
          <w:bCs/>
          <w:sz w:val="21"/>
          <w:szCs w:val="21"/>
        </w:rPr>
        <w:t>Tables</w:t>
      </w:r>
    </w:p>
    <w:p w14:paraId="0DDCD38B" w14:textId="77777777" w:rsidR="006B4F81" w:rsidRPr="008B7FBA" w:rsidRDefault="006B4F81" w:rsidP="00824149">
      <w:pPr>
        <w:rPr>
          <w:rFonts w:ascii="Arial" w:hAnsi="Arial" w:cs="Arial"/>
          <w:sz w:val="21"/>
          <w:szCs w:val="21"/>
        </w:rPr>
      </w:pPr>
    </w:p>
    <w:p w14:paraId="50A51C2C" w14:textId="39CE04D5" w:rsidR="00A462F6" w:rsidRDefault="006B4F81">
      <w:pPr>
        <w:pStyle w:val="TableofFigures"/>
        <w:tabs>
          <w:tab w:val="right" w:pos="9350"/>
        </w:tabs>
        <w:rPr>
          <w:rFonts w:asciiTheme="minorHAnsi" w:eastAsiaTheme="minorEastAsia" w:hAnsiTheme="minorHAnsi" w:cstheme="minorBidi"/>
          <w:caps w:val="0"/>
          <w:noProof/>
          <w:sz w:val="24"/>
          <w:szCs w:val="24"/>
        </w:rPr>
      </w:pPr>
      <w:r w:rsidRPr="008B7FBA">
        <w:rPr>
          <w:rFonts w:ascii="Arial" w:hAnsi="Arial" w:cs="Arial"/>
          <w:sz w:val="21"/>
          <w:szCs w:val="21"/>
        </w:rPr>
        <w:fldChar w:fldCharType="begin"/>
      </w:r>
      <w:r w:rsidRPr="008B7FBA">
        <w:rPr>
          <w:rFonts w:ascii="Arial" w:hAnsi="Arial" w:cs="Arial"/>
          <w:sz w:val="21"/>
          <w:szCs w:val="21"/>
        </w:rPr>
        <w:instrText xml:space="preserve"> TOC \h \z \c "Table" </w:instrText>
      </w:r>
      <w:r w:rsidRPr="008B7FBA">
        <w:rPr>
          <w:rFonts w:ascii="Arial" w:hAnsi="Arial" w:cs="Arial"/>
          <w:sz w:val="21"/>
          <w:szCs w:val="21"/>
        </w:rPr>
        <w:fldChar w:fldCharType="separate"/>
      </w:r>
      <w:hyperlink w:anchor="_Toc111481798" w:history="1">
        <w:r w:rsidR="00A462F6" w:rsidRPr="007B0BA5">
          <w:rPr>
            <w:rStyle w:val="Hyperlink"/>
            <w:rFonts w:ascii="Arial" w:eastAsiaTheme="majorEastAsia" w:hAnsi="Arial" w:cs="Arial"/>
            <w:noProof/>
          </w:rPr>
          <w:t>Table 1: HSV-2 Parameter values and assumptions</w:t>
        </w:r>
        <w:r w:rsidR="00A462F6">
          <w:rPr>
            <w:noProof/>
            <w:webHidden/>
          </w:rPr>
          <w:tab/>
        </w:r>
        <w:r w:rsidR="00A462F6">
          <w:rPr>
            <w:noProof/>
            <w:webHidden/>
          </w:rPr>
          <w:fldChar w:fldCharType="begin"/>
        </w:r>
        <w:r w:rsidR="00A462F6">
          <w:rPr>
            <w:noProof/>
            <w:webHidden/>
          </w:rPr>
          <w:instrText xml:space="preserve"> PAGEREF _Toc111481798 \h </w:instrText>
        </w:r>
        <w:r w:rsidR="00A462F6">
          <w:rPr>
            <w:noProof/>
            <w:webHidden/>
          </w:rPr>
        </w:r>
        <w:r w:rsidR="00A462F6">
          <w:rPr>
            <w:noProof/>
            <w:webHidden/>
          </w:rPr>
          <w:fldChar w:fldCharType="separate"/>
        </w:r>
        <w:r w:rsidR="00A462F6">
          <w:rPr>
            <w:noProof/>
            <w:webHidden/>
          </w:rPr>
          <w:t>5</w:t>
        </w:r>
        <w:r w:rsidR="00A462F6">
          <w:rPr>
            <w:noProof/>
            <w:webHidden/>
          </w:rPr>
          <w:fldChar w:fldCharType="end"/>
        </w:r>
      </w:hyperlink>
    </w:p>
    <w:p w14:paraId="6936A35E" w14:textId="4E507C79"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799" w:history="1">
        <w:r w:rsidR="00A462F6" w:rsidRPr="007B0BA5">
          <w:rPr>
            <w:rStyle w:val="Hyperlink"/>
            <w:rFonts w:ascii="Arial" w:eastAsiaTheme="majorEastAsia" w:hAnsi="Arial" w:cs="Arial"/>
            <w:noProof/>
          </w:rPr>
          <w:t>Table 2: HIV parameter values and assumptions</w:t>
        </w:r>
        <w:r w:rsidR="00A462F6">
          <w:rPr>
            <w:noProof/>
            <w:webHidden/>
          </w:rPr>
          <w:tab/>
        </w:r>
        <w:r w:rsidR="00A462F6">
          <w:rPr>
            <w:noProof/>
            <w:webHidden/>
          </w:rPr>
          <w:fldChar w:fldCharType="begin"/>
        </w:r>
        <w:r w:rsidR="00A462F6">
          <w:rPr>
            <w:noProof/>
            <w:webHidden/>
          </w:rPr>
          <w:instrText xml:space="preserve"> PAGEREF _Toc111481799 \h </w:instrText>
        </w:r>
        <w:r w:rsidR="00A462F6">
          <w:rPr>
            <w:noProof/>
            <w:webHidden/>
          </w:rPr>
        </w:r>
        <w:r w:rsidR="00A462F6">
          <w:rPr>
            <w:noProof/>
            <w:webHidden/>
          </w:rPr>
          <w:fldChar w:fldCharType="separate"/>
        </w:r>
        <w:r w:rsidR="00A462F6">
          <w:rPr>
            <w:noProof/>
            <w:webHidden/>
          </w:rPr>
          <w:t>10</w:t>
        </w:r>
        <w:r w:rsidR="00A462F6">
          <w:rPr>
            <w:noProof/>
            <w:webHidden/>
          </w:rPr>
          <w:fldChar w:fldCharType="end"/>
        </w:r>
      </w:hyperlink>
    </w:p>
    <w:p w14:paraId="70262FC0" w14:textId="61659D81"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0" w:history="1">
        <w:r w:rsidR="00A462F6" w:rsidRPr="007B0BA5">
          <w:rPr>
            <w:rStyle w:val="Hyperlink"/>
            <w:rFonts w:ascii="Arial" w:eastAsiaTheme="majorEastAsia" w:hAnsi="Arial" w:cs="Arial"/>
            <w:noProof/>
          </w:rPr>
          <w:t>Table 3: Parameters considered in sensitivity analysis</w:t>
        </w:r>
        <w:r w:rsidR="00A462F6">
          <w:rPr>
            <w:noProof/>
            <w:webHidden/>
          </w:rPr>
          <w:tab/>
        </w:r>
        <w:r w:rsidR="00A462F6">
          <w:rPr>
            <w:noProof/>
            <w:webHidden/>
          </w:rPr>
          <w:fldChar w:fldCharType="begin"/>
        </w:r>
        <w:r w:rsidR="00A462F6">
          <w:rPr>
            <w:noProof/>
            <w:webHidden/>
          </w:rPr>
          <w:instrText xml:space="preserve"> PAGEREF _Toc111481800 \h </w:instrText>
        </w:r>
        <w:r w:rsidR="00A462F6">
          <w:rPr>
            <w:noProof/>
            <w:webHidden/>
          </w:rPr>
        </w:r>
        <w:r w:rsidR="00A462F6">
          <w:rPr>
            <w:noProof/>
            <w:webHidden/>
          </w:rPr>
          <w:fldChar w:fldCharType="separate"/>
        </w:r>
        <w:r w:rsidR="00A462F6">
          <w:rPr>
            <w:noProof/>
            <w:webHidden/>
          </w:rPr>
          <w:t>13</w:t>
        </w:r>
        <w:r w:rsidR="00A462F6">
          <w:rPr>
            <w:noProof/>
            <w:webHidden/>
          </w:rPr>
          <w:fldChar w:fldCharType="end"/>
        </w:r>
      </w:hyperlink>
    </w:p>
    <w:p w14:paraId="0402DA74" w14:textId="0FCF9B6B"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1" w:history="1">
        <w:r w:rsidR="00A462F6" w:rsidRPr="007B0BA5">
          <w:rPr>
            <w:rStyle w:val="Hyperlink"/>
            <w:rFonts w:ascii="Arial" w:eastAsiaTheme="majorEastAsia" w:hAnsi="Arial" w:cs="Arial"/>
            <w:noProof/>
          </w:rPr>
          <w:t>Table 4: Query strings used in searches</w:t>
        </w:r>
        <w:r w:rsidR="00A462F6">
          <w:rPr>
            <w:noProof/>
            <w:webHidden/>
          </w:rPr>
          <w:tab/>
        </w:r>
        <w:r w:rsidR="00A462F6">
          <w:rPr>
            <w:noProof/>
            <w:webHidden/>
          </w:rPr>
          <w:fldChar w:fldCharType="begin"/>
        </w:r>
        <w:r w:rsidR="00A462F6">
          <w:rPr>
            <w:noProof/>
            <w:webHidden/>
          </w:rPr>
          <w:instrText xml:space="preserve"> PAGEREF _Toc111481801 \h </w:instrText>
        </w:r>
        <w:r w:rsidR="00A462F6">
          <w:rPr>
            <w:noProof/>
            <w:webHidden/>
          </w:rPr>
        </w:r>
        <w:r w:rsidR="00A462F6">
          <w:rPr>
            <w:noProof/>
            <w:webHidden/>
          </w:rPr>
          <w:fldChar w:fldCharType="separate"/>
        </w:r>
        <w:r w:rsidR="00A462F6">
          <w:rPr>
            <w:noProof/>
            <w:webHidden/>
          </w:rPr>
          <w:t>18</w:t>
        </w:r>
        <w:r w:rsidR="00A462F6">
          <w:rPr>
            <w:noProof/>
            <w:webHidden/>
          </w:rPr>
          <w:fldChar w:fldCharType="end"/>
        </w:r>
      </w:hyperlink>
    </w:p>
    <w:p w14:paraId="7C8357CC" w14:textId="68AA1C10"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2" w:history="1">
        <w:r w:rsidR="00A462F6" w:rsidRPr="007B0BA5">
          <w:rPr>
            <w:rStyle w:val="Hyperlink"/>
            <w:rFonts w:ascii="Arial" w:eastAsiaTheme="majorEastAsia" w:hAnsi="Arial" w:cs="Arial"/>
            <w:noProof/>
          </w:rPr>
          <w:t>Table 5: Keywords used in literature searches</w:t>
        </w:r>
        <w:r w:rsidR="00A462F6">
          <w:rPr>
            <w:noProof/>
            <w:webHidden/>
          </w:rPr>
          <w:tab/>
        </w:r>
        <w:r w:rsidR="00A462F6">
          <w:rPr>
            <w:noProof/>
            <w:webHidden/>
          </w:rPr>
          <w:fldChar w:fldCharType="begin"/>
        </w:r>
        <w:r w:rsidR="00A462F6">
          <w:rPr>
            <w:noProof/>
            <w:webHidden/>
          </w:rPr>
          <w:instrText xml:space="preserve"> PAGEREF _Toc111481802 \h </w:instrText>
        </w:r>
        <w:r w:rsidR="00A462F6">
          <w:rPr>
            <w:noProof/>
            <w:webHidden/>
          </w:rPr>
        </w:r>
        <w:r w:rsidR="00A462F6">
          <w:rPr>
            <w:noProof/>
            <w:webHidden/>
          </w:rPr>
          <w:fldChar w:fldCharType="separate"/>
        </w:r>
        <w:r w:rsidR="00A462F6">
          <w:rPr>
            <w:noProof/>
            <w:webHidden/>
          </w:rPr>
          <w:t>19</w:t>
        </w:r>
        <w:r w:rsidR="00A462F6">
          <w:rPr>
            <w:noProof/>
            <w:webHidden/>
          </w:rPr>
          <w:fldChar w:fldCharType="end"/>
        </w:r>
      </w:hyperlink>
    </w:p>
    <w:p w14:paraId="55CC2E23" w14:textId="069CC8FD"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3" w:history="1">
        <w:r w:rsidR="00A462F6" w:rsidRPr="007B0BA5">
          <w:rPr>
            <w:rStyle w:val="Hyperlink"/>
            <w:rFonts w:ascii="Arial" w:eastAsiaTheme="majorEastAsia" w:hAnsi="Arial" w:cs="Arial"/>
            <w:noProof/>
          </w:rPr>
          <w:t>Table 6: Treatment Guidelines Assumed</w:t>
        </w:r>
        <w:r w:rsidR="00A462F6">
          <w:rPr>
            <w:noProof/>
            <w:webHidden/>
          </w:rPr>
          <w:tab/>
        </w:r>
        <w:r w:rsidR="00A462F6">
          <w:rPr>
            <w:noProof/>
            <w:webHidden/>
          </w:rPr>
          <w:fldChar w:fldCharType="begin"/>
        </w:r>
        <w:r w:rsidR="00A462F6">
          <w:rPr>
            <w:noProof/>
            <w:webHidden/>
          </w:rPr>
          <w:instrText xml:space="preserve"> PAGEREF _Toc111481803 \h </w:instrText>
        </w:r>
        <w:r w:rsidR="00A462F6">
          <w:rPr>
            <w:noProof/>
            <w:webHidden/>
          </w:rPr>
        </w:r>
        <w:r w:rsidR="00A462F6">
          <w:rPr>
            <w:noProof/>
            <w:webHidden/>
          </w:rPr>
          <w:fldChar w:fldCharType="separate"/>
        </w:r>
        <w:r w:rsidR="00A462F6">
          <w:rPr>
            <w:noProof/>
            <w:webHidden/>
          </w:rPr>
          <w:t>19</w:t>
        </w:r>
        <w:r w:rsidR="00A462F6">
          <w:rPr>
            <w:noProof/>
            <w:webHidden/>
          </w:rPr>
          <w:fldChar w:fldCharType="end"/>
        </w:r>
      </w:hyperlink>
    </w:p>
    <w:p w14:paraId="1512C677" w14:textId="041F88F6"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4" w:history="1">
        <w:r w:rsidR="00A462F6" w:rsidRPr="007B0BA5">
          <w:rPr>
            <w:rStyle w:val="Hyperlink"/>
            <w:rFonts w:ascii="Arial" w:eastAsiaTheme="majorEastAsia" w:hAnsi="Arial" w:cs="Arial"/>
            <w:noProof/>
          </w:rPr>
          <w:t>Table 7: Literature on care-seeking for sexually transmitted infections</w:t>
        </w:r>
        <w:r w:rsidR="00A462F6">
          <w:rPr>
            <w:noProof/>
            <w:webHidden/>
          </w:rPr>
          <w:tab/>
        </w:r>
        <w:r w:rsidR="00A462F6">
          <w:rPr>
            <w:noProof/>
            <w:webHidden/>
          </w:rPr>
          <w:fldChar w:fldCharType="begin"/>
        </w:r>
        <w:r w:rsidR="00A462F6">
          <w:rPr>
            <w:noProof/>
            <w:webHidden/>
          </w:rPr>
          <w:instrText xml:space="preserve"> PAGEREF _Toc111481804 \h </w:instrText>
        </w:r>
        <w:r w:rsidR="00A462F6">
          <w:rPr>
            <w:noProof/>
            <w:webHidden/>
          </w:rPr>
        </w:r>
        <w:r w:rsidR="00A462F6">
          <w:rPr>
            <w:noProof/>
            <w:webHidden/>
          </w:rPr>
          <w:fldChar w:fldCharType="separate"/>
        </w:r>
        <w:r w:rsidR="00A462F6">
          <w:rPr>
            <w:noProof/>
            <w:webHidden/>
          </w:rPr>
          <w:t>23</w:t>
        </w:r>
        <w:r w:rsidR="00A462F6">
          <w:rPr>
            <w:noProof/>
            <w:webHidden/>
          </w:rPr>
          <w:fldChar w:fldCharType="end"/>
        </w:r>
      </w:hyperlink>
    </w:p>
    <w:p w14:paraId="0C547D3A" w14:textId="3FABD8D7"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5" w:history="1">
        <w:r w:rsidR="00A462F6" w:rsidRPr="007B0BA5">
          <w:rPr>
            <w:rStyle w:val="Hyperlink"/>
            <w:rFonts w:ascii="Arial" w:eastAsiaTheme="majorEastAsia" w:hAnsi="Arial" w:cs="Arial"/>
            <w:noProof/>
          </w:rPr>
          <w:t>Table 8: Literature on HIV related productivity losses</w:t>
        </w:r>
        <w:r w:rsidR="00A462F6">
          <w:rPr>
            <w:noProof/>
            <w:webHidden/>
          </w:rPr>
          <w:tab/>
        </w:r>
        <w:r w:rsidR="00A462F6">
          <w:rPr>
            <w:noProof/>
            <w:webHidden/>
          </w:rPr>
          <w:fldChar w:fldCharType="begin"/>
        </w:r>
        <w:r w:rsidR="00A462F6">
          <w:rPr>
            <w:noProof/>
            <w:webHidden/>
          </w:rPr>
          <w:instrText xml:space="preserve"> PAGEREF _Toc111481805 \h </w:instrText>
        </w:r>
        <w:r w:rsidR="00A462F6">
          <w:rPr>
            <w:noProof/>
            <w:webHidden/>
          </w:rPr>
        </w:r>
        <w:r w:rsidR="00A462F6">
          <w:rPr>
            <w:noProof/>
            <w:webHidden/>
          </w:rPr>
          <w:fldChar w:fldCharType="separate"/>
        </w:r>
        <w:r w:rsidR="00A462F6">
          <w:rPr>
            <w:noProof/>
            <w:webHidden/>
          </w:rPr>
          <w:t>30</w:t>
        </w:r>
        <w:r w:rsidR="00A462F6">
          <w:rPr>
            <w:noProof/>
            <w:webHidden/>
          </w:rPr>
          <w:fldChar w:fldCharType="end"/>
        </w:r>
      </w:hyperlink>
    </w:p>
    <w:p w14:paraId="2054E42D" w14:textId="07C2E496"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6" w:history="1">
        <w:r w:rsidR="00A462F6" w:rsidRPr="007B0BA5">
          <w:rPr>
            <w:rStyle w:val="Hyperlink"/>
            <w:rFonts w:ascii="Arial" w:eastAsiaTheme="majorEastAsia" w:hAnsi="Arial" w:cs="Arial"/>
            <w:noProof/>
          </w:rPr>
          <w:t>Table 9: Literature on economic outcomes of HSV diseases</w:t>
        </w:r>
        <w:r w:rsidR="00A462F6">
          <w:rPr>
            <w:noProof/>
            <w:webHidden/>
          </w:rPr>
          <w:tab/>
        </w:r>
        <w:r w:rsidR="00A462F6">
          <w:rPr>
            <w:noProof/>
            <w:webHidden/>
          </w:rPr>
          <w:fldChar w:fldCharType="begin"/>
        </w:r>
        <w:r w:rsidR="00A462F6">
          <w:rPr>
            <w:noProof/>
            <w:webHidden/>
          </w:rPr>
          <w:instrText xml:space="preserve"> PAGEREF _Toc111481806 \h </w:instrText>
        </w:r>
        <w:r w:rsidR="00A462F6">
          <w:rPr>
            <w:noProof/>
            <w:webHidden/>
          </w:rPr>
        </w:r>
        <w:r w:rsidR="00A462F6">
          <w:rPr>
            <w:noProof/>
            <w:webHidden/>
          </w:rPr>
          <w:fldChar w:fldCharType="separate"/>
        </w:r>
        <w:r w:rsidR="00A462F6">
          <w:rPr>
            <w:noProof/>
            <w:webHidden/>
          </w:rPr>
          <w:t>31</w:t>
        </w:r>
        <w:r w:rsidR="00A462F6">
          <w:rPr>
            <w:noProof/>
            <w:webHidden/>
          </w:rPr>
          <w:fldChar w:fldCharType="end"/>
        </w:r>
      </w:hyperlink>
    </w:p>
    <w:p w14:paraId="73C25E79" w14:textId="71EDEE66" w:rsidR="00A462F6" w:rsidRDefault="00000000">
      <w:pPr>
        <w:pStyle w:val="TableofFigures"/>
        <w:tabs>
          <w:tab w:val="right" w:pos="9350"/>
        </w:tabs>
        <w:rPr>
          <w:rFonts w:asciiTheme="minorHAnsi" w:eastAsiaTheme="minorEastAsia" w:hAnsiTheme="minorHAnsi" w:cstheme="minorBidi"/>
          <w:caps w:val="0"/>
          <w:noProof/>
          <w:sz w:val="24"/>
          <w:szCs w:val="24"/>
        </w:rPr>
      </w:pPr>
      <w:hyperlink w:anchor="_Toc111481807" w:history="1">
        <w:r w:rsidR="00A462F6" w:rsidRPr="007B0BA5">
          <w:rPr>
            <w:rStyle w:val="Hyperlink"/>
            <w:rFonts w:ascii="Arial" w:eastAsiaTheme="majorEastAsia" w:hAnsi="Arial" w:cs="Arial"/>
            <w:noProof/>
          </w:rPr>
          <w:t>Table 10: Literature on non-economic outcomes of HSV diseases</w:t>
        </w:r>
        <w:r w:rsidR="00A462F6">
          <w:rPr>
            <w:noProof/>
            <w:webHidden/>
          </w:rPr>
          <w:tab/>
        </w:r>
        <w:r w:rsidR="00A462F6">
          <w:rPr>
            <w:noProof/>
            <w:webHidden/>
          </w:rPr>
          <w:fldChar w:fldCharType="begin"/>
        </w:r>
        <w:r w:rsidR="00A462F6">
          <w:rPr>
            <w:noProof/>
            <w:webHidden/>
          </w:rPr>
          <w:instrText xml:space="preserve"> PAGEREF _Toc111481807 \h </w:instrText>
        </w:r>
        <w:r w:rsidR="00A462F6">
          <w:rPr>
            <w:noProof/>
            <w:webHidden/>
          </w:rPr>
        </w:r>
        <w:r w:rsidR="00A462F6">
          <w:rPr>
            <w:noProof/>
            <w:webHidden/>
          </w:rPr>
          <w:fldChar w:fldCharType="separate"/>
        </w:r>
        <w:r w:rsidR="00A462F6">
          <w:rPr>
            <w:noProof/>
            <w:webHidden/>
          </w:rPr>
          <w:t>33</w:t>
        </w:r>
        <w:r w:rsidR="00A462F6">
          <w:rPr>
            <w:noProof/>
            <w:webHidden/>
          </w:rPr>
          <w:fldChar w:fldCharType="end"/>
        </w:r>
      </w:hyperlink>
    </w:p>
    <w:p w14:paraId="1AB9B4AA" w14:textId="56C0A3AF" w:rsidR="006B4F81" w:rsidRDefault="006B4F81" w:rsidP="00824149">
      <w:pPr>
        <w:rPr>
          <w:rFonts w:ascii="Arial" w:hAnsi="Arial" w:cs="Arial"/>
        </w:rPr>
      </w:pPr>
      <w:r w:rsidRPr="008B7FBA">
        <w:rPr>
          <w:rFonts w:ascii="Arial" w:hAnsi="Arial" w:cs="Arial"/>
          <w:sz w:val="21"/>
          <w:szCs w:val="21"/>
        </w:rPr>
        <w:fldChar w:fldCharType="end"/>
      </w:r>
    </w:p>
    <w:p w14:paraId="15440848" w14:textId="6DFE65EE" w:rsidR="00646BD6" w:rsidRDefault="00646BD6">
      <w:pPr>
        <w:rPr>
          <w:rFonts w:ascii="Arial" w:hAnsi="Arial" w:cs="Arial"/>
        </w:rPr>
      </w:pPr>
      <w:r>
        <w:rPr>
          <w:rFonts w:ascii="Arial" w:hAnsi="Arial" w:cs="Arial"/>
        </w:rPr>
        <w:br w:type="page"/>
      </w:r>
    </w:p>
    <w:p w14:paraId="5E1B5EDE" w14:textId="58C4A6B0" w:rsidR="004A129C" w:rsidRPr="005B02EE" w:rsidRDefault="004A129C" w:rsidP="0041570D">
      <w:pPr>
        <w:pStyle w:val="Heading2"/>
      </w:pPr>
      <w:bookmarkStart w:id="1" w:name="_Toc64459909"/>
      <w:bookmarkStart w:id="2" w:name="_Toc81857615"/>
      <w:r w:rsidRPr="005B02EE">
        <w:lastRenderedPageBreak/>
        <w:t>Section 1: Reference Case</w:t>
      </w:r>
      <w:bookmarkEnd w:id="1"/>
      <w:bookmarkEnd w:id="2"/>
    </w:p>
    <w:p w14:paraId="5B1360CF" w14:textId="77777777" w:rsidR="004A129C" w:rsidRDefault="004A129C" w:rsidP="004A129C"/>
    <w:p w14:paraId="1175D033" w14:textId="7A6B1F46" w:rsidR="004A129C" w:rsidRPr="00501E9E" w:rsidRDefault="004A129C" w:rsidP="004A129C">
      <w:pPr>
        <w:jc w:val="both"/>
        <w:rPr>
          <w:rFonts w:ascii="Arial" w:hAnsi="Arial" w:cs="Arial"/>
          <w:sz w:val="22"/>
          <w:szCs w:val="22"/>
        </w:rPr>
      </w:pPr>
      <w:r>
        <w:rPr>
          <w:rFonts w:ascii="Arial" w:hAnsi="Arial" w:cs="Arial"/>
          <w:sz w:val="22"/>
          <w:szCs w:val="22"/>
        </w:rPr>
        <w:t>Our estimates take a broader societal perspective and estimate costs accrued to individuals</w:t>
      </w:r>
      <w:r w:rsidR="006B38D2">
        <w:rPr>
          <w:rFonts w:ascii="Arial" w:hAnsi="Arial" w:cs="Arial"/>
          <w:sz w:val="22"/>
          <w:szCs w:val="22"/>
        </w:rPr>
        <w:t>/</w:t>
      </w:r>
      <w:r>
        <w:rPr>
          <w:rFonts w:ascii="Arial" w:hAnsi="Arial" w:cs="Arial"/>
          <w:sz w:val="22"/>
          <w:szCs w:val="22"/>
        </w:rPr>
        <w:t>h</w:t>
      </w:r>
      <w:r w:rsidRPr="00366F43">
        <w:rPr>
          <w:rFonts w:ascii="Arial" w:hAnsi="Arial" w:cs="Arial"/>
          <w:sz w:val="22"/>
          <w:szCs w:val="22"/>
        </w:rPr>
        <w:t>ousehold</w:t>
      </w:r>
      <w:r>
        <w:rPr>
          <w:rFonts w:ascii="Arial" w:hAnsi="Arial" w:cs="Arial"/>
          <w:sz w:val="22"/>
          <w:szCs w:val="22"/>
        </w:rPr>
        <w:t>s</w:t>
      </w:r>
      <w:r w:rsidR="006B38D2">
        <w:rPr>
          <w:rFonts w:ascii="Arial" w:hAnsi="Arial" w:cs="Arial"/>
          <w:sz w:val="22"/>
          <w:szCs w:val="22"/>
        </w:rPr>
        <w:t xml:space="preserve"> and </w:t>
      </w:r>
      <w:r>
        <w:rPr>
          <w:rFonts w:ascii="Arial" w:hAnsi="Arial" w:cs="Arial"/>
          <w:sz w:val="22"/>
          <w:szCs w:val="22"/>
        </w:rPr>
        <w:t xml:space="preserve">the government. We estimate economic </w:t>
      </w:r>
      <w:r w:rsidR="006B38D2">
        <w:rPr>
          <w:rFonts w:ascii="Arial" w:hAnsi="Arial" w:cs="Arial"/>
          <w:sz w:val="22"/>
          <w:szCs w:val="22"/>
        </w:rPr>
        <w:t xml:space="preserve">costs </w:t>
      </w:r>
      <w:r>
        <w:rPr>
          <w:rFonts w:ascii="Arial" w:hAnsi="Arial" w:cs="Arial"/>
          <w:sz w:val="22"/>
          <w:szCs w:val="22"/>
        </w:rPr>
        <w:t xml:space="preserve">rather than the financial </w:t>
      </w:r>
      <w:r w:rsidR="006B38D2">
        <w:rPr>
          <w:rFonts w:ascii="Arial" w:hAnsi="Arial" w:cs="Arial"/>
          <w:sz w:val="22"/>
          <w:szCs w:val="22"/>
        </w:rPr>
        <w:t xml:space="preserve">costs </w:t>
      </w:r>
      <w:r>
        <w:rPr>
          <w:rFonts w:ascii="Arial" w:hAnsi="Arial" w:cs="Arial"/>
          <w:sz w:val="22"/>
          <w:szCs w:val="22"/>
        </w:rPr>
        <w:t>– meaning the value of the resources as an opportunity cost, rather than the value of the payment</w:t>
      </w:r>
      <w:r w:rsidR="006B38D2">
        <w:rPr>
          <w:rFonts w:ascii="Arial" w:hAnsi="Arial" w:cs="Arial"/>
          <w:sz w:val="22"/>
          <w:szCs w:val="22"/>
        </w:rPr>
        <w:t>.</w:t>
      </w:r>
      <w:r>
        <w:rPr>
          <w:rFonts w:ascii="Arial" w:hAnsi="Arial" w:cs="Arial"/>
          <w:sz w:val="22"/>
          <w:szCs w:val="22"/>
        </w:rPr>
        <w:t xml:space="preserve"> </w:t>
      </w:r>
      <w:r w:rsidR="006B38D2">
        <w:rPr>
          <w:rFonts w:ascii="Arial" w:hAnsi="Arial" w:cs="Arial"/>
          <w:sz w:val="22"/>
          <w:szCs w:val="22"/>
        </w:rPr>
        <w:t xml:space="preserve">Our estimates are therefore </w:t>
      </w:r>
      <w:r>
        <w:rPr>
          <w:rFonts w:ascii="Arial" w:hAnsi="Arial" w:cs="Arial"/>
          <w:sz w:val="22"/>
          <w:szCs w:val="22"/>
        </w:rPr>
        <w:t>independent of payment structure</w:t>
      </w:r>
      <w:r w:rsidR="006B38D2">
        <w:rPr>
          <w:rFonts w:ascii="Arial" w:hAnsi="Arial" w:cs="Arial"/>
          <w:sz w:val="22"/>
          <w:szCs w:val="22"/>
        </w:rPr>
        <w:t>s</w:t>
      </w:r>
      <w:r>
        <w:rPr>
          <w:rFonts w:ascii="Arial" w:hAnsi="Arial" w:cs="Arial"/>
          <w:sz w:val="22"/>
          <w:szCs w:val="22"/>
        </w:rPr>
        <w:t>. Our estimates are based on guidelines rather than on real-world costs</w:t>
      </w:r>
      <w:r w:rsidR="006B38D2">
        <w:rPr>
          <w:rFonts w:ascii="Arial" w:hAnsi="Arial" w:cs="Arial"/>
          <w:sz w:val="22"/>
          <w:szCs w:val="22"/>
        </w:rPr>
        <w:t>,</w:t>
      </w:r>
      <w:r>
        <w:rPr>
          <w:rFonts w:ascii="Arial" w:hAnsi="Arial" w:cs="Arial"/>
          <w:sz w:val="22"/>
          <w:szCs w:val="22"/>
        </w:rPr>
        <w:t xml:space="preserve"> </w:t>
      </w:r>
      <w:r w:rsidR="006B38D2">
        <w:rPr>
          <w:rFonts w:ascii="Arial" w:hAnsi="Arial" w:cs="Arial"/>
          <w:sz w:val="22"/>
          <w:szCs w:val="22"/>
        </w:rPr>
        <w:t>though we adjust for care-seeking.</w:t>
      </w:r>
      <w:r>
        <w:rPr>
          <w:rFonts w:ascii="Arial" w:hAnsi="Arial" w:cs="Arial"/>
          <w:sz w:val="22"/>
          <w:szCs w:val="22"/>
        </w:rPr>
        <w:t xml:space="preserve"> We also estimate full costs rather than incremental costs. As our time horizon, for the 90 countries, we estimate costs accrued in 2019. For the </w:t>
      </w:r>
      <w:r w:rsidR="006B38D2">
        <w:rPr>
          <w:rFonts w:ascii="Arial" w:hAnsi="Arial" w:cs="Arial"/>
          <w:sz w:val="22"/>
          <w:szCs w:val="22"/>
        </w:rPr>
        <w:t xml:space="preserve">45 </w:t>
      </w:r>
      <w:r>
        <w:rPr>
          <w:rFonts w:ascii="Arial" w:hAnsi="Arial" w:cs="Arial"/>
          <w:sz w:val="22"/>
          <w:szCs w:val="22"/>
        </w:rPr>
        <w:t xml:space="preserve">countries in the </w:t>
      </w:r>
      <w:r w:rsidR="000B7476">
        <w:rPr>
          <w:rFonts w:ascii="Arial" w:hAnsi="Arial" w:cs="Arial"/>
          <w:sz w:val="22"/>
          <w:szCs w:val="22"/>
        </w:rPr>
        <w:t>A</w:t>
      </w:r>
      <w:r w:rsidR="00AE588D">
        <w:rPr>
          <w:rFonts w:ascii="Arial" w:hAnsi="Arial" w:cs="Arial"/>
          <w:sz w:val="22"/>
          <w:szCs w:val="22"/>
        </w:rPr>
        <w:t>frica</w:t>
      </w:r>
      <w:r>
        <w:rPr>
          <w:rFonts w:ascii="Arial" w:hAnsi="Arial" w:cs="Arial"/>
          <w:sz w:val="22"/>
          <w:szCs w:val="22"/>
        </w:rPr>
        <w:t xml:space="preserve"> region, we use 2020 to 2030 as our time horizon</w:t>
      </w:r>
    </w:p>
    <w:p w14:paraId="4AACB151" w14:textId="77777777" w:rsidR="004A129C" w:rsidRDefault="004A129C" w:rsidP="00824149">
      <w:pPr>
        <w:rPr>
          <w:rFonts w:ascii="Arial" w:hAnsi="Arial" w:cs="Arial"/>
        </w:rPr>
      </w:pPr>
    </w:p>
    <w:p w14:paraId="60F44BFA" w14:textId="0578B31B" w:rsidR="00E85F4F" w:rsidRPr="005B02EE" w:rsidRDefault="00E85F4F" w:rsidP="0041570D">
      <w:pPr>
        <w:pStyle w:val="Heading2"/>
      </w:pPr>
      <w:bookmarkStart w:id="3" w:name="_Toc64459910"/>
      <w:bookmarkStart w:id="4" w:name="_Toc81857616"/>
      <w:r w:rsidRPr="005B02EE">
        <w:t xml:space="preserve">Section </w:t>
      </w:r>
      <w:r w:rsidR="004A129C" w:rsidRPr="005B02EE">
        <w:t>2</w:t>
      </w:r>
      <w:r w:rsidRPr="005B02EE">
        <w:t>: Country Selection</w:t>
      </w:r>
      <w:bookmarkEnd w:id="3"/>
      <w:bookmarkEnd w:id="4"/>
    </w:p>
    <w:p w14:paraId="061BF175" w14:textId="39C6B91E" w:rsidR="00E85F4F" w:rsidRDefault="00E85F4F" w:rsidP="00824149">
      <w:pPr>
        <w:rPr>
          <w:rFonts w:ascii="Arial" w:hAnsi="Arial" w:cs="Arial"/>
        </w:rPr>
      </w:pPr>
    </w:p>
    <w:p w14:paraId="64E91C8F" w14:textId="26B4C042" w:rsidR="00C0093B" w:rsidRPr="001F1C09" w:rsidRDefault="00C0093B" w:rsidP="001F1C09">
      <w:pPr>
        <w:jc w:val="both"/>
        <w:rPr>
          <w:rFonts w:ascii="Arial" w:hAnsi="Arial" w:cs="Arial"/>
          <w:sz w:val="22"/>
          <w:szCs w:val="22"/>
        </w:rPr>
      </w:pPr>
      <w:r>
        <w:rPr>
          <w:rFonts w:ascii="Arial" w:hAnsi="Arial" w:cs="Arial"/>
          <w:sz w:val="22"/>
          <w:szCs w:val="22"/>
        </w:rPr>
        <w:t>We</w:t>
      </w:r>
      <w:r w:rsidRPr="001F1C09">
        <w:rPr>
          <w:rFonts w:ascii="Arial" w:hAnsi="Arial" w:cs="Arial"/>
          <w:sz w:val="22"/>
          <w:szCs w:val="22"/>
        </w:rPr>
        <w:t xml:space="preserve"> began with the 195 countries classified according to the World Bank List of Economies (</w:t>
      </w:r>
      <w:r w:rsidRPr="00DC1D96">
        <w:rPr>
          <w:rFonts w:ascii="Arial" w:hAnsi="Arial" w:cs="Arial"/>
          <w:sz w:val="22"/>
          <w:szCs w:val="22"/>
        </w:rPr>
        <w:t>June 2019 version)</w:t>
      </w:r>
      <w:r w:rsidRPr="001F1C09">
        <w:rPr>
          <w:rFonts w:ascii="Arial" w:hAnsi="Arial" w:cs="Arial"/>
          <w:sz w:val="22"/>
          <w:szCs w:val="22"/>
        </w:rPr>
        <w:fldChar w:fldCharType="begin"/>
      </w:r>
      <w:r w:rsidR="0081559F">
        <w:rPr>
          <w:rFonts w:ascii="Arial" w:hAnsi="Arial" w:cs="Arial"/>
          <w:sz w:val="22"/>
          <w:szCs w:val="22"/>
        </w:rPr>
        <w:instrText xml:space="preserve"> ADDIN ZOTERO_ITEM CSL_CITATION {"citationID":"tkPsg4I1","properties":{"formattedCitation":"[1]","plainCitation":"[1]","noteIndex":0},"citationItems":[{"id":1216,"uris":["http://zotero.org/users/local/p8g0WsVO/items/5UW4NKC8"],"itemData":{"id":1216,"type":"webpage","title":"World Bank Country and Lending Groups – World Bank Data Help Desk","URL":"https://datahelpdesk.worldbank.org/knowledgebase/articles/906519-world-bank-country-and-lending-groups","accessed":{"date-parts":[["2018",3,19]]}}}],"schema":"https://github.com/citation-style-language/schema/raw/master/csl-citation.json"} </w:instrText>
      </w:r>
      <w:r w:rsidRPr="001F1C09">
        <w:rPr>
          <w:rFonts w:ascii="Arial" w:hAnsi="Arial" w:cs="Arial"/>
          <w:sz w:val="22"/>
          <w:szCs w:val="22"/>
        </w:rPr>
        <w:fldChar w:fldCharType="separate"/>
      </w:r>
      <w:r w:rsidR="0081559F">
        <w:rPr>
          <w:rFonts w:ascii="Arial" w:hAnsi="Arial" w:cs="Arial"/>
          <w:sz w:val="22"/>
        </w:rPr>
        <w:t>[1]</w:t>
      </w:r>
      <w:r w:rsidRPr="001F1C09">
        <w:rPr>
          <w:rFonts w:ascii="Arial" w:hAnsi="Arial" w:cs="Arial"/>
          <w:sz w:val="22"/>
          <w:szCs w:val="22"/>
        </w:rPr>
        <w:fldChar w:fldCharType="end"/>
      </w:r>
      <w:r w:rsidRPr="001F1C09">
        <w:rPr>
          <w:rFonts w:ascii="Arial" w:hAnsi="Arial" w:cs="Arial"/>
          <w:sz w:val="22"/>
          <w:szCs w:val="22"/>
        </w:rPr>
        <w:t xml:space="preserve">. </w:t>
      </w:r>
      <w:r>
        <w:rPr>
          <w:rFonts w:ascii="Arial" w:hAnsi="Arial" w:cs="Arial"/>
          <w:sz w:val="22"/>
          <w:szCs w:val="22"/>
        </w:rPr>
        <w:t>We</w:t>
      </w:r>
      <w:r w:rsidRPr="001F1C09">
        <w:rPr>
          <w:rFonts w:ascii="Arial" w:hAnsi="Arial" w:cs="Arial"/>
          <w:sz w:val="22"/>
          <w:szCs w:val="22"/>
        </w:rPr>
        <w:t xml:space="preserve"> excluded countries classified as high-income (83 countries). For the remaining 112 countries, </w:t>
      </w:r>
      <w:r>
        <w:rPr>
          <w:rFonts w:ascii="Arial" w:hAnsi="Arial" w:cs="Arial"/>
          <w:sz w:val="22"/>
          <w:szCs w:val="22"/>
        </w:rPr>
        <w:t>we</w:t>
      </w:r>
      <w:r w:rsidRPr="001F1C09">
        <w:rPr>
          <w:rFonts w:ascii="Arial" w:hAnsi="Arial" w:cs="Arial"/>
          <w:sz w:val="22"/>
          <w:szCs w:val="22"/>
        </w:rPr>
        <w:t xml:space="preserve"> constructed a dataset that included the </w:t>
      </w:r>
      <w:r w:rsidRPr="00501E9E">
        <w:rPr>
          <w:rFonts w:ascii="Arial" w:hAnsi="Arial" w:cs="Arial"/>
          <w:sz w:val="22"/>
          <w:szCs w:val="22"/>
        </w:rPr>
        <w:t>WHO region</w:t>
      </w:r>
      <w:r w:rsidRPr="00501E9E">
        <w:rPr>
          <w:rFonts w:ascii="Arial" w:hAnsi="Arial" w:cs="Arial"/>
          <w:sz w:val="22"/>
          <w:szCs w:val="22"/>
        </w:rPr>
        <w:fldChar w:fldCharType="begin"/>
      </w:r>
      <w:r w:rsidR="0081559F">
        <w:rPr>
          <w:rFonts w:ascii="Arial" w:hAnsi="Arial" w:cs="Arial"/>
          <w:sz w:val="22"/>
          <w:szCs w:val="22"/>
        </w:rPr>
        <w:instrText xml:space="preserve"> ADDIN ZOTERO_ITEM CSL_CITATION {"citationID":"5GglH4MW","properties":{"formattedCitation":"[2]","plainCitation":"[2]","noteIndex":0},"citationItems":[{"id":1711,"uris":["http://zotero.org/users/local/p8g0WsVO/items/I2S45PXP"],"itemData":{"id":1711,"type":"webpage","abstract":"Contact information for WHO regional offices","container-title":"WHO","title":"WHO | WHO regional offices","URL":"http://www.who.int/about/regions/en/","accessed":{"date-parts":[["2018",5,27]]}}}],"schema":"https://github.com/citation-style-language/schema/raw/master/csl-citation.json"} </w:instrText>
      </w:r>
      <w:r w:rsidRPr="00501E9E">
        <w:rPr>
          <w:rFonts w:ascii="Arial" w:hAnsi="Arial" w:cs="Arial"/>
          <w:sz w:val="22"/>
          <w:szCs w:val="22"/>
        </w:rPr>
        <w:fldChar w:fldCharType="separate"/>
      </w:r>
      <w:r w:rsidR="0081559F">
        <w:rPr>
          <w:rFonts w:ascii="Arial" w:hAnsi="Arial" w:cs="Arial"/>
          <w:sz w:val="22"/>
        </w:rPr>
        <w:t>[2]</w:t>
      </w:r>
      <w:r w:rsidRPr="00501E9E">
        <w:rPr>
          <w:rFonts w:ascii="Arial" w:hAnsi="Arial" w:cs="Arial"/>
          <w:sz w:val="22"/>
          <w:szCs w:val="22"/>
        </w:rPr>
        <w:fldChar w:fldCharType="end"/>
      </w:r>
      <w:r w:rsidRPr="00501E9E">
        <w:rPr>
          <w:rFonts w:ascii="Arial" w:hAnsi="Arial" w:cs="Arial"/>
          <w:sz w:val="22"/>
          <w:szCs w:val="22"/>
        </w:rPr>
        <w:t xml:space="preserve">, </w:t>
      </w:r>
      <w:r w:rsidR="006B38D2">
        <w:rPr>
          <w:rFonts w:ascii="Arial" w:hAnsi="Arial" w:cs="Arial"/>
          <w:sz w:val="22"/>
          <w:szCs w:val="22"/>
        </w:rPr>
        <w:t xml:space="preserve">World Bank </w:t>
      </w:r>
      <w:r w:rsidRPr="00501E9E">
        <w:rPr>
          <w:rFonts w:ascii="Arial" w:hAnsi="Arial" w:cs="Arial"/>
          <w:sz w:val="22"/>
          <w:szCs w:val="22"/>
        </w:rPr>
        <w:t>lending group, GDP and GNI (annual and per capita), total population, median population age, 5-year survival at median age, and the abridged life tables</w:t>
      </w:r>
      <w:r>
        <w:rPr>
          <w:rFonts w:ascii="Arial" w:hAnsi="Arial" w:cs="Arial"/>
          <w:sz w:val="22"/>
          <w:szCs w:val="22"/>
        </w:rPr>
        <w:fldChar w:fldCharType="begin"/>
      </w:r>
      <w:r w:rsidR="0081559F">
        <w:rPr>
          <w:rFonts w:ascii="Arial" w:hAnsi="Arial" w:cs="Arial"/>
          <w:sz w:val="22"/>
          <w:szCs w:val="22"/>
        </w:rPr>
        <w:instrText xml:space="preserve"> ADDIN ZOTERO_ITEM CSL_CITATION {"citationID":"rBOZmmmU","properties":{"formattedCitation":"[3]","plainCitation":"[3]","noteIndex":0},"citationItems":[{"id":26881,"uris":["http://zotero.org/users/local/p8g0WsVO/items/AHQA8GZA"],"itemData":{"id":26881,"type":"webpage","title":"World Population Prospects - Population Division - United Nations","URL":"https://population.un.org/wpp/","accessed":{"date-parts":[["2019",2,17]]}}}],"schema":"https://github.com/citation-style-language/schema/raw/master/csl-citation.json"} </w:instrText>
      </w:r>
      <w:r>
        <w:rPr>
          <w:rFonts w:ascii="Arial" w:hAnsi="Arial" w:cs="Arial"/>
          <w:sz w:val="22"/>
          <w:szCs w:val="22"/>
        </w:rPr>
        <w:fldChar w:fldCharType="separate"/>
      </w:r>
      <w:r w:rsidR="0081559F">
        <w:rPr>
          <w:rFonts w:ascii="Arial" w:hAnsi="Arial" w:cs="Arial"/>
          <w:sz w:val="22"/>
        </w:rPr>
        <w:t>[3]</w:t>
      </w:r>
      <w:r>
        <w:rPr>
          <w:rFonts w:ascii="Arial" w:hAnsi="Arial" w:cs="Arial"/>
          <w:sz w:val="22"/>
          <w:szCs w:val="22"/>
        </w:rPr>
        <w:fldChar w:fldCharType="end"/>
      </w:r>
      <w:r w:rsidRPr="001F1C09">
        <w:rPr>
          <w:rFonts w:ascii="Arial" w:hAnsi="Arial" w:cs="Arial"/>
          <w:sz w:val="22"/>
          <w:szCs w:val="22"/>
        </w:rPr>
        <w:t xml:space="preserve">. </w:t>
      </w:r>
      <w:r>
        <w:rPr>
          <w:rFonts w:ascii="Arial" w:hAnsi="Arial" w:cs="Arial"/>
          <w:sz w:val="22"/>
          <w:szCs w:val="22"/>
        </w:rPr>
        <w:t>Based on the relative availability and reliability of the data, and the relative contribution of each country towards the prevalent infections in 2019</w:t>
      </w:r>
      <w:r w:rsidRPr="001F1C09">
        <w:rPr>
          <w:rFonts w:ascii="Arial" w:hAnsi="Arial" w:cs="Arial"/>
          <w:sz w:val="22"/>
          <w:szCs w:val="22"/>
        </w:rPr>
        <w:t xml:space="preserve">, </w:t>
      </w:r>
      <w:r>
        <w:rPr>
          <w:rFonts w:ascii="Arial" w:hAnsi="Arial" w:cs="Arial"/>
          <w:sz w:val="22"/>
          <w:szCs w:val="22"/>
        </w:rPr>
        <w:t>we</w:t>
      </w:r>
      <w:r w:rsidRPr="001F1C09">
        <w:rPr>
          <w:rFonts w:ascii="Arial" w:hAnsi="Arial" w:cs="Arial"/>
          <w:sz w:val="22"/>
          <w:szCs w:val="22"/>
        </w:rPr>
        <w:t xml:space="preserve"> additionally excluded 22 countries</w:t>
      </w:r>
      <w:r w:rsidR="00386FC3">
        <w:rPr>
          <w:rFonts w:ascii="Arial" w:hAnsi="Arial" w:cs="Arial"/>
          <w:sz w:val="22"/>
          <w:szCs w:val="22"/>
        </w:rPr>
        <w:t xml:space="preserve"> (Table 1)</w:t>
      </w:r>
      <w:r w:rsidRPr="001F1C09">
        <w:rPr>
          <w:rFonts w:ascii="Arial" w:hAnsi="Arial" w:cs="Arial"/>
          <w:sz w:val="22"/>
          <w:szCs w:val="22"/>
        </w:rPr>
        <w:t xml:space="preserve">. </w:t>
      </w:r>
      <w:r>
        <w:rPr>
          <w:rFonts w:ascii="Arial" w:hAnsi="Arial" w:cs="Arial"/>
          <w:sz w:val="22"/>
          <w:szCs w:val="22"/>
        </w:rPr>
        <w:t xml:space="preserve">Our estimates are based on </w:t>
      </w:r>
      <w:r w:rsidR="006B38D2">
        <w:rPr>
          <w:rFonts w:ascii="Arial" w:hAnsi="Arial" w:cs="Arial"/>
          <w:sz w:val="22"/>
          <w:szCs w:val="22"/>
        </w:rPr>
        <w:t xml:space="preserve">a final set of </w:t>
      </w:r>
      <w:r>
        <w:rPr>
          <w:rFonts w:ascii="Arial" w:hAnsi="Arial" w:cs="Arial"/>
          <w:sz w:val="22"/>
          <w:szCs w:val="22"/>
        </w:rPr>
        <w:t xml:space="preserve">90 </w:t>
      </w:r>
      <w:r w:rsidRPr="00501E9E">
        <w:rPr>
          <w:rFonts w:ascii="Arial" w:hAnsi="Arial" w:cs="Arial"/>
          <w:sz w:val="22"/>
          <w:szCs w:val="22"/>
        </w:rPr>
        <w:t xml:space="preserve">low-income, lower-middle income and upper middle-income </w:t>
      </w:r>
      <w:r>
        <w:rPr>
          <w:rFonts w:ascii="Arial" w:hAnsi="Arial" w:cs="Arial"/>
          <w:sz w:val="22"/>
          <w:szCs w:val="22"/>
        </w:rPr>
        <w:t>countries</w:t>
      </w:r>
      <w:r w:rsidR="00A33A7B">
        <w:rPr>
          <w:rFonts w:ascii="Arial" w:hAnsi="Arial" w:cs="Arial"/>
          <w:sz w:val="22"/>
          <w:szCs w:val="22"/>
        </w:rPr>
        <w:t>,</w:t>
      </w:r>
      <w:r w:rsidR="0014382B">
        <w:rPr>
          <w:rFonts w:ascii="Arial" w:hAnsi="Arial" w:cs="Arial"/>
          <w:sz w:val="22"/>
          <w:szCs w:val="22"/>
        </w:rPr>
        <w:t xml:space="preserve"> which accounted for </w:t>
      </w:r>
      <w:r w:rsidR="00A33A7B">
        <w:rPr>
          <w:rFonts w:ascii="Arial" w:hAnsi="Arial" w:cs="Arial"/>
          <w:sz w:val="22"/>
          <w:szCs w:val="22"/>
        </w:rPr>
        <w:t>85.22 percent of prevalent cases globally and 86.68 percent of incident cases globally, in 2019</w:t>
      </w:r>
      <w:r>
        <w:rPr>
          <w:rFonts w:ascii="Arial" w:hAnsi="Arial" w:cs="Arial"/>
          <w:sz w:val="22"/>
          <w:szCs w:val="22"/>
        </w:rPr>
        <w:t>.</w:t>
      </w:r>
      <w:r w:rsidRPr="001F1C09">
        <w:rPr>
          <w:rFonts w:ascii="Arial" w:hAnsi="Arial" w:cs="Arial"/>
          <w:sz w:val="22"/>
          <w:szCs w:val="22"/>
        </w:rPr>
        <w:t xml:space="preserve"> Where data was missing, </w:t>
      </w:r>
      <w:r>
        <w:rPr>
          <w:rFonts w:ascii="Arial" w:hAnsi="Arial" w:cs="Arial"/>
          <w:sz w:val="22"/>
          <w:szCs w:val="22"/>
        </w:rPr>
        <w:t>we</w:t>
      </w:r>
      <w:r w:rsidRPr="001F1C09">
        <w:rPr>
          <w:rFonts w:ascii="Arial" w:hAnsi="Arial" w:cs="Arial"/>
          <w:sz w:val="22"/>
          <w:szCs w:val="22"/>
        </w:rPr>
        <w:t xml:space="preserve"> imputed using the Locally Weighted Scatterplot Smoothing (LOWESS) fitting routine built into Stata (version 14.2</w:t>
      </w:r>
      <w:r>
        <w:rPr>
          <w:rFonts w:ascii="Arial" w:hAnsi="Arial" w:cs="Arial"/>
          <w:sz w:val="22"/>
          <w:szCs w:val="22"/>
        </w:rPr>
        <w:t>)</w:t>
      </w:r>
      <w:r w:rsidRPr="001F1C09">
        <w:rPr>
          <w:rFonts w:ascii="Arial" w:hAnsi="Arial" w:cs="Arial"/>
          <w:sz w:val="22"/>
          <w:szCs w:val="22"/>
        </w:rPr>
        <w:t xml:space="preserve">, </w:t>
      </w:r>
      <w:r>
        <w:rPr>
          <w:rFonts w:ascii="Arial" w:hAnsi="Arial" w:cs="Arial"/>
          <w:sz w:val="22"/>
          <w:szCs w:val="22"/>
        </w:rPr>
        <w:t>or by</w:t>
      </w:r>
      <w:r w:rsidRPr="001F1C09">
        <w:rPr>
          <w:rFonts w:ascii="Arial" w:hAnsi="Arial" w:cs="Arial"/>
          <w:sz w:val="22"/>
          <w:szCs w:val="22"/>
        </w:rPr>
        <w:t xml:space="preserve"> identif</w:t>
      </w:r>
      <w:r>
        <w:rPr>
          <w:rFonts w:ascii="Arial" w:hAnsi="Arial" w:cs="Arial"/>
          <w:sz w:val="22"/>
          <w:szCs w:val="22"/>
        </w:rPr>
        <w:t>ying</w:t>
      </w:r>
      <w:r w:rsidRPr="001F1C09">
        <w:rPr>
          <w:rFonts w:ascii="Arial" w:hAnsi="Arial" w:cs="Arial"/>
          <w:sz w:val="22"/>
          <w:szCs w:val="22"/>
        </w:rPr>
        <w:t xml:space="preserve"> a probability distribution function that best described the trend (based on iterative curve fitting) (using SPC for </w:t>
      </w:r>
      <w:r w:rsidR="005D1143">
        <w:rPr>
          <w:rFonts w:ascii="Arial" w:hAnsi="Arial" w:cs="Arial"/>
          <w:sz w:val="22"/>
          <w:szCs w:val="22"/>
        </w:rPr>
        <w:t xml:space="preserve">Microsoft </w:t>
      </w:r>
      <w:r w:rsidRPr="001F1C09">
        <w:rPr>
          <w:rFonts w:ascii="Arial" w:hAnsi="Arial" w:cs="Arial"/>
          <w:sz w:val="22"/>
          <w:szCs w:val="22"/>
        </w:rPr>
        <w:t xml:space="preserve">Excel </w:t>
      </w:r>
      <w:r w:rsidR="005D1143">
        <w:rPr>
          <w:rFonts w:ascii="Arial" w:hAnsi="Arial" w:cs="Arial"/>
          <w:sz w:val="22"/>
          <w:szCs w:val="22"/>
        </w:rPr>
        <w:t xml:space="preserve">for Mac, </w:t>
      </w:r>
      <w:r w:rsidRPr="001F1C09">
        <w:rPr>
          <w:rFonts w:ascii="Arial" w:hAnsi="Arial" w:cs="Arial"/>
          <w:sz w:val="22"/>
          <w:szCs w:val="22"/>
        </w:rPr>
        <w:t>version 6.0; BPI, USA), then estimat</w:t>
      </w:r>
      <w:r>
        <w:rPr>
          <w:rFonts w:ascii="Arial" w:hAnsi="Arial" w:cs="Arial"/>
          <w:sz w:val="22"/>
          <w:szCs w:val="22"/>
        </w:rPr>
        <w:t xml:space="preserve">ing </w:t>
      </w:r>
      <w:r w:rsidRPr="001F1C09">
        <w:rPr>
          <w:rFonts w:ascii="Arial" w:hAnsi="Arial" w:cs="Arial"/>
          <w:sz w:val="22"/>
          <w:szCs w:val="22"/>
        </w:rPr>
        <w:t>its parameters using an ordinary least-squares minimization routine via Microsoft Excel’s Solver function (version 16.16.23), then predict</w:t>
      </w:r>
      <w:r w:rsidR="00503B29">
        <w:rPr>
          <w:rFonts w:ascii="Arial" w:hAnsi="Arial" w:cs="Arial"/>
          <w:sz w:val="22"/>
          <w:szCs w:val="22"/>
        </w:rPr>
        <w:t>ing</w:t>
      </w:r>
      <w:r w:rsidRPr="001F1C09">
        <w:rPr>
          <w:rFonts w:ascii="Arial" w:hAnsi="Arial" w:cs="Arial"/>
          <w:sz w:val="22"/>
          <w:szCs w:val="22"/>
        </w:rPr>
        <w:t xml:space="preserve"> based on the fully specified probability distribution. </w:t>
      </w:r>
    </w:p>
    <w:p w14:paraId="5D44789D" w14:textId="5EADBFA2" w:rsidR="00D44EB8" w:rsidRPr="001F1C09" w:rsidRDefault="00D44EB8" w:rsidP="001F1C09">
      <w:pPr>
        <w:jc w:val="both"/>
        <w:rPr>
          <w:rFonts w:ascii="Arial" w:hAnsi="Arial" w:cs="Arial"/>
          <w:sz w:val="22"/>
          <w:szCs w:val="22"/>
        </w:rPr>
      </w:pPr>
    </w:p>
    <w:p w14:paraId="2929D3F1" w14:textId="4A9D99A5" w:rsidR="00EC4166" w:rsidRPr="005B02EE" w:rsidRDefault="00942272" w:rsidP="0041570D">
      <w:pPr>
        <w:pStyle w:val="Heading2"/>
      </w:pPr>
      <w:bookmarkStart w:id="5" w:name="_Toc64459911"/>
      <w:bookmarkStart w:id="6" w:name="_Toc81857617"/>
      <w:r w:rsidRPr="005B02EE">
        <w:t xml:space="preserve">Section </w:t>
      </w:r>
      <w:r w:rsidR="004A129C" w:rsidRPr="005B02EE">
        <w:t>3</w:t>
      </w:r>
      <w:r w:rsidRPr="005B02EE">
        <w:t xml:space="preserve">: </w:t>
      </w:r>
      <w:r w:rsidR="00EC4166" w:rsidRPr="005B02EE">
        <w:t>Genital Herpes</w:t>
      </w:r>
      <w:bookmarkEnd w:id="0"/>
      <w:bookmarkEnd w:id="5"/>
      <w:bookmarkEnd w:id="6"/>
    </w:p>
    <w:p w14:paraId="44B4A00A" w14:textId="77777777" w:rsidR="00EC4166" w:rsidRPr="00EC4166" w:rsidRDefault="00EC4166" w:rsidP="00EC4166">
      <w:pPr>
        <w:jc w:val="both"/>
        <w:rPr>
          <w:rFonts w:ascii="Arial" w:hAnsi="Arial" w:cs="Arial"/>
          <w:sz w:val="22"/>
          <w:szCs w:val="22"/>
        </w:rPr>
      </w:pPr>
    </w:p>
    <w:p w14:paraId="606C7127" w14:textId="1B1C2915" w:rsidR="00EC4166" w:rsidRPr="00EC4166" w:rsidRDefault="004A129C" w:rsidP="001F1C09">
      <w:pPr>
        <w:pStyle w:val="Heading3"/>
        <w:ind w:left="720"/>
        <w:rPr>
          <w:rFonts w:ascii="Arial" w:hAnsi="Arial" w:cs="Arial"/>
          <w:sz w:val="22"/>
          <w:szCs w:val="22"/>
        </w:rPr>
      </w:pPr>
      <w:bookmarkStart w:id="7" w:name="_Toc2379540"/>
      <w:bookmarkStart w:id="8" w:name="_Toc64459912"/>
      <w:bookmarkStart w:id="9" w:name="_Toc81857618"/>
      <w:r>
        <w:rPr>
          <w:rFonts w:ascii="Arial" w:hAnsi="Arial" w:cs="Arial"/>
          <w:sz w:val="22"/>
          <w:szCs w:val="22"/>
        </w:rPr>
        <w:t>A</w:t>
      </w:r>
      <w:r w:rsidR="00EC4166" w:rsidRPr="00EC4166">
        <w:rPr>
          <w:rFonts w:ascii="Arial" w:hAnsi="Arial" w:cs="Arial"/>
          <w:sz w:val="22"/>
          <w:szCs w:val="22"/>
        </w:rPr>
        <w:t>. Disease Burden</w:t>
      </w:r>
      <w:bookmarkEnd w:id="7"/>
      <w:bookmarkEnd w:id="8"/>
      <w:bookmarkEnd w:id="9"/>
    </w:p>
    <w:p w14:paraId="3B3DD6FC" w14:textId="578C7161" w:rsidR="00EC4166" w:rsidRDefault="00EC4166" w:rsidP="001F1C09">
      <w:pPr>
        <w:ind w:left="720"/>
        <w:jc w:val="both"/>
        <w:rPr>
          <w:rFonts w:ascii="Arial" w:hAnsi="Arial" w:cs="Arial"/>
          <w:sz w:val="22"/>
          <w:szCs w:val="22"/>
        </w:rPr>
      </w:pPr>
    </w:p>
    <w:p w14:paraId="41E67553" w14:textId="20303A76" w:rsidR="006E3635" w:rsidRDefault="006E3635" w:rsidP="001F1C09">
      <w:pPr>
        <w:ind w:left="720"/>
        <w:jc w:val="both"/>
        <w:rPr>
          <w:rFonts w:ascii="Arial" w:hAnsi="Arial" w:cs="Arial"/>
          <w:sz w:val="22"/>
          <w:szCs w:val="22"/>
        </w:rPr>
      </w:pPr>
      <w:r>
        <w:rPr>
          <w:rFonts w:ascii="Arial" w:hAnsi="Arial" w:cs="Arial"/>
          <w:sz w:val="22"/>
          <w:szCs w:val="22"/>
        </w:rPr>
        <w:t xml:space="preserve">We modeled the transmission of HSV-2 in </w:t>
      </w:r>
      <w:r w:rsidR="005D1143">
        <w:rPr>
          <w:rFonts w:ascii="Arial" w:hAnsi="Arial" w:cs="Arial"/>
          <w:sz w:val="22"/>
          <w:szCs w:val="22"/>
        </w:rPr>
        <w:t xml:space="preserve">45 </w:t>
      </w:r>
      <w:r w:rsidR="008D2862">
        <w:rPr>
          <w:rFonts w:ascii="Arial" w:hAnsi="Arial" w:cs="Arial"/>
          <w:sz w:val="22"/>
          <w:szCs w:val="22"/>
        </w:rPr>
        <w:t xml:space="preserve">low and middle-income </w:t>
      </w:r>
      <w:r w:rsidR="009667F6">
        <w:rPr>
          <w:rFonts w:ascii="Arial" w:hAnsi="Arial" w:cs="Arial"/>
          <w:sz w:val="22"/>
          <w:szCs w:val="22"/>
        </w:rPr>
        <w:t xml:space="preserve">African </w:t>
      </w:r>
      <w:r>
        <w:rPr>
          <w:rFonts w:ascii="Arial" w:hAnsi="Arial" w:cs="Arial"/>
          <w:sz w:val="22"/>
          <w:szCs w:val="22"/>
        </w:rPr>
        <w:t xml:space="preserve">countries </w:t>
      </w:r>
      <w:r w:rsidR="007E2B19">
        <w:rPr>
          <w:rFonts w:ascii="Arial" w:hAnsi="Arial" w:cs="Arial"/>
          <w:sz w:val="22"/>
          <w:szCs w:val="22"/>
        </w:rPr>
        <w:t>(</w:t>
      </w:r>
      <w:r w:rsidR="008D2862">
        <w:rPr>
          <w:rFonts w:ascii="Arial" w:hAnsi="Arial" w:cs="Arial"/>
          <w:sz w:val="22"/>
          <w:szCs w:val="22"/>
        </w:rPr>
        <w:t xml:space="preserve">in the </w:t>
      </w:r>
      <w:r>
        <w:rPr>
          <w:rFonts w:ascii="Arial" w:hAnsi="Arial" w:cs="Arial"/>
          <w:sz w:val="22"/>
          <w:szCs w:val="22"/>
        </w:rPr>
        <w:t xml:space="preserve">WHO </w:t>
      </w:r>
      <w:r w:rsidR="000B7476">
        <w:rPr>
          <w:rFonts w:ascii="Arial" w:hAnsi="Arial" w:cs="Arial"/>
          <w:sz w:val="22"/>
          <w:szCs w:val="22"/>
        </w:rPr>
        <w:t>Africa</w:t>
      </w:r>
      <w:r>
        <w:rPr>
          <w:rFonts w:ascii="Arial" w:hAnsi="Arial" w:cs="Arial"/>
          <w:sz w:val="22"/>
          <w:szCs w:val="22"/>
        </w:rPr>
        <w:t xml:space="preserve"> region</w:t>
      </w:r>
      <w:r w:rsidR="007E2B19">
        <w:rPr>
          <w:rFonts w:ascii="Arial" w:hAnsi="Arial" w:cs="Arial"/>
          <w:sz w:val="22"/>
          <w:szCs w:val="22"/>
        </w:rPr>
        <w:t>)</w:t>
      </w:r>
      <w:r w:rsidR="009667F6">
        <w:rPr>
          <w:rFonts w:ascii="Arial" w:hAnsi="Arial" w:cs="Arial"/>
          <w:sz w:val="22"/>
          <w:szCs w:val="22"/>
        </w:rPr>
        <w:t xml:space="preserve">, using a </w:t>
      </w:r>
      <w:r w:rsidR="009667F6" w:rsidRPr="009667F6">
        <w:rPr>
          <w:rFonts w:ascii="Arial" w:hAnsi="Arial" w:cs="Arial"/>
          <w:sz w:val="22"/>
          <w:szCs w:val="22"/>
        </w:rPr>
        <w:t>deterministic compartmental</w:t>
      </w:r>
      <w:r w:rsidR="009667F6">
        <w:rPr>
          <w:rFonts w:ascii="Arial" w:hAnsi="Arial" w:cs="Arial"/>
          <w:sz w:val="22"/>
          <w:szCs w:val="22"/>
        </w:rPr>
        <w:t xml:space="preserve"> mathematical model </w:t>
      </w:r>
      <w:r w:rsidR="009667F6" w:rsidRPr="009667F6">
        <w:rPr>
          <w:rFonts w:ascii="Arial" w:hAnsi="Arial" w:cs="Arial"/>
          <w:sz w:val="22"/>
          <w:szCs w:val="22"/>
        </w:rPr>
        <w:t>structured by sex, age, and sexual activity</w:t>
      </w:r>
      <w:r w:rsidR="009667F6">
        <w:rPr>
          <w:rFonts w:ascii="Arial" w:hAnsi="Arial" w:cs="Arial"/>
          <w:sz w:val="22"/>
          <w:szCs w:val="22"/>
        </w:rPr>
        <w:t xml:space="preserve">. </w:t>
      </w:r>
      <w:r w:rsidR="009667F6" w:rsidRPr="009667F6">
        <w:rPr>
          <w:rFonts w:ascii="Arial" w:hAnsi="Arial" w:cs="Arial"/>
          <w:sz w:val="22"/>
          <w:szCs w:val="22"/>
        </w:rPr>
        <w:t>The model</w:t>
      </w:r>
      <w:r w:rsidR="000A4345">
        <w:rPr>
          <w:rFonts w:ascii="Arial" w:hAnsi="Arial" w:cs="Arial"/>
          <w:sz w:val="22"/>
          <w:szCs w:val="22"/>
        </w:rPr>
        <w:t xml:space="preserve"> </w:t>
      </w:r>
      <w:r w:rsidR="009667F6" w:rsidRPr="009667F6">
        <w:rPr>
          <w:rFonts w:ascii="Arial" w:hAnsi="Arial" w:cs="Arial"/>
          <w:sz w:val="22"/>
          <w:szCs w:val="22"/>
        </w:rPr>
        <w:t>adapted and extended a recent model characteriz</w:t>
      </w:r>
      <w:r w:rsidR="000A4345">
        <w:rPr>
          <w:rFonts w:ascii="Arial" w:hAnsi="Arial" w:cs="Arial"/>
          <w:sz w:val="22"/>
          <w:szCs w:val="22"/>
        </w:rPr>
        <w:t>ing</w:t>
      </w:r>
      <w:r w:rsidR="009667F6" w:rsidRPr="009667F6">
        <w:rPr>
          <w:rFonts w:ascii="Arial" w:hAnsi="Arial" w:cs="Arial"/>
          <w:sz w:val="22"/>
          <w:szCs w:val="22"/>
        </w:rPr>
        <w:t xml:space="preserve"> the HSV-2 epidemic in the </w:t>
      </w:r>
      <w:r w:rsidR="000A4345">
        <w:rPr>
          <w:rFonts w:ascii="Arial" w:hAnsi="Arial" w:cs="Arial"/>
          <w:sz w:val="22"/>
          <w:szCs w:val="22"/>
        </w:rPr>
        <w:t xml:space="preserve">United States </w:t>
      </w:r>
      <w:r w:rsidR="009667F6" w:rsidRPr="009667F6">
        <w:rPr>
          <w:rFonts w:ascii="Arial" w:hAnsi="Arial" w:cs="Arial"/>
          <w:sz w:val="22"/>
          <w:szCs w:val="22"/>
        </w:rPr>
        <w:t>from 1950–2050</w:t>
      </w:r>
      <w:r w:rsidR="006B5FDE">
        <w:rPr>
          <w:rFonts w:ascii="Arial" w:hAnsi="Arial" w:cs="Arial"/>
          <w:sz w:val="22"/>
          <w:szCs w:val="22"/>
        </w:rPr>
        <w:fldChar w:fldCharType="begin"/>
      </w:r>
      <w:r w:rsidR="0081559F">
        <w:rPr>
          <w:rFonts w:ascii="Arial" w:hAnsi="Arial" w:cs="Arial"/>
          <w:sz w:val="22"/>
          <w:szCs w:val="22"/>
        </w:rPr>
        <w:instrText xml:space="preserve"> ADDIN ZOTERO_ITEM CSL_CITATION {"citationID":"hQ5H3Std","properties":{"formattedCitation":"[4]","plainCitation":"[4]","noteIndex":0},"citationItems":[{"id":29339,"uris":["http://zotero.org/users/local/p8g0WsVO/items/S4V3KKQ7"],"itemData":{"id":29339,"type":"article-journal","abstract":"We analytically characterized the past, present, and future levels and trends of the national herpes simplex virus type 2 (HSV-2) epidemic in the United States.A population-level mathematical model was constructed to describe HSV-2 transmission dynamics and was fitted to the data series of the National Health and Nutrition Examination Surveys.Over 1950-2050, antibody prevalence (seroprevalence) increased rapidly from 1960, peaking at 19.9% in 1983 in those aged 15-49, before reversing course to decline to 13.2% by 2020 and 8.5% by 2050. Incidence rate peaked in 1971 at 11.9 per 1,000 person-years, before declining by 59% by 2020 and 70% by 2050. Annual number of new infections peaked at 1,033,000 in 1978, before declining to 667,000 by 2020 and 600,000 by 2050. Women were disproportionately affected, averaging 75% higher seroprevalence, 95% higher incidence rate, and 71% higher annual number of infections. In 2020, 78% of infections were acquired by those 15-34 year-olds.The epidemic has undergone a major transition over a century, with the greatest impact in those 15-34 year-olds. In addition to 47 million prevalent infections in 2020, high incidence will persist over the next three decades, adding &amp;gt;600,000 new infections every year.","container-title":"Open Forum Infectious Diseases","DOI":"10.1093/ofid/ofab218","ISSN":"2328-8957","issue":"ofab218","journalAbbreviation":"Open Forum Infectious Diseases","source":"Silverchair","title":"Analytic characterization of the herpes simplex virus type 2 epidemic in the United States, 1950-2050","URL":"https://doi.org/10.1093/ofid/ofab218","author":[{"family":"Ayoub","given":"Houssein H"},{"family":"Amara","given":"Ibtihel"},{"family":"Awad","given":"Susanne F"},{"family":"Omori","given":"Ryosuke"},{"family":"Chemaitelly","given":"Hiam"},{"family":"Abu-Raddad","given":"Laith J"}],"accessed":{"date-parts":[["2021",5,13]]},"issued":{"date-parts":[["2021",4,29]]}}}],"schema":"https://github.com/citation-style-language/schema/raw/master/csl-citation.json"} </w:instrText>
      </w:r>
      <w:r w:rsidR="006B5FDE">
        <w:rPr>
          <w:rFonts w:ascii="Arial" w:hAnsi="Arial" w:cs="Arial"/>
          <w:sz w:val="22"/>
          <w:szCs w:val="22"/>
        </w:rPr>
        <w:fldChar w:fldCharType="separate"/>
      </w:r>
      <w:r w:rsidR="0081559F">
        <w:rPr>
          <w:rFonts w:ascii="Arial" w:hAnsi="Arial" w:cs="Arial"/>
          <w:sz w:val="22"/>
        </w:rPr>
        <w:t>[4]</w:t>
      </w:r>
      <w:r w:rsidR="006B5FDE">
        <w:rPr>
          <w:rFonts w:ascii="Arial" w:hAnsi="Arial" w:cs="Arial"/>
          <w:sz w:val="22"/>
          <w:szCs w:val="22"/>
        </w:rPr>
        <w:fldChar w:fldCharType="end"/>
      </w:r>
      <w:r w:rsidR="00330AEB" w:rsidRPr="008D6407">
        <w:rPr>
          <w:rFonts w:ascii="Arial" w:hAnsi="Arial" w:cs="Arial"/>
          <w:sz w:val="22"/>
          <w:szCs w:val="22"/>
          <w:vertAlign w:val="superscript"/>
        </w:rPr>
        <w:t>,</w:t>
      </w:r>
      <w:r w:rsidR="00330AEB">
        <w:rPr>
          <w:rFonts w:ascii="Arial" w:hAnsi="Arial" w:cs="Arial"/>
          <w:sz w:val="22"/>
          <w:szCs w:val="22"/>
        </w:rPr>
        <w:fldChar w:fldCharType="begin"/>
      </w:r>
      <w:r w:rsidR="0081559F">
        <w:rPr>
          <w:rFonts w:ascii="Arial" w:hAnsi="Arial" w:cs="Arial"/>
          <w:sz w:val="22"/>
          <w:szCs w:val="22"/>
        </w:rPr>
        <w:instrText xml:space="preserve"> ADDIN ZOTERO_ITEM CSL_CITATION {"citationID":"zLSxB5rA","properties":{"formattedCitation":"[4]","plainCitation":"[4]","noteIndex":0},"citationItems":[{"id":29339,"uris":["http://zotero.org/users/local/p8g0WsVO/items/S4V3KKQ7"],"itemData":{"id":29339,"type":"article-journal","abstract":"We analytically characterized the past, present, and future levels and trends of the national herpes simplex virus type 2 (HSV-2) epidemic in the United States.A population-level mathematical model was constructed to describe HSV-2 transmission dynamics and was fitted to the data series of the National Health and Nutrition Examination Surveys.Over 1950-2050, antibody prevalence (seroprevalence) increased rapidly from 1960, peaking at 19.9% in 1983 in those aged 15-49, before reversing course to decline to 13.2% by 2020 and 8.5% by 2050. Incidence rate peaked in 1971 at 11.9 per 1,000 person-years, before declining by 59% by 2020 and 70% by 2050. Annual number of new infections peaked at 1,033,000 in 1978, before declining to 667,000 by 2020 and 600,000 by 2050. Women were disproportionately affected, averaging 75% higher seroprevalence, 95% higher incidence rate, and 71% higher annual number of infections. In 2020, 78% of infections were acquired by those 15-34 year-olds.The epidemic has undergone a major transition over a century, with the greatest impact in those 15-34 year-olds. In addition to 47 million prevalent infections in 2020, high incidence will persist over the next three decades, adding &amp;gt;600,000 new infections every year.","container-title":"Open Forum Infectious Diseases","DOI":"10.1093/ofid/ofab218","ISSN":"2328-8957","issue":"ofab218","journalAbbreviation":"Open Forum Infectious Diseases","source":"Silverchair","title":"Analytic characterization of the herpes simplex virus type 2 epidemic in the United States, 1950-2050","URL":"https://doi.org/10.1093/ofid/ofab218","author":[{"family":"Ayoub","given":"Houssein H"},{"family":"Amara","given":"Ibtihel"},{"family":"Awad","given":"Susanne F"},{"family":"Omori","given":"Ryosuke"},{"family":"Chemaitelly","given":"Hiam"},{"family":"Abu-Raddad","given":"Laith J"}],"accessed":{"date-parts":[["2021",5,13]]},"issued":{"date-parts":[["2021",4,29]]}}}],"schema":"https://github.com/citation-style-language/schema/raw/master/csl-citation.json"} </w:instrText>
      </w:r>
      <w:r w:rsidR="00330AEB">
        <w:rPr>
          <w:rFonts w:ascii="Arial" w:hAnsi="Arial" w:cs="Arial"/>
          <w:sz w:val="22"/>
          <w:szCs w:val="22"/>
        </w:rPr>
        <w:fldChar w:fldCharType="separate"/>
      </w:r>
      <w:r w:rsidR="0081559F">
        <w:rPr>
          <w:rFonts w:ascii="Arial" w:hAnsi="Arial" w:cs="Arial"/>
          <w:sz w:val="22"/>
        </w:rPr>
        <w:t>[4]</w:t>
      </w:r>
      <w:r w:rsidR="00330AEB">
        <w:rPr>
          <w:rFonts w:ascii="Arial" w:hAnsi="Arial" w:cs="Arial"/>
          <w:sz w:val="22"/>
          <w:szCs w:val="22"/>
        </w:rPr>
        <w:fldChar w:fldCharType="end"/>
      </w:r>
      <w:r w:rsidR="009667F6">
        <w:rPr>
          <w:rFonts w:ascii="Arial" w:hAnsi="Arial" w:cs="Arial"/>
          <w:sz w:val="22"/>
          <w:szCs w:val="22"/>
        </w:rPr>
        <w:t xml:space="preserve">. </w:t>
      </w:r>
      <w:r w:rsidR="000A4345">
        <w:rPr>
          <w:rFonts w:ascii="Arial" w:hAnsi="Arial" w:cs="Arial"/>
          <w:sz w:val="22"/>
          <w:szCs w:val="22"/>
        </w:rPr>
        <w:t xml:space="preserve">The </w:t>
      </w:r>
      <w:r w:rsidR="00934F8A">
        <w:rPr>
          <w:rFonts w:ascii="Arial" w:hAnsi="Arial" w:cs="Arial"/>
          <w:sz w:val="22"/>
          <w:szCs w:val="22"/>
        </w:rPr>
        <w:t xml:space="preserve">model </w:t>
      </w:r>
      <w:r w:rsidR="000A4345">
        <w:rPr>
          <w:rFonts w:ascii="Arial" w:hAnsi="Arial" w:cs="Arial"/>
          <w:sz w:val="22"/>
          <w:szCs w:val="22"/>
        </w:rPr>
        <w:t xml:space="preserve">was </w:t>
      </w:r>
      <w:r w:rsidR="009667F6" w:rsidRPr="009667F6">
        <w:rPr>
          <w:rFonts w:ascii="Arial" w:hAnsi="Arial" w:cs="Arial"/>
          <w:sz w:val="22"/>
          <w:szCs w:val="22"/>
        </w:rPr>
        <w:t>parameteriz</w:t>
      </w:r>
      <w:r w:rsidR="000A4345">
        <w:rPr>
          <w:rFonts w:ascii="Arial" w:hAnsi="Arial" w:cs="Arial"/>
          <w:sz w:val="22"/>
          <w:szCs w:val="22"/>
        </w:rPr>
        <w:t>ed</w:t>
      </w:r>
      <w:r w:rsidR="009667F6" w:rsidRPr="009667F6">
        <w:rPr>
          <w:rFonts w:ascii="Arial" w:hAnsi="Arial" w:cs="Arial"/>
          <w:sz w:val="22"/>
          <w:szCs w:val="22"/>
        </w:rPr>
        <w:t xml:space="preserve"> for HSV-2 natural history and epidemiology</w:t>
      </w:r>
      <w:r w:rsidR="00330AEB">
        <w:rPr>
          <w:rFonts w:ascii="Arial" w:hAnsi="Arial" w:cs="Arial"/>
          <w:sz w:val="22"/>
          <w:szCs w:val="22"/>
        </w:rPr>
        <w:fldChar w:fldCharType="begin"/>
      </w:r>
      <w:r w:rsidR="0081559F">
        <w:rPr>
          <w:rFonts w:ascii="Arial" w:hAnsi="Arial" w:cs="Arial"/>
          <w:sz w:val="22"/>
          <w:szCs w:val="22"/>
        </w:rPr>
        <w:instrText xml:space="preserve"> ADDIN ZOTERO_ITEM CSL_CITATION {"citationID":"Z1sihXKv","properties":{"formattedCitation":"[5]","plainCitation":"[5]","noteIndex":0},"citationItems":[{"id":29336,"uris":["http://zotero.org/users/local/p8g0WsVO/items/EIBC2NGU"],"itemData":{"id":29336,"type":"article-journal","abstract":"This study aims to inform herpes simplex virus type 2 (HSV-2) vaccine development, licensure, and implementation by delineating the population-level impact of vaccination. Mathematical models were constructed to describe the transmission dynamics in presence of prophylactic or therapeutic vaccines assuming 50% efficacy, with application to the United States. Catch-up prophylactic vaccination will reduce, by 2050, annual number of new infections by 58%, incidence rate by 60%, seroprevalence by 21%, and avert yearly as much as 350,000 infections. Number of vaccinations needed to avert one infection was only 50 by 2050, 34 by prioritizing those aged 15-19 years, 4 by prioritizing the highest sexual risk group, 43 by prioritizing women, and 47 by prioritizing men. Therapeutic vaccination of infected adults with symptomatic disease will reduce, by 2050, annual number of new infections by 12%, incidence rate by 13%, seroprevalence by 4%, and avert yearly as much as 76,000 infections. Number of vaccinations needed to avert one infection was eight by 2050, two by prioritizing those aged 15-19 years, three by prioritizing the highest sexual risk group, seven by prioritizing men, and ten by prioritizing women. HSV-2 vaccination offers an impactful and cost-effective intervention to prevent genital herpes medical and psychosexual disease burden.","container-title":"Vaccines","DOI":"10.3390/vaccines8030366","ISSN":"2076-393X","issue":"3","journalAbbreviation":"Vaccines (Basel)","language":"eng","note":"PMID: 32650385\nPMCID: PMC7564812","source":"PubMed","title":"Epidemiological Impact of Novel Preventive and Therapeutic HSV-2 Vaccination in the United States: Mathematical Modeling Analyses","title-short":"Epidemiological Impact of Novel Preventive and Therapeutic HSV-2 Vaccination in the United States","volume":"8","author":[{"family":"Ayoub","given":"Houssein H."},{"family":"Chemaitelly","given":"Hiam"},{"family":"Abu-Raddad","given":"Laith J."}],"issued":{"date-parts":[["2020",7,8]]}}}],"schema":"https://github.com/citation-style-language/schema/raw/master/csl-citation.json"} </w:instrText>
      </w:r>
      <w:r w:rsidR="00330AEB">
        <w:rPr>
          <w:rFonts w:ascii="Arial" w:hAnsi="Arial" w:cs="Arial"/>
          <w:sz w:val="22"/>
          <w:szCs w:val="22"/>
        </w:rPr>
        <w:fldChar w:fldCharType="separate"/>
      </w:r>
      <w:r w:rsidR="0081559F">
        <w:rPr>
          <w:rFonts w:ascii="Arial" w:hAnsi="Arial" w:cs="Arial"/>
          <w:sz w:val="22"/>
        </w:rPr>
        <w:t>[5]</w:t>
      </w:r>
      <w:r w:rsidR="00330AEB">
        <w:rPr>
          <w:rFonts w:ascii="Arial" w:hAnsi="Arial" w:cs="Arial"/>
          <w:sz w:val="22"/>
          <w:szCs w:val="22"/>
        </w:rPr>
        <w:fldChar w:fldCharType="end"/>
      </w:r>
      <w:r w:rsidR="00330AEB" w:rsidRPr="00D47D7F">
        <w:rPr>
          <w:rFonts w:ascii="Arial" w:hAnsi="Arial" w:cs="Arial"/>
          <w:sz w:val="22"/>
          <w:szCs w:val="22"/>
          <w:vertAlign w:val="superscript"/>
        </w:rPr>
        <w:t>,</w:t>
      </w:r>
      <w:r w:rsidR="00330AEB">
        <w:rPr>
          <w:rFonts w:ascii="Arial" w:hAnsi="Arial" w:cs="Arial"/>
          <w:sz w:val="22"/>
          <w:szCs w:val="22"/>
        </w:rPr>
        <w:fldChar w:fldCharType="begin"/>
      </w:r>
      <w:r w:rsidR="0081559F">
        <w:rPr>
          <w:rFonts w:ascii="Arial" w:hAnsi="Arial" w:cs="Arial"/>
          <w:sz w:val="22"/>
          <w:szCs w:val="22"/>
        </w:rPr>
        <w:instrText xml:space="preserve"> ADDIN ZOTERO_ITEM CSL_CITATION {"citationID":"xqTfrYKB","properties":{"formattedCitation":"[4]","plainCitation":"[4]","noteIndex":0},"citationItems":[{"id":29339,"uris":["http://zotero.org/users/local/p8g0WsVO/items/S4V3KKQ7"],"itemData":{"id":29339,"type":"article-journal","abstract":"We analytically characterized the past, present, and future levels and trends of the national herpes simplex virus type 2 (HSV-2) epidemic in the United States.A population-level mathematical model was constructed to describe HSV-2 transmission dynamics and was fitted to the data series of the National Health and Nutrition Examination Surveys.Over 1950-2050, antibody prevalence (seroprevalence) increased rapidly from 1960, peaking at 19.9% in 1983 in those aged 15-49, before reversing course to decline to 13.2% by 2020 and 8.5% by 2050. Incidence rate peaked in 1971 at 11.9 per 1,000 person-years, before declining by 59% by 2020 and 70% by 2050. Annual number of new infections peaked at 1,033,000 in 1978, before declining to 667,000 by 2020 and 600,000 by 2050. Women were disproportionately affected, averaging 75% higher seroprevalence, 95% higher incidence rate, and 71% higher annual number of infections. In 2020, 78% of infections were acquired by those 15-34 year-olds.The epidemic has undergone a major transition over a century, with the greatest impact in those 15-34 year-olds. In addition to 47 million prevalent infections in 2020, high incidence will persist over the next three decades, adding &amp;gt;600,000 new infections every year.","container-title":"Open Forum Infectious Diseases","DOI":"10.1093/ofid/ofab218","ISSN":"2328-8957","issue":"ofab218","journalAbbreviation":"Open Forum Infectious Diseases","source":"Silverchair","title":"Analytic characterization of the herpes simplex virus type 2 epidemic in the United States, 1950-2050","URL":"https://doi.org/10.1093/ofid/ofab218","author":[{"family":"Ayoub","given":"Houssein H"},{"family":"Amara","given":"Ibtihel"},{"family":"Awad","given":"Susanne F"},{"family":"Omori","given":"Ryosuke"},{"family":"Chemaitelly","given":"Hiam"},{"family":"Abu-Raddad","given":"Laith J"}],"accessed":{"date-parts":[["2021",5,13]]},"issued":{"date-parts":[["2021",4,29]]}}}],"schema":"https://github.com/citation-style-language/schema/raw/master/csl-citation.json"} </w:instrText>
      </w:r>
      <w:r w:rsidR="00330AEB">
        <w:rPr>
          <w:rFonts w:ascii="Arial" w:hAnsi="Arial" w:cs="Arial"/>
          <w:sz w:val="22"/>
          <w:szCs w:val="22"/>
        </w:rPr>
        <w:fldChar w:fldCharType="separate"/>
      </w:r>
      <w:r w:rsidR="0081559F">
        <w:rPr>
          <w:rFonts w:ascii="Arial" w:hAnsi="Arial" w:cs="Arial"/>
          <w:sz w:val="22"/>
        </w:rPr>
        <w:t>[4]</w:t>
      </w:r>
      <w:r w:rsidR="00330AEB">
        <w:rPr>
          <w:rFonts w:ascii="Arial" w:hAnsi="Arial" w:cs="Arial"/>
          <w:sz w:val="22"/>
          <w:szCs w:val="22"/>
        </w:rPr>
        <w:fldChar w:fldCharType="end"/>
      </w:r>
      <w:r w:rsidR="000A4345">
        <w:rPr>
          <w:rFonts w:ascii="Arial" w:hAnsi="Arial" w:cs="Arial"/>
          <w:sz w:val="22"/>
          <w:szCs w:val="22"/>
        </w:rPr>
        <w:t xml:space="preserve"> and then calibrated by </w:t>
      </w:r>
      <w:r w:rsidR="009667F6" w:rsidRPr="009667F6">
        <w:rPr>
          <w:rFonts w:ascii="Arial" w:hAnsi="Arial" w:cs="Arial"/>
          <w:sz w:val="22"/>
          <w:szCs w:val="22"/>
        </w:rPr>
        <w:t>fitting</w:t>
      </w:r>
      <w:r w:rsidR="009667F6">
        <w:rPr>
          <w:rFonts w:ascii="Arial" w:hAnsi="Arial" w:cs="Arial"/>
          <w:sz w:val="22"/>
          <w:szCs w:val="22"/>
        </w:rPr>
        <w:t xml:space="preserve"> </w:t>
      </w:r>
      <w:r w:rsidR="009667F6" w:rsidRPr="009667F6">
        <w:rPr>
          <w:rFonts w:ascii="Arial" w:hAnsi="Arial" w:cs="Arial"/>
          <w:sz w:val="22"/>
          <w:szCs w:val="22"/>
        </w:rPr>
        <w:t>to</w:t>
      </w:r>
      <w:r w:rsidR="009667F6">
        <w:rPr>
          <w:rFonts w:ascii="Arial" w:hAnsi="Arial" w:cs="Arial"/>
          <w:sz w:val="22"/>
          <w:szCs w:val="22"/>
        </w:rPr>
        <w:t xml:space="preserve"> </w:t>
      </w:r>
      <w:r w:rsidR="009667F6" w:rsidRPr="009667F6">
        <w:rPr>
          <w:rFonts w:ascii="Arial" w:hAnsi="Arial" w:cs="Arial"/>
          <w:sz w:val="22"/>
          <w:szCs w:val="22"/>
        </w:rPr>
        <w:t>HSV-2</w:t>
      </w:r>
      <w:r w:rsidR="009667F6">
        <w:rPr>
          <w:rFonts w:ascii="Arial" w:hAnsi="Arial" w:cs="Arial"/>
          <w:sz w:val="22"/>
          <w:szCs w:val="22"/>
        </w:rPr>
        <w:t xml:space="preserve"> </w:t>
      </w:r>
      <w:r w:rsidR="009667F6" w:rsidRPr="009667F6">
        <w:rPr>
          <w:rFonts w:ascii="Arial" w:hAnsi="Arial" w:cs="Arial"/>
          <w:sz w:val="22"/>
          <w:szCs w:val="22"/>
        </w:rPr>
        <w:t>seroprevalence</w:t>
      </w:r>
      <w:r w:rsidR="009667F6">
        <w:rPr>
          <w:rFonts w:ascii="Arial" w:hAnsi="Arial" w:cs="Arial"/>
          <w:sz w:val="22"/>
          <w:szCs w:val="22"/>
        </w:rPr>
        <w:t xml:space="preserve"> </w:t>
      </w:r>
      <w:r w:rsidR="009667F6" w:rsidRPr="009667F6">
        <w:rPr>
          <w:rFonts w:ascii="Arial" w:hAnsi="Arial" w:cs="Arial"/>
          <w:sz w:val="22"/>
          <w:szCs w:val="22"/>
        </w:rPr>
        <w:t>data</w:t>
      </w:r>
      <w:r w:rsidR="00330AEB">
        <w:rPr>
          <w:rFonts w:ascii="Arial" w:hAnsi="Arial" w:cs="Arial"/>
          <w:sz w:val="22"/>
          <w:szCs w:val="22"/>
        </w:rPr>
        <w:t xml:space="preserve"> by sex, and an overall seroprevalence decline by two percent</w:t>
      </w:r>
      <w:r w:rsidR="00160CC8">
        <w:rPr>
          <w:rFonts w:ascii="Arial" w:hAnsi="Arial" w:cs="Arial"/>
          <w:sz w:val="22"/>
          <w:szCs w:val="22"/>
        </w:rPr>
        <w:fldChar w:fldCharType="begin"/>
      </w:r>
      <w:r w:rsidR="0081559F">
        <w:rPr>
          <w:rFonts w:ascii="Arial" w:hAnsi="Arial" w:cs="Arial"/>
          <w:sz w:val="22"/>
          <w:szCs w:val="22"/>
        </w:rPr>
        <w:instrText xml:space="preserve"> ADDIN ZOTERO_ITEM CSL_CITATION {"citationID":"pme7KSW6","properties":{"formattedCitation":"[6]","plainCitation":"[6]","noteIndex":0},"citationItems":[{"id":29221,"uris":["http://zotero.org/users/local/p8g0WsVO/items/DSVSN6RB"],"itemData":{"id":29221,"type":"article-journal","abstract":"&lt;p&gt;Background: Herpes simplex virus type 2 (HSV-2) infection is a prevalent sexually transmitted infection with a sizable disease burden that is highest in sub-Saharan Africa. This study aimed to characterize HSV-2 epidemiology in this region. Methods: Cochrane and PRISMA guidelines were followed to systematically review, synthesize, and report HSV-2 related findings. Meta-analyses and meta-regressions were conducted. Findings: From 218 relevant publications, 451 overall outcome measures and 869 stratified measures were extracted. Pooled incidence rates ranged between 2.4-19.4 per 100 person-years across populations. Pooled seroprevalence was lowest at 37.3% (95% confidence interval (CI): 34.9-39.7%) in general populations and high in female sex workers and HIV positive individuals at 62.5% (95% CI: 54.8-70.0%) and 71.3% (95% CI: 66.5-75.9%), respectively. In general populations, pooled seroprevalence increased steadily with age. Compared to women, men had a lower seroprevalence with an adjusted risk ratio (ARR) of 0.61 (95% CI: 0.56-0.67). Seroprevalence decreased in recent decades with an ARR of 0.98 (95% CI: 0.97-0.99) per year. Seroprevalence was highest in Eastern and Southern Africa. Pooled HSV-2 proportion in genital ulcer disease was 50.7% (95% CI: 44.7-56.8%) and in genital herpes it was 97.3% (95% CI: 84.4-100%). Interpretation: Seroprevalence is declining by 2% per year, but a third of the population is infected. Age and geography play profound roles in HSV-2 epidemiology. Temporal declines and geographic distribution of HSV-2 seroprevalence mirror that of HIV prevalence, suggesting sexual risk behavior has been declining for three decades. HSV-2 is the etiological cause of half of GUD and nearly all genital herpes cases.&lt;/p&gt;","container-title":"medRxiv","DOI":"10.1101/2021.01.25.21250443","language":"en","license":"© 2021, Posted by Cold Spring Harbor Laboratory. The copyright holder for this pre-print is the author. All rights reserved. The material may not be redistributed, re-used or adapted without the author's permission.","note":"publisher: Cold Spring Harbor Laboratory Press","page":"2021.01.25.21250443","source":"www.medrxiv.org","title":"The epidemiology of herpes simplex virus type 2 in sub-Saharan Africa: systematic review, meta-analyses, and meta-regressions","title-short":"The epidemiology of herpes simplex virus type 2 in sub-Saharan Africa","URL":"https://www.medrxiv.org/content/10.1101/2021.01.25.21250443v1","author":[{"family":"Harfouche","given":"Manale"},{"family":"Abu-Hijleh","given":"Farah M."},{"family":"James","given":"Charlotte"},{"family":"Looker","given":"Katharine J."},{"family":"Abu-Raddad","given":"Laith J."}],"accessed":{"date-parts":[["2021",2,21]]},"issued":{"date-parts":[["2021",1,26]]}}}],"schema":"https://github.com/citation-style-language/schema/raw/master/csl-citation.json"} </w:instrText>
      </w:r>
      <w:r w:rsidR="00160CC8">
        <w:rPr>
          <w:rFonts w:ascii="Arial" w:hAnsi="Arial" w:cs="Arial"/>
          <w:sz w:val="22"/>
          <w:szCs w:val="22"/>
        </w:rPr>
        <w:fldChar w:fldCharType="separate"/>
      </w:r>
      <w:r w:rsidR="0081559F">
        <w:rPr>
          <w:rFonts w:ascii="Arial" w:hAnsi="Arial" w:cs="Arial"/>
          <w:sz w:val="22"/>
        </w:rPr>
        <w:t>[6]</w:t>
      </w:r>
      <w:r w:rsidR="00160CC8">
        <w:rPr>
          <w:rFonts w:ascii="Arial" w:hAnsi="Arial" w:cs="Arial"/>
          <w:sz w:val="22"/>
          <w:szCs w:val="22"/>
        </w:rPr>
        <w:fldChar w:fldCharType="end"/>
      </w:r>
      <w:r w:rsidR="009667F6">
        <w:rPr>
          <w:rFonts w:ascii="Arial" w:hAnsi="Arial" w:cs="Arial"/>
          <w:sz w:val="22"/>
          <w:szCs w:val="22"/>
        </w:rPr>
        <w:t xml:space="preserve">. </w:t>
      </w:r>
    </w:p>
    <w:p w14:paraId="664FBAFE" w14:textId="77777777" w:rsidR="000A4345" w:rsidRDefault="000A4345" w:rsidP="001F1C09">
      <w:pPr>
        <w:ind w:left="720"/>
        <w:jc w:val="both"/>
        <w:rPr>
          <w:rFonts w:ascii="Arial" w:hAnsi="Arial" w:cs="Arial"/>
          <w:sz w:val="22"/>
          <w:szCs w:val="22"/>
        </w:rPr>
      </w:pPr>
    </w:p>
    <w:p w14:paraId="2EFE6C1E" w14:textId="3B003063" w:rsidR="00D6400D" w:rsidRDefault="009667F6" w:rsidP="005E5A55">
      <w:pPr>
        <w:ind w:left="720"/>
        <w:jc w:val="both"/>
        <w:rPr>
          <w:rFonts w:ascii="Arial" w:hAnsi="Arial" w:cs="Arial"/>
          <w:sz w:val="22"/>
          <w:szCs w:val="22"/>
        </w:rPr>
      </w:pPr>
      <w:r>
        <w:rPr>
          <w:rFonts w:ascii="Arial" w:hAnsi="Arial" w:cs="Arial"/>
          <w:sz w:val="22"/>
          <w:szCs w:val="22"/>
        </w:rPr>
        <w:t xml:space="preserve">For </w:t>
      </w:r>
      <w:r w:rsidR="00190D68">
        <w:rPr>
          <w:rFonts w:ascii="Arial" w:hAnsi="Arial" w:cs="Arial"/>
          <w:sz w:val="22"/>
          <w:szCs w:val="22"/>
        </w:rPr>
        <w:t xml:space="preserve">the </w:t>
      </w:r>
      <w:r>
        <w:rPr>
          <w:rFonts w:ascii="Arial" w:hAnsi="Arial" w:cs="Arial"/>
          <w:sz w:val="22"/>
          <w:szCs w:val="22"/>
        </w:rPr>
        <w:t>countries</w:t>
      </w:r>
      <w:r w:rsidR="000A4345">
        <w:rPr>
          <w:rFonts w:ascii="Arial" w:hAnsi="Arial" w:cs="Arial"/>
          <w:sz w:val="22"/>
          <w:szCs w:val="22"/>
        </w:rPr>
        <w:t xml:space="preserve"> that </w:t>
      </w:r>
      <w:r w:rsidR="0048524C">
        <w:rPr>
          <w:rFonts w:ascii="Arial" w:hAnsi="Arial" w:cs="Arial"/>
          <w:sz w:val="22"/>
          <w:szCs w:val="22"/>
        </w:rPr>
        <w:t xml:space="preserve">we </w:t>
      </w:r>
      <w:r w:rsidR="008D2862">
        <w:rPr>
          <w:rFonts w:ascii="Arial" w:hAnsi="Arial" w:cs="Arial"/>
          <w:sz w:val="22"/>
          <w:szCs w:val="22"/>
        </w:rPr>
        <w:t>did not model</w:t>
      </w:r>
      <w:r>
        <w:rPr>
          <w:rFonts w:ascii="Arial" w:hAnsi="Arial" w:cs="Arial"/>
          <w:sz w:val="22"/>
          <w:szCs w:val="22"/>
        </w:rPr>
        <w:t xml:space="preserve">, we </w:t>
      </w:r>
      <w:r w:rsidR="00934F8A">
        <w:rPr>
          <w:rFonts w:ascii="Arial" w:hAnsi="Arial" w:cs="Arial"/>
          <w:sz w:val="22"/>
          <w:szCs w:val="22"/>
        </w:rPr>
        <w:t xml:space="preserve">relied on the GBD HSV-2 estimates. </w:t>
      </w:r>
      <w:r w:rsidR="0048524C">
        <w:rPr>
          <w:rFonts w:ascii="Arial" w:hAnsi="Arial" w:cs="Arial"/>
          <w:sz w:val="22"/>
          <w:szCs w:val="22"/>
        </w:rPr>
        <w:t xml:space="preserve">GBD estimates are based on </w:t>
      </w:r>
      <w:r w:rsidR="00AB2EC9">
        <w:rPr>
          <w:rFonts w:ascii="Arial" w:hAnsi="Arial" w:cs="Arial"/>
          <w:sz w:val="22"/>
          <w:szCs w:val="22"/>
        </w:rPr>
        <w:t xml:space="preserve">the DisMod-MR </w:t>
      </w:r>
      <w:r w:rsidR="00D6400D">
        <w:rPr>
          <w:rFonts w:ascii="Arial" w:hAnsi="Arial" w:cs="Arial"/>
          <w:sz w:val="22"/>
          <w:szCs w:val="22"/>
        </w:rPr>
        <w:t xml:space="preserve">(version 2.1) </w:t>
      </w:r>
      <w:r w:rsidR="00AB2EC9">
        <w:rPr>
          <w:rFonts w:ascii="Arial" w:hAnsi="Arial" w:cs="Arial"/>
          <w:sz w:val="22"/>
          <w:szCs w:val="22"/>
        </w:rPr>
        <w:t xml:space="preserve">generic compartmental disease model and </w:t>
      </w:r>
      <w:r w:rsidR="00CB581B">
        <w:rPr>
          <w:rFonts w:ascii="Arial" w:hAnsi="Arial" w:cs="Arial"/>
          <w:sz w:val="22"/>
          <w:szCs w:val="22"/>
        </w:rPr>
        <w:t>Bayesian</w:t>
      </w:r>
      <w:r w:rsidR="00AB2EC9">
        <w:rPr>
          <w:rFonts w:ascii="Arial" w:hAnsi="Arial" w:cs="Arial"/>
          <w:sz w:val="22"/>
          <w:szCs w:val="22"/>
        </w:rPr>
        <w:t xml:space="preserve"> meta-regression statistical model, using HSV-2 serosurveys </w:t>
      </w:r>
      <w:r w:rsidR="005E5A55">
        <w:rPr>
          <w:rFonts w:ascii="Arial" w:hAnsi="Arial" w:cs="Arial"/>
          <w:sz w:val="22"/>
          <w:szCs w:val="22"/>
        </w:rPr>
        <w:t xml:space="preserve">for the general population </w:t>
      </w:r>
      <w:r w:rsidR="00AB2EC9">
        <w:rPr>
          <w:rFonts w:ascii="Arial" w:hAnsi="Arial" w:cs="Arial"/>
          <w:sz w:val="22"/>
          <w:szCs w:val="22"/>
        </w:rPr>
        <w:t>from 1980 onwards, internal systematic reviews from 2010, 2013 and 2015, the reviews by Looker et al.</w:t>
      </w:r>
      <w:r w:rsidR="00D6400D">
        <w:rPr>
          <w:rFonts w:ascii="Arial" w:hAnsi="Arial" w:cs="Arial"/>
          <w:sz w:val="22"/>
          <w:szCs w:val="22"/>
        </w:rPr>
        <w:t>, and ongoing input from collaborators, all amounting to roughly 386 seroprevalence sources from 77 countries.</w:t>
      </w:r>
    </w:p>
    <w:p w14:paraId="4FC34DD6" w14:textId="77777777" w:rsidR="00D6400D" w:rsidRDefault="00D6400D" w:rsidP="001F1C09">
      <w:pPr>
        <w:ind w:left="720"/>
        <w:jc w:val="both"/>
        <w:rPr>
          <w:rFonts w:ascii="Arial" w:hAnsi="Arial" w:cs="Arial"/>
          <w:sz w:val="22"/>
          <w:szCs w:val="22"/>
        </w:rPr>
      </w:pPr>
    </w:p>
    <w:p w14:paraId="7A15A745" w14:textId="55BBBFAA" w:rsidR="00893E9C" w:rsidRDefault="00893E9C" w:rsidP="001F1C09">
      <w:pPr>
        <w:ind w:left="720"/>
        <w:jc w:val="both"/>
        <w:rPr>
          <w:rFonts w:ascii="Arial" w:hAnsi="Arial" w:cs="Arial"/>
          <w:sz w:val="22"/>
          <w:szCs w:val="22"/>
        </w:rPr>
      </w:pPr>
      <w:r>
        <w:rPr>
          <w:rFonts w:ascii="Arial" w:hAnsi="Arial" w:cs="Arial"/>
          <w:sz w:val="22"/>
          <w:szCs w:val="22"/>
        </w:rPr>
        <w:t xml:space="preserve">To establish the reliability of the GBD estimates, we compared </w:t>
      </w:r>
      <w:r w:rsidR="00520BC3">
        <w:rPr>
          <w:rFonts w:ascii="Arial" w:hAnsi="Arial" w:cs="Arial"/>
          <w:sz w:val="22"/>
          <w:szCs w:val="22"/>
        </w:rPr>
        <w:t xml:space="preserve">them with our model-based estimates </w:t>
      </w:r>
      <w:r>
        <w:rPr>
          <w:rFonts w:ascii="Arial" w:hAnsi="Arial" w:cs="Arial"/>
          <w:sz w:val="22"/>
          <w:szCs w:val="22"/>
        </w:rPr>
        <w:t xml:space="preserve">for the WHO Africa region for 2019. We found that </w:t>
      </w:r>
      <w:r w:rsidR="00520BC3">
        <w:rPr>
          <w:rFonts w:ascii="Arial" w:hAnsi="Arial" w:cs="Arial"/>
          <w:sz w:val="22"/>
          <w:szCs w:val="22"/>
        </w:rPr>
        <w:t xml:space="preserve">our </w:t>
      </w:r>
      <w:r>
        <w:rPr>
          <w:rFonts w:ascii="Arial" w:hAnsi="Arial" w:cs="Arial"/>
          <w:sz w:val="22"/>
          <w:szCs w:val="22"/>
        </w:rPr>
        <w:t xml:space="preserve">prevalence estimates </w:t>
      </w:r>
      <w:r w:rsidR="00520BC3">
        <w:rPr>
          <w:rFonts w:ascii="Arial" w:hAnsi="Arial" w:cs="Arial"/>
          <w:sz w:val="22"/>
          <w:szCs w:val="22"/>
        </w:rPr>
        <w:lastRenderedPageBreak/>
        <w:t xml:space="preserve">were </w:t>
      </w:r>
      <w:r w:rsidR="005E5A55">
        <w:rPr>
          <w:rFonts w:ascii="Arial" w:hAnsi="Arial" w:cs="Arial"/>
          <w:color w:val="000000" w:themeColor="text1"/>
          <w:sz w:val="22"/>
          <w:szCs w:val="22"/>
        </w:rPr>
        <w:t xml:space="preserve">comparable to the GBD estimates despite differences in data input and methodologies. </w:t>
      </w:r>
    </w:p>
    <w:p w14:paraId="53D65C75" w14:textId="77777777" w:rsidR="00EC4166" w:rsidRPr="00EC4166" w:rsidRDefault="00EC4166" w:rsidP="001F1C09">
      <w:pPr>
        <w:ind w:left="720"/>
        <w:jc w:val="both"/>
        <w:rPr>
          <w:rFonts w:ascii="Arial" w:hAnsi="Arial" w:cs="Arial"/>
          <w:sz w:val="22"/>
          <w:szCs w:val="22"/>
        </w:rPr>
      </w:pPr>
    </w:p>
    <w:p w14:paraId="61A5C786" w14:textId="03A9BDC4" w:rsidR="00EC4166" w:rsidRPr="00D44EB8" w:rsidRDefault="004A129C" w:rsidP="001F1C09">
      <w:pPr>
        <w:pStyle w:val="Heading3"/>
        <w:ind w:left="720"/>
        <w:jc w:val="both"/>
        <w:rPr>
          <w:rFonts w:ascii="Arial" w:hAnsi="Arial" w:cs="Arial"/>
          <w:sz w:val="22"/>
          <w:szCs w:val="22"/>
        </w:rPr>
      </w:pPr>
      <w:bookmarkStart w:id="10" w:name="_Toc2379541"/>
      <w:bookmarkStart w:id="11" w:name="_Toc64459913"/>
      <w:bookmarkStart w:id="12" w:name="_Toc81857619"/>
      <w:r w:rsidRPr="00D44EB8">
        <w:rPr>
          <w:rFonts w:ascii="Arial" w:hAnsi="Arial" w:cs="Arial"/>
          <w:sz w:val="22"/>
          <w:szCs w:val="22"/>
        </w:rPr>
        <w:t>B</w:t>
      </w:r>
      <w:r w:rsidR="00EC4166" w:rsidRPr="00D44EB8">
        <w:rPr>
          <w:rFonts w:ascii="Arial" w:hAnsi="Arial" w:cs="Arial"/>
          <w:sz w:val="22"/>
          <w:szCs w:val="22"/>
        </w:rPr>
        <w:t>. Natural History</w:t>
      </w:r>
      <w:bookmarkEnd w:id="10"/>
      <w:bookmarkEnd w:id="11"/>
      <w:bookmarkEnd w:id="12"/>
    </w:p>
    <w:p w14:paraId="2FE44369" w14:textId="77777777" w:rsidR="00EC4166" w:rsidRPr="00D44EB8" w:rsidRDefault="00EC4166" w:rsidP="001F1C09">
      <w:pPr>
        <w:pStyle w:val="ListParagraph"/>
        <w:ind w:left="1440"/>
        <w:jc w:val="both"/>
        <w:rPr>
          <w:rFonts w:ascii="Arial" w:hAnsi="Arial" w:cs="Arial"/>
          <w:sz w:val="22"/>
          <w:szCs w:val="22"/>
        </w:rPr>
      </w:pPr>
    </w:p>
    <w:p w14:paraId="54E1EEC2" w14:textId="326997EF" w:rsidR="00DC123E" w:rsidRPr="001F1C09" w:rsidRDefault="00EC4166" w:rsidP="001F1C09">
      <w:pPr>
        <w:ind w:left="720"/>
        <w:jc w:val="both"/>
        <w:rPr>
          <w:rFonts w:ascii="Arial" w:hAnsi="Arial" w:cs="Arial"/>
          <w:sz w:val="22"/>
          <w:szCs w:val="22"/>
        </w:rPr>
      </w:pPr>
      <w:r w:rsidRPr="001F1C09">
        <w:rPr>
          <w:rFonts w:ascii="Arial" w:hAnsi="Arial" w:cs="Arial"/>
          <w:sz w:val="22"/>
          <w:szCs w:val="22"/>
        </w:rPr>
        <w:t>We assumed that incidence and prevalence reflected a laboratory-confirmed seropositive status (employing a</w:t>
      </w:r>
      <w:r w:rsidR="005E5A55">
        <w:rPr>
          <w:rFonts w:ascii="Arial" w:hAnsi="Arial" w:cs="Arial"/>
          <w:sz w:val="22"/>
          <w:szCs w:val="22"/>
        </w:rPr>
        <w:t xml:space="preserve"> valid serological test for HSV-2 antibodies</w:t>
      </w:r>
      <w:r w:rsidR="008F3775" w:rsidRPr="001F1C09">
        <w:rPr>
          <w:rFonts w:ascii="Arial" w:hAnsi="Arial" w:cs="Arial"/>
          <w:sz w:val="22"/>
          <w:szCs w:val="22"/>
        </w:rPr>
        <w:t>)</w:t>
      </w:r>
      <w:r w:rsidRPr="001F1C09">
        <w:rPr>
          <w:rFonts w:ascii="Arial" w:hAnsi="Arial" w:cs="Arial"/>
          <w:sz w:val="22"/>
          <w:szCs w:val="22"/>
        </w:rPr>
        <w:t xml:space="preserve">. We </w:t>
      </w:r>
      <w:r w:rsidR="00DC123E" w:rsidRPr="001F1C09">
        <w:rPr>
          <w:rFonts w:ascii="Arial" w:hAnsi="Arial" w:cs="Arial"/>
          <w:sz w:val="22"/>
          <w:szCs w:val="22"/>
        </w:rPr>
        <w:t xml:space="preserve">also </w:t>
      </w:r>
      <w:r w:rsidRPr="001F1C09">
        <w:rPr>
          <w:rFonts w:ascii="Arial" w:hAnsi="Arial" w:cs="Arial"/>
          <w:sz w:val="22"/>
          <w:szCs w:val="22"/>
        </w:rPr>
        <w:t>assumed that all incident cases of genital herpes were primary infections where the host lacked HSV antibodies in acute-phase serum prior to infection</w:t>
      </w:r>
      <w:r w:rsidRPr="001F1C09">
        <w:rPr>
          <w:rFonts w:ascii="Arial" w:hAnsi="Arial" w:cs="Arial"/>
          <w:sz w:val="22"/>
          <w:szCs w:val="22"/>
        </w:rPr>
        <w:fldChar w:fldCharType="begin"/>
      </w:r>
      <w:r w:rsidR="0081559F">
        <w:rPr>
          <w:rFonts w:ascii="Arial" w:hAnsi="Arial" w:cs="Arial"/>
          <w:sz w:val="22"/>
          <w:szCs w:val="22"/>
        </w:rPr>
        <w:instrText xml:space="preserve"> ADDIN ZOTERO_ITEM CSL_CITATION {"citationID":"ILNGmVrQ","properties":{"formattedCitation":"[7]","plainCitation":"[7]","noteIndex":0},"citationItems":[{"id":27025,"uris":["http://zotero.org/users/local/p8g0WsVO/items/VKKWJYN9"],"itemData":{"id":27025,"type":"article-journal","abstract":"Acute serum samples from patients with nonprimary first-episode genital herpes were evaluated for the presence of type-specific antibody to herpes simplex virus type 1 and type 2. A standard microneutralization assay and western blot analysis, which identified the response to individual polypeptides of type 1 and type 2 herpes, were performed in both unadsorbed serum samples and serum samples adsorbed with either type 1 or type 2 antigens to remove cross-reacting antibodies. Of 24 serum samples examined, seven were found to contain only type 1 antibodies, 11 had type 2 antibodies alone, and six serum samples had both type 1 and type 2 antibodies. It is believed that a majority of the 17 patients whose acute serum samples already contained type 2 antibody were experiencing their first clinically apparent recurrence of a previous asymptomatic type 2 infection. Physicians should, therefore, acknowledge that patients with first-episode nonprimary herpes 2 infection may not have had a recent sexual contact with a herpes simplex virus-infected partner.","container-title":"The American Journal of Medicine","ISSN":"0002-9343","issue":"6","journalAbbreviation":"Am. J. Med.","language":"eng","note":"PMID: 6507459","page":"1055-1060","source":"PubMed","title":"Serologic analysis of first-episode nonprimary genital herpes simplex virus infection. Presence of type 2 antibody in acute serum samples","volume":"77","author":[{"family":"Bernstein","given":"D. I."},{"family":"Lovett","given":"M. A."},{"family":"Bryson","given":"Y. J."}],"issued":{"date-parts":[["1984",12]]}}}],"schema":"https://github.com/citation-style-language/schema/raw/master/csl-citation.json"} </w:instrText>
      </w:r>
      <w:r w:rsidRPr="001F1C09">
        <w:rPr>
          <w:rFonts w:ascii="Arial" w:hAnsi="Arial" w:cs="Arial"/>
          <w:sz w:val="22"/>
          <w:szCs w:val="22"/>
        </w:rPr>
        <w:fldChar w:fldCharType="separate"/>
      </w:r>
      <w:r w:rsidR="0081559F">
        <w:rPr>
          <w:rFonts w:ascii="Arial" w:hAnsi="Arial" w:cs="Arial"/>
          <w:sz w:val="22"/>
        </w:rPr>
        <w:t>[7]</w:t>
      </w:r>
      <w:r w:rsidRPr="001F1C09">
        <w:rPr>
          <w:rFonts w:ascii="Arial" w:hAnsi="Arial" w:cs="Arial"/>
          <w:sz w:val="22"/>
          <w:szCs w:val="22"/>
        </w:rPr>
        <w:fldChar w:fldCharType="end"/>
      </w:r>
      <w:r w:rsidRPr="001F1C09">
        <w:rPr>
          <w:rFonts w:ascii="Arial" w:hAnsi="Arial" w:cs="Arial"/>
          <w:sz w:val="22"/>
          <w:szCs w:val="22"/>
        </w:rPr>
        <w:t xml:space="preserve">. </w:t>
      </w:r>
      <w:r w:rsidR="00DC123E" w:rsidRPr="001F1C09">
        <w:rPr>
          <w:rFonts w:ascii="Arial" w:hAnsi="Arial" w:cs="Arial"/>
          <w:sz w:val="22"/>
          <w:szCs w:val="22"/>
        </w:rPr>
        <w:t xml:space="preserve">We considered infections acquired &lt;1 year as of January 1, 2019 as </w:t>
      </w:r>
      <w:r w:rsidR="00DC123E" w:rsidRPr="008D6407">
        <w:rPr>
          <w:rFonts w:ascii="Arial" w:hAnsi="Arial" w:cs="Arial"/>
          <w:i/>
          <w:iCs/>
          <w:sz w:val="22"/>
          <w:szCs w:val="22"/>
        </w:rPr>
        <w:t>recently acquired</w:t>
      </w:r>
      <w:r w:rsidR="00DC123E" w:rsidRPr="001F1C09">
        <w:rPr>
          <w:rFonts w:ascii="Arial" w:hAnsi="Arial" w:cs="Arial"/>
          <w:sz w:val="22"/>
          <w:szCs w:val="22"/>
        </w:rPr>
        <w:t xml:space="preserve"> infections and infections acquired &gt;1 year as </w:t>
      </w:r>
      <w:r w:rsidR="00DC123E" w:rsidRPr="008D6407">
        <w:rPr>
          <w:rFonts w:ascii="Arial" w:hAnsi="Arial" w:cs="Arial"/>
          <w:i/>
          <w:iCs/>
          <w:sz w:val="22"/>
          <w:szCs w:val="22"/>
        </w:rPr>
        <w:t>established infections</w:t>
      </w:r>
      <w:r w:rsidR="00DC123E" w:rsidRPr="001F1C09">
        <w:rPr>
          <w:rFonts w:ascii="Arial" w:hAnsi="Arial" w:cs="Arial"/>
          <w:sz w:val="22"/>
          <w:szCs w:val="22"/>
        </w:rPr>
        <w:t xml:space="preserve">. By this definition, all infections incident in 2019 are recently acquired. To determine the proportion of prevalent infections qualifying as recently vs. established, we used our model-based estimates for the </w:t>
      </w:r>
      <w:r w:rsidR="000B7476">
        <w:rPr>
          <w:rFonts w:ascii="Arial" w:hAnsi="Arial" w:cs="Arial"/>
          <w:sz w:val="22"/>
          <w:szCs w:val="22"/>
        </w:rPr>
        <w:t>Africa</w:t>
      </w:r>
      <w:r w:rsidR="00DC123E" w:rsidRPr="001F1C09">
        <w:rPr>
          <w:rFonts w:ascii="Arial" w:hAnsi="Arial" w:cs="Arial"/>
          <w:sz w:val="22"/>
          <w:szCs w:val="22"/>
        </w:rPr>
        <w:t xml:space="preserve"> region, calculating the precent of infections acquired &lt;1 year</w:t>
      </w:r>
      <w:r w:rsidR="00A87BC8" w:rsidRPr="001F1C09">
        <w:rPr>
          <w:rFonts w:ascii="Arial" w:hAnsi="Arial" w:cs="Arial"/>
          <w:sz w:val="22"/>
          <w:szCs w:val="22"/>
        </w:rPr>
        <w:t xml:space="preserve"> (5.62%)</w:t>
      </w:r>
      <w:r w:rsidR="00DC123E" w:rsidRPr="001F1C09">
        <w:rPr>
          <w:rFonts w:ascii="Arial" w:hAnsi="Arial" w:cs="Arial"/>
          <w:sz w:val="22"/>
          <w:szCs w:val="22"/>
        </w:rPr>
        <w:t>, 1-9 years</w:t>
      </w:r>
      <w:r w:rsidR="00A87BC8" w:rsidRPr="001F1C09">
        <w:rPr>
          <w:rFonts w:ascii="Arial" w:hAnsi="Arial" w:cs="Arial"/>
          <w:sz w:val="22"/>
          <w:szCs w:val="22"/>
        </w:rPr>
        <w:t xml:space="preserve"> (34.16%) </w:t>
      </w:r>
      <w:r w:rsidR="00DC123E" w:rsidRPr="001F1C09">
        <w:rPr>
          <w:rFonts w:ascii="Arial" w:hAnsi="Arial" w:cs="Arial"/>
          <w:sz w:val="22"/>
          <w:szCs w:val="22"/>
        </w:rPr>
        <w:t>and &gt;10 years</w:t>
      </w:r>
      <w:r w:rsidR="00A87BC8" w:rsidRPr="001F1C09">
        <w:rPr>
          <w:rFonts w:ascii="Arial" w:hAnsi="Arial" w:cs="Arial"/>
          <w:sz w:val="22"/>
          <w:szCs w:val="22"/>
        </w:rPr>
        <w:t xml:space="preserve"> (60.21%)</w:t>
      </w:r>
      <w:r w:rsidR="00DC123E" w:rsidRPr="001F1C09">
        <w:rPr>
          <w:rFonts w:ascii="Arial" w:hAnsi="Arial" w:cs="Arial"/>
          <w:sz w:val="22"/>
          <w:szCs w:val="22"/>
        </w:rPr>
        <w:t>.</w:t>
      </w:r>
    </w:p>
    <w:p w14:paraId="35A0D8AB" w14:textId="77777777" w:rsidR="00DC123E" w:rsidRPr="001F1C09" w:rsidRDefault="00DC123E" w:rsidP="001F1C09">
      <w:pPr>
        <w:ind w:left="720"/>
        <w:jc w:val="both"/>
        <w:rPr>
          <w:rFonts w:ascii="Arial" w:hAnsi="Arial" w:cs="Arial"/>
          <w:sz w:val="22"/>
          <w:szCs w:val="22"/>
        </w:rPr>
      </w:pPr>
    </w:p>
    <w:p w14:paraId="18D1CD45" w14:textId="3BE1749B" w:rsidR="00DC123E" w:rsidRPr="001F1C09" w:rsidRDefault="00DC123E" w:rsidP="001F1C09">
      <w:pPr>
        <w:ind w:left="720"/>
        <w:jc w:val="both"/>
        <w:rPr>
          <w:rFonts w:ascii="Arial" w:hAnsi="Arial" w:cs="Arial"/>
          <w:sz w:val="22"/>
          <w:szCs w:val="22"/>
        </w:rPr>
      </w:pPr>
      <w:r w:rsidRPr="001F1C09">
        <w:rPr>
          <w:rFonts w:ascii="Arial" w:hAnsi="Arial" w:cs="Arial"/>
          <w:sz w:val="22"/>
          <w:szCs w:val="22"/>
        </w:rPr>
        <w:t>For all infections, we assumed three natural history states</w:t>
      </w:r>
      <w:r w:rsidRPr="001F1C09">
        <w:rPr>
          <w:rFonts w:ascii="Arial" w:hAnsi="Arial" w:cs="Arial"/>
          <w:sz w:val="22"/>
          <w:szCs w:val="22"/>
        </w:rPr>
        <w:fldChar w:fldCharType="begin"/>
      </w:r>
      <w:r w:rsidR="0081559F">
        <w:rPr>
          <w:rFonts w:ascii="Arial" w:hAnsi="Arial" w:cs="Arial"/>
          <w:sz w:val="22"/>
          <w:szCs w:val="22"/>
        </w:rPr>
        <w:instrText xml:space="preserve"> ADDIN ZOTERO_ITEM CSL_CITATION {"citationID":"aOZZhpKl","properties":{"formattedCitation":"[8]","plainCitation":"[8]","noteIndex":0},"citationItems":[{"id":854,"uris":["http://zotero.org/users/local/p8g0WsVO/items/QH333XA3"],"itemData":{"id":854,"type":"article-journal","abstract":"Herpes simplex virus (HSV)-2 is a lifelong infection that causes recurrent genital ulcers and, rarely, disseminated and visceral disease. HSV-1 infection is an increasingly important cause of genital ulcers. HSV infections are the most common cause of genital ulcers in adults, but acquisition and chronic infection are more commonly asymptomatic than symptomatic. Both the symptomatic and asymptomatic forms of HSV are of clinical consequence for several reasons. HSV-2 infection enhances HIV-1 acquisition and transmission. In addition, sexual and perinatal transmission can occur during asymptomatic viral shedding. Perinatal transmission is of particular concern because neonatal HSV infection results in severe morbidity to the newborn. Antiviral medicines are effective for limiting recurrence duration and decreasing transmission likelihood, although no available intervention completely prevents transmission. This fact highlights the importance of laboratory diagnostics for this lifelong infection, and the need for an HSV vaccine.","container-title":"Current Infectious Disease Reports","ISSN":"1534-3146","issue":"6","journalAbbreviation":"Curr Infect Dis Rep","language":"eng","note":"PMID: 19857385\nPMCID: PMC2804398","page":"457-464","source":"PubMed","title":"New concepts in understanding genital herpes","volume":"11","author":[{"family":"Schiffer","given":"Joshua T."},{"family":"Corey","given":"Lawrence"}],"issued":{"date-parts":[["2009",11]]}}}],"schema":"https://github.com/citation-style-language/schema/raw/master/csl-citation.json"} </w:instrText>
      </w:r>
      <w:r w:rsidRPr="001F1C09">
        <w:rPr>
          <w:rFonts w:ascii="Arial" w:hAnsi="Arial" w:cs="Arial"/>
          <w:sz w:val="22"/>
          <w:szCs w:val="22"/>
        </w:rPr>
        <w:fldChar w:fldCharType="separate"/>
      </w:r>
      <w:r w:rsidR="0081559F">
        <w:rPr>
          <w:rFonts w:ascii="Arial" w:hAnsi="Arial" w:cs="Arial"/>
          <w:sz w:val="22"/>
        </w:rPr>
        <w:t>[8]</w:t>
      </w:r>
      <w:r w:rsidRPr="001F1C09">
        <w:rPr>
          <w:rFonts w:ascii="Arial" w:hAnsi="Arial" w:cs="Arial"/>
          <w:sz w:val="22"/>
          <w:szCs w:val="22"/>
        </w:rPr>
        <w:fldChar w:fldCharType="end"/>
      </w:r>
      <w:r w:rsidRPr="001F1C09">
        <w:rPr>
          <w:rFonts w:ascii="Arial" w:hAnsi="Arial" w:cs="Arial"/>
          <w:sz w:val="22"/>
          <w:szCs w:val="22"/>
          <w:vertAlign w:val="superscript"/>
        </w:rPr>
        <w:t>,</w:t>
      </w:r>
      <w:r w:rsidRPr="001F1C09">
        <w:rPr>
          <w:rFonts w:ascii="Arial" w:hAnsi="Arial" w:cs="Arial"/>
          <w:sz w:val="22"/>
          <w:szCs w:val="22"/>
        </w:rPr>
        <w:fldChar w:fldCharType="begin"/>
      </w:r>
      <w:r w:rsidR="0081559F">
        <w:rPr>
          <w:rFonts w:ascii="Arial" w:hAnsi="Arial" w:cs="Arial"/>
          <w:sz w:val="22"/>
          <w:szCs w:val="22"/>
        </w:rPr>
        <w:instrText xml:space="preserve"> ADDIN ZOTERO_ITEM CSL_CITATION {"citationID":"iecOiNen","properties":{"formattedCitation":"[9]","plainCitation":"[9]","noteIndex":0},"citationItems":[{"id":1226,"uris":["http://zotero.org/users/local/p8g0WsVO/items/TJA6Q7A9"],"itemData":{"id":1226,"type":"webpage","title":"Guidelines for the Management of Sexually Transmitted Infections. February 2004","URL":"http://apps.who.int/medicinedocs/en/d/Jh2942e/","accessed":{"date-parts":[["2018",3,19]]}}}],"schema":"https://github.com/citation-style-language/schema/raw/master/csl-citation.json"} </w:instrText>
      </w:r>
      <w:r w:rsidRPr="001F1C09">
        <w:rPr>
          <w:rFonts w:ascii="Arial" w:hAnsi="Arial" w:cs="Arial"/>
          <w:sz w:val="22"/>
          <w:szCs w:val="22"/>
        </w:rPr>
        <w:fldChar w:fldCharType="separate"/>
      </w:r>
      <w:r w:rsidR="0081559F">
        <w:rPr>
          <w:rFonts w:ascii="Arial" w:hAnsi="Arial" w:cs="Arial"/>
          <w:sz w:val="22"/>
        </w:rPr>
        <w:t>[9]</w:t>
      </w:r>
      <w:r w:rsidRPr="001F1C09">
        <w:rPr>
          <w:rFonts w:ascii="Arial" w:hAnsi="Arial" w:cs="Arial"/>
          <w:sz w:val="22"/>
          <w:szCs w:val="22"/>
        </w:rPr>
        <w:fldChar w:fldCharType="end"/>
      </w:r>
      <w:r w:rsidRPr="001F1C09">
        <w:rPr>
          <w:rFonts w:ascii="Arial" w:hAnsi="Arial" w:cs="Arial"/>
          <w:sz w:val="22"/>
          <w:szCs w:val="22"/>
          <w:vertAlign w:val="superscript"/>
        </w:rPr>
        <w:t>,</w:t>
      </w:r>
      <w:r w:rsidRPr="001F1C09">
        <w:rPr>
          <w:rFonts w:ascii="Arial" w:hAnsi="Arial" w:cs="Arial"/>
          <w:sz w:val="22"/>
          <w:szCs w:val="22"/>
        </w:rPr>
        <w:fldChar w:fldCharType="begin"/>
      </w:r>
      <w:r w:rsidR="0081559F">
        <w:rPr>
          <w:rFonts w:ascii="Arial" w:hAnsi="Arial" w:cs="Arial"/>
          <w:sz w:val="22"/>
          <w:szCs w:val="22"/>
        </w:rPr>
        <w:instrText xml:space="preserve"> ADDIN ZOTERO_ITEM CSL_CITATION {"citationID":"cIJ73WX6","properties":{"formattedCitation":"[10]","plainCitation":"[10]","noteIndex":0},"citationItems":[{"id":891,"uris":["http://zotero.org/users/local/p8g0WsVO/items/PCB5H76G"],"itemData":{"id":891,"type":"webpage","container-title":"Center for Disease Control (CDC)","title":"Sexually Transmitted Diseases Treatment Guidelines, 2015","URL":"https://www.cdc.gov/mmwr/preview/mmwrhtml/rr6403a1.htm","accessed":{"date-parts":[["2017",6,22]]}}}],"schema":"https://github.com/citation-style-language/schema/raw/master/csl-citation.json"} </w:instrText>
      </w:r>
      <w:r w:rsidRPr="001F1C09">
        <w:rPr>
          <w:rFonts w:ascii="Arial" w:hAnsi="Arial" w:cs="Arial"/>
          <w:sz w:val="22"/>
          <w:szCs w:val="22"/>
        </w:rPr>
        <w:fldChar w:fldCharType="separate"/>
      </w:r>
      <w:r w:rsidR="0081559F">
        <w:rPr>
          <w:rFonts w:ascii="Arial" w:hAnsi="Arial" w:cs="Arial"/>
          <w:sz w:val="22"/>
        </w:rPr>
        <w:t>[10]</w:t>
      </w:r>
      <w:r w:rsidRPr="001F1C09">
        <w:rPr>
          <w:rFonts w:ascii="Arial" w:hAnsi="Arial" w:cs="Arial"/>
          <w:sz w:val="22"/>
          <w:szCs w:val="22"/>
        </w:rPr>
        <w:fldChar w:fldCharType="end"/>
      </w:r>
      <w:r w:rsidRPr="001F1C09">
        <w:rPr>
          <w:rFonts w:ascii="Arial" w:hAnsi="Arial" w:cs="Arial"/>
          <w:sz w:val="22"/>
          <w:szCs w:val="22"/>
        </w:rPr>
        <w:t xml:space="preserve">: (1) a first episode; (2) recurrent episodes; and (3) frequent recurrences. We defined an episode to mean </w:t>
      </w:r>
      <w:r w:rsidR="00977D43">
        <w:rPr>
          <w:rFonts w:ascii="Arial" w:hAnsi="Arial" w:cs="Arial"/>
          <w:i/>
          <w:iCs/>
          <w:sz w:val="22"/>
          <w:szCs w:val="22"/>
        </w:rPr>
        <w:t>a symptomatic genital ulcer disease which was separated in time and space from other genital ulcers</w:t>
      </w:r>
      <w:r w:rsidRPr="001F1C09">
        <w:rPr>
          <w:rFonts w:ascii="Arial" w:hAnsi="Arial" w:cs="Arial"/>
          <w:sz w:val="22"/>
          <w:szCs w:val="22"/>
        </w:rPr>
        <w:t>. For recurrent episodes, we assumed the median number of recurrences per year following a recently acquired infection. As frequent recurrences, we considered cases who had at least 10 recurrences per year (following either a recently acquired or established infection). We assumed that incident infections must have a first episode in 2019 before hav</w:t>
      </w:r>
      <w:r w:rsidR="00C52400" w:rsidRPr="001F1C09">
        <w:rPr>
          <w:rFonts w:ascii="Arial" w:hAnsi="Arial" w:cs="Arial"/>
          <w:sz w:val="22"/>
          <w:szCs w:val="22"/>
        </w:rPr>
        <w:t>ing</w:t>
      </w:r>
      <w:r w:rsidRPr="001F1C09">
        <w:rPr>
          <w:rFonts w:ascii="Arial" w:hAnsi="Arial" w:cs="Arial"/>
          <w:sz w:val="22"/>
          <w:szCs w:val="22"/>
        </w:rPr>
        <w:t xml:space="preserve"> recurrences. For prevalent infections, aside from the recently acquired share, we assumed that the remainder</w:t>
      </w:r>
      <w:r w:rsidR="00401171" w:rsidRPr="001F1C09">
        <w:rPr>
          <w:rFonts w:ascii="Arial" w:hAnsi="Arial" w:cs="Arial"/>
          <w:sz w:val="22"/>
          <w:szCs w:val="22"/>
        </w:rPr>
        <w:t xml:space="preserve"> only had recurrences during 2019.</w:t>
      </w:r>
    </w:p>
    <w:p w14:paraId="2AC1DBC9" w14:textId="6A196A7C" w:rsidR="00401171" w:rsidRDefault="00401171" w:rsidP="001F1C09">
      <w:pPr>
        <w:ind w:left="720"/>
      </w:pPr>
    </w:p>
    <w:p w14:paraId="6C170749" w14:textId="6752DC88" w:rsidR="00401171" w:rsidRPr="001F1C09" w:rsidRDefault="00401171" w:rsidP="001F1C09">
      <w:pPr>
        <w:ind w:left="720"/>
        <w:jc w:val="both"/>
        <w:rPr>
          <w:rFonts w:ascii="Arial" w:hAnsi="Arial" w:cs="Arial"/>
          <w:sz w:val="22"/>
          <w:szCs w:val="22"/>
        </w:rPr>
      </w:pPr>
      <w:r w:rsidRPr="001F1C09">
        <w:rPr>
          <w:rFonts w:ascii="Arial" w:hAnsi="Arial" w:cs="Arial"/>
          <w:sz w:val="22"/>
          <w:szCs w:val="22"/>
        </w:rPr>
        <w:t xml:space="preserve">We assumed that </w:t>
      </w:r>
      <w:r w:rsidR="00C52400" w:rsidRPr="001F1C09">
        <w:rPr>
          <w:rFonts w:ascii="Arial" w:hAnsi="Arial" w:cs="Arial"/>
          <w:sz w:val="22"/>
          <w:szCs w:val="22"/>
        </w:rPr>
        <w:t xml:space="preserve">95% of GUD was due to HSV-2 </w:t>
      </w:r>
      <w:r w:rsidRPr="001F1C09">
        <w:rPr>
          <w:rFonts w:ascii="Arial" w:hAnsi="Arial" w:cs="Arial"/>
          <w:sz w:val="22"/>
          <w:szCs w:val="22"/>
        </w:rPr>
        <w:t xml:space="preserve">and that 21.0% (12.7-32.8) of </w:t>
      </w:r>
      <w:r w:rsidR="00226837" w:rsidRPr="001F1C09">
        <w:rPr>
          <w:rFonts w:ascii="Arial" w:hAnsi="Arial" w:cs="Arial"/>
          <w:sz w:val="22"/>
          <w:szCs w:val="22"/>
        </w:rPr>
        <w:t>recently acquired</w:t>
      </w:r>
      <w:r w:rsidRPr="001F1C09">
        <w:rPr>
          <w:rFonts w:ascii="Arial" w:hAnsi="Arial" w:cs="Arial"/>
          <w:sz w:val="22"/>
          <w:szCs w:val="22"/>
        </w:rPr>
        <w:t xml:space="preserve"> infection experience a first episode (up to one year after the infection was acquired). We assumed that 83.8% (69.5-92.2) of those who had a first episode experienced recurrences. Of this share, we assumed that 38% had &lt;10 recurrences which we represented by the mean number of recurrences 4.6 (95%CI 3.9-5.5) in </w:t>
      </w:r>
      <w:r w:rsidR="00226837" w:rsidRPr="001F1C09">
        <w:rPr>
          <w:rFonts w:ascii="Arial" w:hAnsi="Arial" w:cs="Arial"/>
          <w:sz w:val="22"/>
          <w:szCs w:val="22"/>
        </w:rPr>
        <w:t>recently acquired</w:t>
      </w:r>
      <w:r w:rsidRPr="001F1C09">
        <w:rPr>
          <w:rFonts w:ascii="Arial" w:hAnsi="Arial" w:cs="Arial"/>
          <w:sz w:val="22"/>
          <w:szCs w:val="22"/>
        </w:rPr>
        <w:t xml:space="preserve"> infection who have had a documented first episode. We assumed that 20% had at least 10 recurrences</w:t>
      </w:r>
      <w:r w:rsidR="00C41E57" w:rsidRPr="001F1C09">
        <w:rPr>
          <w:rFonts w:ascii="Arial" w:hAnsi="Arial" w:cs="Arial"/>
          <w:sz w:val="22"/>
          <w:szCs w:val="22"/>
        </w:rPr>
        <w:t>.</w:t>
      </w:r>
    </w:p>
    <w:p w14:paraId="403C57F6" w14:textId="66075C9F" w:rsidR="00C41E57" w:rsidRPr="001F1C09" w:rsidRDefault="00C41E57" w:rsidP="001F1C09">
      <w:pPr>
        <w:ind w:left="720"/>
        <w:jc w:val="both"/>
        <w:rPr>
          <w:rFonts w:ascii="Arial" w:hAnsi="Arial" w:cs="Arial"/>
          <w:sz w:val="22"/>
          <w:szCs w:val="22"/>
        </w:rPr>
      </w:pPr>
    </w:p>
    <w:p w14:paraId="43791AF3" w14:textId="69283738" w:rsidR="00C41E57" w:rsidRPr="001F1C09" w:rsidRDefault="00C41E57" w:rsidP="001F1C09">
      <w:pPr>
        <w:ind w:left="720"/>
        <w:jc w:val="both"/>
        <w:rPr>
          <w:rFonts w:ascii="Arial" w:hAnsi="Arial" w:cs="Arial"/>
          <w:sz w:val="22"/>
          <w:szCs w:val="22"/>
        </w:rPr>
      </w:pPr>
      <w:r w:rsidRPr="001F1C09">
        <w:rPr>
          <w:rFonts w:ascii="Arial" w:hAnsi="Arial" w:cs="Arial"/>
          <w:sz w:val="22"/>
          <w:szCs w:val="22"/>
        </w:rPr>
        <w:t xml:space="preserve">We assumed that a first episode lasted 20.5 days (18.3-22.8) with a mean duration of local pain of 11.8 days. In recurrent infections, if recent (&lt;1 year), then we assumed that an episode lasted 8.5 days (7.5-9.5), if established within 1-9 years, then 7.2 days (1-23) and if established &gt;10 years then 6.5 days (1-24). </w:t>
      </w:r>
    </w:p>
    <w:p w14:paraId="62DAD3FC" w14:textId="1B487D91" w:rsidR="00EC4166" w:rsidRDefault="00EC4166" w:rsidP="00D44EB8">
      <w:pPr>
        <w:ind w:left="720"/>
        <w:jc w:val="both"/>
        <w:rPr>
          <w:rFonts w:ascii="Arial" w:hAnsi="Arial" w:cs="Arial"/>
          <w:sz w:val="22"/>
          <w:szCs w:val="22"/>
        </w:rPr>
      </w:pPr>
    </w:p>
    <w:p w14:paraId="4705E517" w14:textId="1BE7BDB7" w:rsidR="002D7CF7" w:rsidRDefault="002D7CF7">
      <w:pPr>
        <w:ind w:left="720"/>
        <w:jc w:val="both"/>
        <w:rPr>
          <w:rFonts w:ascii="Arial" w:hAnsi="Arial" w:cs="Arial"/>
          <w:sz w:val="22"/>
          <w:szCs w:val="22"/>
        </w:rPr>
      </w:pPr>
    </w:p>
    <w:p w14:paraId="2465D82B" w14:textId="4C9C298C" w:rsidR="00386FC3" w:rsidRDefault="00386FC3">
      <w:pPr>
        <w:ind w:left="720"/>
        <w:jc w:val="both"/>
        <w:rPr>
          <w:rFonts w:ascii="Arial" w:hAnsi="Arial" w:cs="Arial"/>
          <w:sz w:val="22"/>
          <w:szCs w:val="22"/>
        </w:rPr>
      </w:pPr>
    </w:p>
    <w:p w14:paraId="1DF2B9A0" w14:textId="77777777" w:rsidR="00386FC3" w:rsidRDefault="00386FC3" w:rsidP="001F1C09">
      <w:pPr>
        <w:ind w:left="720"/>
        <w:jc w:val="both"/>
        <w:rPr>
          <w:rFonts w:ascii="Arial" w:hAnsi="Arial" w:cs="Arial"/>
          <w:sz w:val="22"/>
          <w:szCs w:val="22"/>
        </w:rPr>
      </w:pPr>
    </w:p>
    <w:p w14:paraId="29C81787" w14:textId="6E39CF95" w:rsidR="00386FC3" w:rsidRDefault="000B7476">
      <w:pPr>
        <w:pStyle w:val="Caption"/>
        <w:jc w:val="center"/>
        <w:rPr>
          <w:rFonts w:ascii="Arial" w:hAnsi="Arial" w:cs="Arial"/>
          <w:color w:val="000000" w:themeColor="text1"/>
          <w:sz w:val="22"/>
          <w:szCs w:val="22"/>
        </w:rPr>
      </w:pPr>
      <w:r w:rsidRPr="000B7476">
        <w:rPr>
          <w:rFonts w:ascii="Arial" w:hAnsi="Arial" w:cs="Arial"/>
          <w:noProof/>
          <w:color w:val="000000" w:themeColor="text1"/>
          <w:sz w:val="22"/>
          <w:szCs w:val="22"/>
        </w:rPr>
        <w:lastRenderedPageBreak/>
        <w:drawing>
          <wp:inline distT="0" distB="0" distL="0" distR="0" wp14:anchorId="3ADD8083" wp14:editId="02966F85">
            <wp:extent cx="5943600" cy="4349115"/>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8"/>
                    <a:stretch>
                      <a:fillRect/>
                    </a:stretch>
                  </pic:blipFill>
                  <pic:spPr>
                    <a:xfrm>
                      <a:off x="0" y="0"/>
                      <a:ext cx="5943600" cy="4349115"/>
                    </a:xfrm>
                    <a:prstGeom prst="rect">
                      <a:avLst/>
                    </a:prstGeom>
                  </pic:spPr>
                </pic:pic>
              </a:graphicData>
            </a:graphic>
          </wp:inline>
        </w:drawing>
      </w:r>
    </w:p>
    <w:p w14:paraId="7AEAC3FC" w14:textId="03C7F9D5" w:rsidR="00D44EB8" w:rsidRPr="001F1C09" w:rsidRDefault="002D7CF7" w:rsidP="001F1C09">
      <w:pPr>
        <w:pStyle w:val="Caption"/>
        <w:jc w:val="center"/>
        <w:rPr>
          <w:rFonts w:ascii="Arial" w:hAnsi="Arial" w:cs="Arial"/>
          <w:color w:val="000000" w:themeColor="text1"/>
          <w:sz w:val="22"/>
          <w:szCs w:val="22"/>
        </w:rPr>
      </w:pPr>
      <w:r w:rsidRPr="001F1C09">
        <w:rPr>
          <w:rFonts w:ascii="Arial" w:hAnsi="Arial" w:cs="Arial"/>
          <w:color w:val="000000" w:themeColor="text1"/>
          <w:sz w:val="22"/>
          <w:szCs w:val="22"/>
        </w:rPr>
        <w:t xml:space="preserve">Figure </w:t>
      </w:r>
      <w:r w:rsidRPr="001F1C09">
        <w:rPr>
          <w:rFonts w:ascii="Arial" w:hAnsi="Arial" w:cs="Arial"/>
          <w:color w:val="000000" w:themeColor="text1"/>
          <w:sz w:val="22"/>
          <w:szCs w:val="22"/>
        </w:rPr>
        <w:fldChar w:fldCharType="begin"/>
      </w:r>
      <w:r w:rsidRPr="001F1C09">
        <w:rPr>
          <w:rFonts w:ascii="Arial" w:hAnsi="Arial" w:cs="Arial"/>
          <w:color w:val="000000" w:themeColor="text1"/>
          <w:sz w:val="22"/>
          <w:szCs w:val="22"/>
        </w:rPr>
        <w:instrText xml:space="preserve"> SEQ Figure \* ARABIC </w:instrText>
      </w:r>
      <w:r w:rsidRPr="001F1C09">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sidRPr="001F1C09">
        <w:rPr>
          <w:rFonts w:ascii="Arial" w:hAnsi="Arial" w:cs="Arial"/>
          <w:color w:val="000000" w:themeColor="text1"/>
          <w:sz w:val="22"/>
          <w:szCs w:val="22"/>
        </w:rPr>
        <w:fldChar w:fldCharType="end"/>
      </w:r>
      <w:r w:rsidRPr="001F1C09">
        <w:rPr>
          <w:rFonts w:ascii="Arial" w:hAnsi="Arial" w:cs="Arial"/>
          <w:color w:val="000000" w:themeColor="text1"/>
          <w:sz w:val="22"/>
          <w:szCs w:val="22"/>
        </w:rPr>
        <w:t>: Genital herpes natural history states</w:t>
      </w:r>
    </w:p>
    <w:p w14:paraId="137E5E81" w14:textId="24BB35DA" w:rsidR="00C52400" w:rsidRDefault="00C52400" w:rsidP="001F1C09">
      <w:pPr>
        <w:ind w:left="720"/>
        <w:rPr>
          <w:rFonts w:ascii="Arial" w:hAnsi="Arial" w:cs="Arial"/>
          <w:sz w:val="22"/>
          <w:szCs w:val="22"/>
        </w:rPr>
      </w:pPr>
    </w:p>
    <w:p w14:paraId="4D8FE7E5" w14:textId="798E19E4" w:rsidR="003F7254" w:rsidRPr="001F1C09" w:rsidRDefault="003F7254" w:rsidP="003F7254">
      <w:pPr>
        <w:pStyle w:val="Caption"/>
        <w:jc w:val="center"/>
        <w:rPr>
          <w:rFonts w:ascii="Arial" w:hAnsi="Arial" w:cs="Arial"/>
          <w:color w:val="000000" w:themeColor="text1"/>
          <w:sz w:val="22"/>
          <w:szCs w:val="22"/>
        </w:rPr>
      </w:pPr>
      <w:bookmarkStart w:id="13" w:name="_Toc111481798"/>
      <w:r w:rsidRPr="001F1C09">
        <w:rPr>
          <w:rFonts w:ascii="Arial" w:hAnsi="Arial" w:cs="Arial"/>
          <w:color w:val="000000" w:themeColor="text1"/>
          <w:sz w:val="22"/>
          <w:szCs w:val="22"/>
        </w:rPr>
        <w:t xml:space="preserve">Table </w:t>
      </w:r>
      <w:r w:rsidRPr="001F1C09">
        <w:rPr>
          <w:rFonts w:ascii="Arial" w:hAnsi="Arial" w:cs="Arial"/>
          <w:color w:val="000000" w:themeColor="text1"/>
          <w:sz w:val="22"/>
          <w:szCs w:val="22"/>
        </w:rPr>
        <w:fldChar w:fldCharType="begin"/>
      </w:r>
      <w:r w:rsidRPr="001F1C09">
        <w:rPr>
          <w:rFonts w:ascii="Arial" w:hAnsi="Arial" w:cs="Arial"/>
          <w:color w:val="000000" w:themeColor="text1"/>
          <w:sz w:val="22"/>
          <w:szCs w:val="22"/>
        </w:rPr>
        <w:instrText xml:space="preserve"> SEQ Table \* ARABIC </w:instrText>
      </w:r>
      <w:r w:rsidRPr="001F1C09">
        <w:rPr>
          <w:rFonts w:ascii="Arial" w:hAnsi="Arial" w:cs="Arial"/>
          <w:color w:val="000000" w:themeColor="text1"/>
          <w:sz w:val="22"/>
          <w:szCs w:val="22"/>
        </w:rPr>
        <w:fldChar w:fldCharType="separate"/>
      </w:r>
      <w:r w:rsidR="00647993">
        <w:rPr>
          <w:rFonts w:ascii="Arial" w:hAnsi="Arial" w:cs="Arial"/>
          <w:noProof/>
          <w:color w:val="000000" w:themeColor="text1"/>
          <w:sz w:val="22"/>
          <w:szCs w:val="22"/>
        </w:rPr>
        <w:t>1</w:t>
      </w:r>
      <w:r w:rsidRPr="001F1C09">
        <w:rPr>
          <w:rFonts w:ascii="Arial" w:hAnsi="Arial" w:cs="Arial"/>
          <w:color w:val="000000" w:themeColor="text1"/>
          <w:sz w:val="22"/>
          <w:szCs w:val="22"/>
        </w:rPr>
        <w:fldChar w:fldCharType="end"/>
      </w:r>
      <w:r w:rsidRPr="001F1C09">
        <w:rPr>
          <w:rFonts w:ascii="Arial" w:hAnsi="Arial" w:cs="Arial"/>
          <w:color w:val="000000" w:themeColor="text1"/>
          <w:sz w:val="22"/>
          <w:szCs w:val="22"/>
        </w:rPr>
        <w:t>: HSV-2 Parameter values and assumptions</w:t>
      </w:r>
      <w:bookmarkEnd w:id="13"/>
    </w:p>
    <w:tbl>
      <w:tblPr>
        <w:tblStyle w:val="TableGrid"/>
        <w:tblW w:w="837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gridCol w:w="2885"/>
        <w:gridCol w:w="1620"/>
      </w:tblGrid>
      <w:tr w:rsidR="003F7254" w:rsidRPr="001F1C09" w14:paraId="56138555" w14:textId="77777777" w:rsidTr="00301412">
        <w:trPr>
          <w:trHeight w:val="263"/>
          <w:jc w:val="center"/>
        </w:trPr>
        <w:tc>
          <w:tcPr>
            <w:tcW w:w="3865" w:type="dxa"/>
            <w:tcBorders>
              <w:top w:val="single" w:sz="4" w:space="0" w:color="auto"/>
              <w:bottom w:val="single" w:sz="4" w:space="0" w:color="auto"/>
            </w:tcBorders>
          </w:tcPr>
          <w:p w14:paraId="24C0088C" w14:textId="77777777" w:rsidR="003F7254" w:rsidRPr="001F1C09" w:rsidRDefault="003F7254" w:rsidP="00301412">
            <w:pPr>
              <w:rPr>
                <w:rFonts w:ascii="Arial" w:hAnsi="Arial" w:cs="Arial"/>
                <w:b/>
                <w:i/>
                <w:sz w:val="20"/>
                <w:szCs w:val="20"/>
              </w:rPr>
            </w:pPr>
            <w:r w:rsidRPr="001F1C09">
              <w:rPr>
                <w:rFonts w:ascii="Arial" w:hAnsi="Arial" w:cs="Arial"/>
                <w:b/>
                <w:i/>
                <w:sz w:val="20"/>
                <w:szCs w:val="20"/>
              </w:rPr>
              <w:t>Parameter</w:t>
            </w:r>
          </w:p>
        </w:tc>
        <w:tc>
          <w:tcPr>
            <w:tcW w:w="2885" w:type="dxa"/>
            <w:tcBorders>
              <w:top w:val="single" w:sz="4" w:space="0" w:color="auto"/>
              <w:bottom w:val="single" w:sz="4" w:space="0" w:color="auto"/>
            </w:tcBorders>
          </w:tcPr>
          <w:p w14:paraId="761499DB" w14:textId="77777777" w:rsidR="003F7254" w:rsidRPr="001F1C09" w:rsidRDefault="003F7254" w:rsidP="00301412">
            <w:pPr>
              <w:jc w:val="center"/>
              <w:rPr>
                <w:rFonts w:ascii="Arial" w:hAnsi="Arial" w:cs="Arial"/>
                <w:b/>
                <w:i/>
                <w:sz w:val="20"/>
                <w:szCs w:val="20"/>
              </w:rPr>
            </w:pPr>
            <w:r w:rsidRPr="001F1C09">
              <w:rPr>
                <w:rFonts w:ascii="Arial" w:hAnsi="Arial" w:cs="Arial"/>
                <w:b/>
                <w:i/>
                <w:sz w:val="20"/>
                <w:szCs w:val="20"/>
              </w:rPr>
              <w:t>Value</w:t>
            </w:r>
          </w:p>
        </w:tc>
        <w:tc>
          <w:tcPr>
            <w:tcW w:w="1620" w:type="dxa"/>
            <w:tcBorders>
              <w:top w:val="single" w:sz="4" w:space="0" w:color="auto"/>
              <w:bottom w:val="single" w:sz="4" w:space="0" w:color="auto"/>
            </w:tcBorders>
          </w:tcPr>
          <w:p w14:paraId="0F5F4CD7" w14:textId="77777777" w:rsidR="003F7254" w:rsidRPr="001F1C09" w:rsidRDefault="003F7254" w:rsidP="00301412">
            <w:pPr>
              <w:jc w:val="center"/>
              <w:rPr>
                <w:rFonts w:ascii="Arial" w:hAnsi="Arial" w:cs="Arial"/>
                <w:b/>
                <w:i/>
                <w:sz w:val="20"/>
                <w:szCs w:val="20"/>
              </w:rPr>
            </w:pPr>
            <w:r w:rsidRPr="001F1C09">
              <w:rPr>
                <w:rFonts w:ascii="Arial" w:hAnsi="Arial" w:cs="Arial"/>
                <w:b/>
                <w:i/>
                <w:sz w:val="20"/>
                <w:szCs w:val="20"/>
              </w:rPr>
              <w:t>Source</w:t>
            </w:r>
          </w:p>
        </w:tc>
      </w:tr>
      <w:tr w:rsidR="003F7254" w:rsidRPr="001F1C09" w14:paraId="52A3A457" w14:textId="77777777" w:rsidTr="00301412">
        <w:trPr>
          <w:trHeight w:val="246"/>
          <w:jc w:val="center"/>
        </w:trPr>
        <w:tc>
          <w:tcPr>
            <w:tcW w:w="3865" w:type="dxa"/>
            <w:tcBorders>
              <w:top w:val="single" w:sz="4" w:space="0" w:color="auto"/>
            </w:tcBorders>
          </w:tcPr>
          <w:p w14:paraId="45EEF4AE" w14:textId="77777777" w:rsidR="003F7254" w:rsidRPr="001F1C09" w:rsidRDefault="003F7254" w:rsidP="00301412">
            <w:pPr>
              <w:rPr>
                <w:rFonts w:ascii="Arial" w:hAnsi="Arial" w:cs="Arial"/>
                <w:b/>
                <w:i/>
                <w:sz w:val="20"/>
                <w:szCs w:val="20"/>
              </w:rPr>
            </w:pPr>
            <w:r w:rsidRPr="001F1C09">
              <w:rPr>
                <w:rFonts w:ascii="Arial" w:hAnsi="Arial" w:cs="Arial"/>
                <w:b/>
                <w:i/>
                <w:sz w:val="20"/>
                <w:szCs w:val="20"/>
              </w:rPr>
              <w:t>HSV-2</w:t>
            </w:r>
          </w:p>
          <w:p w14:paraId="7B2D9924" w14:textId="61B22BBE" w:rsidR="003F7254" w:rsidRPr="001F1C09" w:rsidRDefault="003F7254" w:rsidP="00301412">
            <w:pPr>
              <w:ind w:left="720"/>
              <w:rPr>
                <w:rFonts w:ascii="Arial" w:hAnsi="Arial" w:cs="Arial"/>
                <w:i/>
                <w:sz w:val="20"/>
                <w:szCs w:val="20"/>
              </w:rPr>
            </w:pPr>
            <w:r w:rsidRPr="001F1C09">
              <w:rPr>
                <w:rFonts w:ascii="Arial" w:hAnsi="Arial" w:cs="Arial"/>
                <w:i/>
                <w:sz w:val="20"/>
                <w:szCs w:val="20"/>
              </w:rPr>
              <w:t xml:space="preserve">Percentage of individuals with </w:t>
            </w:r>
            <w:r w:rsidR="00D8331E" w:rsidRPr="001F1C09">
              <w:rPr>
                <w:rFonts w:ascii="Arial" w:hAnsi="Arial" w:cs="Arial"/>
                <w:i/>
                <w:sz w:val="20"/>
                <w:szCs w:val="20"/>
              </w:rPr>
              <w:t>recently acquired</w:t>
            </w:r>
            <w:r w:rsidRPr="001F1C09">
              <w:rPr>
                <w:rFonts w:ascii="Arial" w:hAnsi="Arial" w:cs="Arial"/>
                <w:i/>
                <w:sz w:val="20"/>
                <w:szCs w:val="20"/>
              </w:rPr>
              <w:t xml:space="preserve"> infection who experience a first episode</w:t>
            </w:r>
          </w:p>
        </w:tc>
        <w:tc>
          <w:tcPr>
            <w:tcW w:w="2885" w:type="dxa"/>
            <w:tcBorders>
              <w:top w:val="single" w:sz="4" w:space="0" w:color="auto"/>
            </w:tcBorders>
          </w:tcPr>
          <w:p w14:paraId="1F58E36E" w14:textId="77777777" w:rsidR="003F7254" w:rsidRPr="001F1C09" w:rsidRDefault="003F7254" w:rsidP="00301412">
            <w:pPr>
              <w:jc w:val="center"/>
              <w:rPr>
                <w:rFonts w:ascii="Arial" w:hAnsi="Arial" w:cs="Arial"/>
                <w:i/>
                <w:sz w:val="20"/>
                <w:szCs w:val="20"/>
              </w:rPr>
            </w:pPr>
          </w:p>
          <w:p w14:paraId="3019B56C"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21.0% (12.7%, 32.8%)</w:t>
            </w:r>
          </w:p>
        </w:tc>
        <w:tc>
          <w:tcPr>
            <w:tcW w:w="1620" w:type="dxa"/>
            <w:tcBorders>
              <w:top w:val="single" w:sz="4" w:space="0" w:color="auto"/>
            </w:tcBorders>
          </w:tcPr>
          <w:p w14:paraId="6551CE7E" w14:textId="77777777" w:rsidR="003F7254" w:rsidRPr="001F1C09" w:rsidRDefault="003F7254" w:rsidP="00301412">
            <w:pPr>
              <w:rPr>
                <w:rFonts w:ascii="Arial" w:hAnsi="Arial" w:cs="Arial"/>
                <w:i/>
                <w:sz w:val="20"/>
                <w:szCs w:val="20"/>
              </w:rPr>
            </w:pPr>
          </w:p>
          <w:p w14:paraId="0E6BA4F3" w14:textId="282E9B6F" w:rsidR="003F7254" w:rsidRPr="001F1C09" w:rsidRDefault="003F7254" w:rsidP="00301412">
            <w:pPr>
              <w:rPr>
                <w:rFonts w:ascii="Arial" w:hAnsi="Arial" w:cs="Arial"/>
                <w:i/>
                <w:sz w:val="20"/>
                <w:szCs w:val="20"/>
              </w:rPr>
            </w:pPr>
            <w:r w:rsidRPr="001F1C09">
              <w:rPr>
                <w:rFonts w:ascii="Arial" w:hAnsi="Arial" w:cs="Arial"/>
                <w:i/>
                <w:sz w:val="20"/>
                <w:szCs w:val="20"/>
              </w:rPr>
              <w:t>Langenberg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{"citationID":"Bpf5Tqnd","properties":{"formattedCitation":"[11]","plainCitation":"[11]","noteIndex":0},"citationItems":[{"id":1025,"uris":["http://zotero.org/users/local/p8g0WsVO/items/2FFEXT4D"],"itemData":{"id":1025,"type":"article-journal","abstract":"BACKGROUND AND METHODS: Herpes simplex virus (HSV) infections are endemic, but the clinical characteristics of newly acquired HSV type 1 (HSV-1) and HSV type 2 (HSV-2) infections in adults have not been rigorously defined. We monitored 2393 sexually active HSV-2-seronegative persons for clinical and serologic evidence of new HSV infection. Of the participants, 1508 were seropositive for HSV-1 and 885 were seronegative. Charts were reviewed in a blinded manner for classification of those with genitourinary or oropharyngeal symptoms. Charts were also reviewed for all 174 persons with HSV seroconversion.\nRESULTS: The rates of new HSV-1 and HSV-2 infections were 1.6 and 5.1 cases per 100 person-years, respectively. Of the 155 new HSV-2 infections, 57 (37 percent) were symptomatic, 47 of which (82 percent) were correctly diagnosed at presentation. Among the 74 patients given a clinical diagnosis of genital HSV-2 during the study, 60 were given a correct diagnosis and 14 were given an incorrect diagnosis of genital herpes, for a ratio of true positive results to false positive results of 4:1. Among the 98 persons with asymptomatic HSV-2 seroconversion, 15 percent had genital lesions at some time during follow-up. Women were more likely than men to acquire HSV-2 (P&lt;0.01) and to have symptomatic infection. Previous HSV-1 infection did not reduce the rate of HSV-2 infection, but it did increase the likelihood of asymptomatic seroconversion, as compared with symptomatic seroconversion, by a factor of 2.6 (P&lt;0.001). Of the 19 new HSV-1 infections, 12 were symptomatic. The rates of symptomatic genital HSV-1 infection and oropharyngeal HSV-1 infection were the same (0.5 case per 100 person-years).\nCONCLUSIONS: Nearly 40 percent of newly acquired HSV-2 infections and nearly two thirds of new HSV-1 infections are symptomatic. Among sexually active adults, new genital HSV-1 infections are as common as new oropharyngeal HSV-1 infections.","container-title":"The New England Journal of Medicine","DOI":"10.1056/NEJM199911043411904","ISSN":"0028-4793","issue":"19","journalAbbreviation":"N. Engl. J. Med.","language":"eng","note":"PMID: 10547406","page":"1432-1438","source":"PubMed","title":"A prospective study of new infections with herpes simplex virus type 1 and type 2. Chiron HSV Vaccine Study Group","volume":"341","author":[{"family":"Langenberg","given":"A. G."},{"family":"Corey","given":"L."},{"family":"Ashley","given":"R. L."},{"family":"Leong","given":"W. P."},{"family":"Straus","given":"S. E."}],"issued":{"date-parts":[["1999",11,4]]}}}],"schema":"https://github.com/citation-style-language/schema/raw/master/csl-citation.json"}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[11]</w:t>
            </w:r>
            <w:r w:rsidRPr="001F1C09">
              <w:rPr>
                <w:rFonts w:ascii="Arial" w:hAnsi="Arial" w:cs="Arial"/>
                <w:i/>
                <w:sz w:val="20"/>
                <w:szCs w:val="20"/>
              </w:rPr>
              <w:fldChar w:fldCharType="end"/>
            </w:r>
          </w:p>
        </w:tc>
      </w:tr>
      <w:tr w:rsidR="003F7254" w:rsidRPr="001F1C09" w14:paraId="3B5BB71A" w14:textId="77777777" w:rsidTr="00301412">
        <w:trPr>
          <w:trHeight w:val="246"/>
          <w:jc w:val="center"/>
        </w:trPr>
        <w:tc>
          <w:tcPr>
            <w:tcW w:w="3865" w:type="dxa"/>
          </w:tcPr>
          <w:p w14:paraId="6AE481EF" w14:textId="77777777" w:rsidR="003F7254" w:rsidRPr="001F1C09" w:rsidRDefault="003F7254" w:rsidP="00301412">
            <w:pPr>
              <w:ind w:left="720"/>
              <w:rPr>
                <w:rFonts w:ascii="Arial" w:hAnsi="Arial" w:cs="Arial"/>
                <w:i/>
                <w:sz w:val="20"/>
                <w:szCs w:val="20"/>
              </w:rPr>
            </w:pPr>
          </w:p>
          <w:p w14:paraId="5B598FFB"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Percentage of individuals with</w:t>
            </w:r>
          </w:p>
          <w:p w14:paraId="15F5683A"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established infection who have one or more GUD recurrences in a year</w:t>
            </w:r>
          </w:p>
        </w:tc>
        <w:tc>
          <w:tcPr>
            <w:tcW w:w="2885" w:type="dxa"/>
          </w:tcPr>
          <w:p w14:paraId="02AC3CF6" w14:textId="77777777" w:rsidR="003F7254" w:rsidRPr="001F1C09" w:rsidRDefault="003F7254" w:rsidP="00301412">
            <w:pPr>
              <w:jc w:val="center"/>
              <w:rPr>
                <w:rFonts w:ascii="Arial" w:hAnsi="Arial" w:cs="Arial"/>
                <w:i/>
                <w:sz w:val="20"/>
                <w:szCs w:val="20"/>
              </w:rPr>
            </w:pPr>
          </w:p>
          <w:p w14:paraId="24AB4C36"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83.8% (69.5%, 92.2%),</w:t>
            </w:r>
          </w:p>
        </w:tc>
        <w:tc>
          <w:tcPr>
            <w:tcW w:w="1620" w:type="dxa"/>
          </w:tcPr>
          <w:p w14:paraId="5A9778DA" w14:textId="77777777" w:rsidR="003F7254" w:rsidRPr="001F1C09" w:rsidRDefault="003F7254" w:rsidP="00301412">
            <w:pPr>
              <w:rPr>
                <w:rFonts w:ascii="Arial" w:hAnsi="Arial" w:cs="Arial"/>
                <w:i/>
                <w:sz w:val="20"/>
                <w:szCs w:val="20"/>
              </w:rPr>
            </w:pPr>
          </w:p>
          <w:p w14:paraId="00042DBF" w14:textId="320D7FD2" w:rsidR="003F7254" w:rsidRPr="001F1C09" w:rsidRDefault="003F7254" w:rsidP="00301412">
            <w:pPr>
              <w:rPr>
                <w:rFonts w:ascii="Arial" w:hAnsi="Arial" w:cs="Arial"/>
                <w:i/>
                <w:sz w:val="20"/>
                <w:szCs w:val="20"/>
              </w:rPr>
            </w:pPr>
            <w:r w:rsidRPr="001F1C09">
              <w:rPr>
                <w:rFonts w:ascii="Arial" w:hAnsi="Arial" w:cs="Arial"/>
                <w:i/>
                <w:sz w:val="20"/>
                <w:szCs w:val="20"/>
              </w:rPr>
              <w:t>Beneditti</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{"citationID":"xclxWBKe","properties":{"formattedCitation":"[12]","plainCitation":"[12]","noteIndex":0},"citationItems":[{"id":26779,"uris":["http://zotero.org/users/local/p8g0WsVO/items/SLHN6IIC"],"itemData":{"id":26779,"type":"article-journal","abstract":"OBJECTIVE: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[12]</w:t>
            </w:r>
            <w:r w:rsidRPr="001F1C09">
              <w:rPr>
                <w:rFonts w:ascii="Arial" w:hAnsi="Arial" w:cs="Arial"/>
                <w:i/>
                <w:sz w:val="20"/>
                <w:szCs w:val="20"/>
              </w:rPr>
              <w:fldChar w:fldCharType="end"/>
            </w:r>
            <w:r w:rsidRPr="001F1C09">
              <w:rPr>
                <w:rFonts w:ascii="Arial" w:hAnsi="Arial" w:cs="Arial"/>
                <w:i/>
                <w:sz w:val="20"/>
                <w:szCs w:val="20"/>
              </w:rPr>
              <w:t xml:space="preserve"> and 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{"citationID":"rNMH3C86","properties":{"formattedCitation":"[13]","plainCitation":"[13]","noteIndex":0},"citationItems":[{"id":1703,"uris":["http://zotero.org/users/local/p8g0WsVO/items/QTNHXWNA"],"itemData":{"id":1703,"type":"article-journal","abstract":"CONTEXT: In the last 3 decades, herpes simplex virus type 2 (HSV-2) infection seroprevalence and neonatal herpes have increased substantially. An effective vaccine for the prevention of genital herpes could help control this epidemic.\nOBJECTIVE: To evaluate the efficacy of a vaccine for prevention of HSV-2 infection.\nDESIGN: Two randomized, double-blind, placebo-controlled multicenter trials of a recombinant subunit vaccine containing 30 microg each of 2 major HSV-2 surface glycoproteins (gB2 and gD2) against which neutralizing antibodies are directed, administered at months 0, 1, and 6. Control subjects were given a citrate buffer vehicle. Participants were followed up for 1 year after the third immunization.\nSETTING AND PARTICIPANTS: We enrolled 2393 persons from December 10, 1993, to April 4, 1995, who were HSV-2 and human immunodeficiency virus seronegative. One trial with 18 centers enrolled 531 HSV-2-seronegative partners of HSV-2-infected persons; the other, with 22 centers, enrolled 1862 persons attending sexually transmitted disease clinics. A total of 2268 (94.8%) met inclusion criteria and were included in the analysis with 1135 randomized to placebo and 2012 to vaccine.\nMAIN OUTCOME MEASURE: Time to acquisition of HSV-2 infection, defined by seroconversion or isolation of HSV-2 in culture during the study period by randomization group.\nRESULTS: Time-to-event curves indicated a 50% lower acquisition rate among vaccine vs placebo recipients during the initial 5 months of the trial; however, overall vaccine efficacy was 9% (95% confidence interval, -29% to 36%). Acquisition rates of HSV-2 were 4.6 and 4.2 per 100 patient-years in the placebo and vaccine recipients, respectively (P =.58). Follow-up of vaccine recipients acquiring HSV-2 infection showed vaccination had no significant influence on duration of clinical first genital HSV-2 episodes (vaccine, median of 7.1 days; placebo, 6.5 days; P&gt;.10) or subsequent frequency of reactivation (median monthly recurrence rate with vaccine, 0.2; with placebo, 0.3; P&gt;.10). The vaccine induced high levels of HSV-2-specific neutralizing antibodies in vaccinated persons who did and did not develop genital herpes.\nCONCLUSIONS: Efficient and sustained protection from sexual acquisition of HSV-2 infection will require more than high titers of specific neutralizing antibodies. Protection against sexually transmitted viruses involving exposure over a prolonged period will require a higher degree of vaccine efficacy than that achieved in this study.","container-title":"JAMA","ISSN":"0098-7484","issue":"4","journalAbbreviation":"JAMA","language":"eng","note":"PMID: 10432030","page":"331-340","source":"PubMed","title":"Recombinant glycoprotein vaccine for the prevention of genital HSV-2 infection: two randomized controlled trials. Chiron HSV Vaccine Study Group","title-short":"Recombinant glycoprotein vaccine for the prevention of genital HSV-2 infection","volume":"282","author":[{"family":"Corey","given":"L."},{"family":"Langenberg","given":"A. G."},{"family":"Ashley","given":"R."},{"family":"Sekulovich","given":"R. E."},{"family":"Izu","given":"A. E."},{"family":"Douglas","given":"J. M."},{"family":"Handsfield","given":"H. H."},{"family":"Warren","given":"T."},{"family":"Marr","given":"L."},{"family":"Tyring","given":"S."},{"family":"DiCarlo","given":"R."},{"family":"Adimora","given":"A. A."},{"family":"Leone","given":"P."},{"family":"Dekker","given":"C. L."},{"family":"Burke","given":"R. L."},{"family":"Leong","given":"W. P."},{"family":"Straus","given":"S. E."}],"issued":{"date-parts":[["1999",7,28]]}}}],"schema":"https://github.com/citation-style-language/schema/raw/master/csl-citation.json"}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[13]</w:t>
            </w:r>
            <w:r w:rsidRPr="001F1C09">
              <w:rPr>
                <w:rFonts w:ascii="Arial" w:hAnsi="Arial" w:cs="Arial"/>
                <w:i/>
                <w:sz w:val="20"/>
                <w:szCs w:val="20"/>
              </w:rPr>
              <w:fldChar w:fldCharType="end"/>
            </w:r>
          </w:p>
        </w:tc>
      </w:tr>
      <w:tr w:rsidR="003F7254" w:rsidRPr="001F1C09" w14:paraId="56F6D4A9" w14:textId="77777777" w:rsidTr="00301412">
        <w:trPr>
          <w:trHeight w:val="246"/>
          <w:jc w:val="center"/>
        </w:trPr>
        <w:tc>
          <w:tcPr>
            <w:tcW w:w="3865" w:type="dxa"/>
          </w:tcPr>
          <w:p w14:paraId="488C3B8F" w14:textId="77777777" w:rsidR="003F7254" w:rsidRPr="001F1C09" w:rsidRDefault="003F7254" w:rsidP="00301412">
            <w:pPr>
              <w:rPr>
                <w:rFonts w:ascii="Arial" w:hAnsi="Arial" w:cs="Arial"/>
                <w:i/>
                <w:sz w:val="20"/>
                <w:szCs w:val="20"/>
              </w:rPr>
            </w:pPr>
          </w:p>
          <w:p w14:paraId="46D5BFDB"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Percentage of individuals with</w:t>
            </w:r>
          </w:p>
          <w:p w14:paraId="112E0569"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established infection who have one or more GUD recurrences in a year</w:t>
            </w:r>
          </w:p>
          <w:p w14:paraId="2D92403F" w14:textId="77777777" w:rsidR="003F7254" w:rsidRPr="001F1C09" w:rsidRDefault="003F7254" w:rsidP="00301412">
            <w:pPr>
              <w:rPr>
                <w:rFonts w:ascii="Arial" w:hAnsi="Arial" w:cs="Arial"/>
                <w:i/>
                <w:sz w:val="20"/>
                <w:szCs w:val="20"/>
              </w:rPr>
            </w:pPr>
          </w:p>
        </w:tc>
        <w:tc>
          <w:tcPr>
            <w:tcW w:w="2885" w:type="dxa"/>
          </w:tcPr>
          <w:p w14:paraId="5EB78614" w14:textId="77777777" w:rsidR="003F7254" w:rsidRPr="001F1C09" w:rsidRDefault="003F7254" w:rsidP="00301412">
            <w:pPr>
              <w:jc w:val="center"/>
              <w:rPr>
                <w:rFonts w:ascii="Arial" w:hAnsi="Arial" w:cs="Arial"/>
                <w:i/>
                <w:sz w:val="20"/>
                <w:szCs w:val="20"/>
              </w:rPr>
            </w:pPr>
          </w:p>
          <w:p w14:paraId="419F9B43" w14:textId="242D52EE" w:rsidR="003F7254" w:rsidRPr="001F1C09" w:rsidRDefault="003F7254" w:rsidP="00301412">
            <w:pPr>
              <w:jc w:val="center"/>
              <w:rPr>
                <w:rFonts w:ascii="Arial" w:hAnsi="Arial" w:cs="Arial"/>
                <w:i/>
                <w:sz w:val="20"/>
                <w:szCs w:val="20"/>
              </w:rPr>
            </w:pPr>
            <w:r w:rsidRPr="001F1C09">
              <w:rPr>
                <w:rFonts w:ascii="Arial" w:hAnsi="Arial" w:cs="Arial"/>
                <w:i/>
                <w:sz w:val="20"/>
                <w:szCs w:val="20"/>
              </w:rPr>
              <w:t>33%</w:t>
            </w:r>
            <w:r w:rsidR="00B06A78">
              <w:rPr>
                <w:rFonts w:ascii="Arial" w:hAnsi="Arial" w:cs="Arial"/>
                <w:i/>
                <w:sz w:val="20"/>
                <w:szCs w:val="20"/>
              </w:rPr>
              <w:t xml:space="preserve"> (24.75%, 41.25%)</w:t>
            </w:r>
          </w:p>
        </w:tc>
        <w:tc>
          <w:tcPr>
            <w:tcW w:w="1620" w:type="dxa"/>
          </w:tcPr>
          <w:p w14:paraId="231425B2" w14:textId="1646D729" w:rsidR="003F7254" w:rsidRPr="001F1C09" w:rsidRDefault="003F7254" w:rsidP="00301412">
            <w:pPr>
              <w:rPr>
                <w:rFonts w:ascii="Arial" w:hAnsi="Arial" w:cs="Arial"/>
                <w:i/>
                <w:sz w:val="20"/>
                <w:szCs w:val="20"/>
              </w:rPr>
            </w:pPr>
            <w:r w:rsidRPr="001F1C09">
              <w:rPr>
                <w:rFonts w:ascii="Arial" w:hAnsi="Arial" w:cs="Arial"/>
                <w:i/>
                <w:sz w:val="20"/>
                <w:szCs w:val="20"/>
              </w:rPr>
              <w:t>Beneditti</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{"citationID":"FM4fS3Gh","properties":{"formattedCitation":"[12]","plainCitation":"[12]","noteIndex":0},"citationItems":[{"id":26779,"uris":["http://zotero.org/users/local/p8g0WsVO/items/SLHN6IIC"],"itemData":{"id":26779,"type":"article-journal","abstract":"OBJECTIVE: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[12]</w:t>
            </w:r>
            <w:r w:rsidRPr="001F1C09">
              <w:rPr>
                <w:rFonts w:ascii="Arial" w:hAnsi="Arial" w:cs="Arial"/>
                <w:i/>
                <w:sz w:val="20"/>
                <w:szCs w:val="20"/>
              </w:rPr>
              <w:fldChar w:fldCharType="end"/>
            </w:r>
            <w:r w:rsidRPr="001F1C09">
              <w:rPr>
                <w:rFonts w:ascii="Arial" w:hAnsi="Arial" w:cs="Arial"/>
                <w:i/>
                <w:sz w:val="20"/>
                <w:szCs w:val="20"/>
              </w:rPr>
              <w:t xml:space="preserve"> and 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{"citationID":"yQYsg9e3","properties":{"formattedCitation":"[13]","plainCitation":"[13]","noteIndex":0},"citationItems":[{"id":1703,"uris":["http://zotero.org/users/local/p8g0WsVO/items/QTNHXWNA"],"itemData":{"id":1703,"type":"article-journal","abstract":"CONTEXT: In the last 3 decades, herpes simplex virus type 2 (HSV-2) infection seroprevalence and neonatal herpes have increased substantially. An effective vaccine for the prevention of genital herpes could help control this epidemic.\nOBJECTIVE: To evaluate the efficacy of a vaccine for prevention of HSV-2 infection.\nDESIGN: Two randomized, double-blind, placebo-controlled multicenter trials of a recombinant subunit vaccine containing 30 microg each of 2 major HSV-2 surface glycoproteins (gB2 and gD2) against which neutralizing antibodies are directed, administered at months 0, 1, and 6. Control subjects were given a citrate buffer vehicle. Participants were followed up for 1 year after the third immunization.\nSETTING AND PARTICIPANTS: We enrolled 2393 persons from December 10, 1993, to April 4, 1995, who were HSV-2 and human immunodeficiency virus seronegative. One trial with 18 centers enrolled 531 HSV-2-seronegative partners of HSV-2-infected persons; the other, with 22 centers, enrolled 1862 persons attending sexually transmitted disease clinics. A total of 2268 (94.8%) met inclusion criteria and were included in the analysis with 1135 randomized to placebo and 2012 to vaccine.\nMAIN OUTCOME MEASURE: Time to acquisition of HSV-2 infection, defined by seroconversion or isolation of HSV-2 in culture during the study period by randomization group.\nRESULTS: Time-to-event curves indicated a 50% lower acquisition rate among vaccine vs placebo recipients during the initial 5 months of the trial; however, overall vaccine efficacy was 9% (95% confidence interval, -29% to 36%). Acquisition rates of HSV-2 were 4.6 and 4.2 per 100 patient-years in the placebo and vaccine recipients, respectively (P =.58). Follow-up of vaccine recipients acquiring HSV-2 infection showed vaccination had no significant influence on duration of clinical first genital HSV-2 episodes (vaccine, median of 7.1 days; placebo, 6.5 days; P&gt;.10) or subsequent frequency of reactivation (median monthly recurrence rate with vaccine, 0.2; with placebo, 0.3; P&gt;.10). The vaccine induced high levels of HSV-2-specific neutralizing antibodies in vaccinated persons who did and did not develop genital herpes.\nCONCLUSIONS: Efficient and sustained protection from sexual acquisition of HSV-2 infection will require more than high titers of specific neutralizing antibodies. Protection against sexually transmitted viruses involving exposure over a prolonged period will require a higher degree of vaccine efficacy than that achieved in this study.","container-title":"JAMA","ISSN":"0098-7484","issue":"4","journalAbbreviation":"JAMA","language":"eng","note":"PMID: 10432030","page":"331-340","source":"PubMed","title":"Recombinant glycoprotein vaccine for the prevention of genital HSV-2 infection: two randomized controlled trials. Chiron HSV Vaccine Study Group","title-short":"Recombinant glycoprotein vaccine for the prevention of genital HSV-2 infection","volume":"282","author":[{"family":"Corey","given":"L."},{"family":"Langenberg","given":"A. G."},{"family":"Ashley","given":"R."},{"family":"Sekulovich","given":"R. E."},{"family":"Izu","given":"A. E."},{"family":"Douglas","given":"J. M."},{"family":"Handsfield","given":"H. H."},{"family":"Warren","given":"T."},{"family":"Marr","given":"L."},{"family":"Tyring","given":"S."},{"family":"DiCarlo","given":"R."},{"family":"Adimora","given":"A. A."},{"family":"Leone","given":"P."},{"family":"Dekker","given":"C. L."},{"family":"Burke","given":"R. L."},{"family":"Leong","given":"W. P."},{"family":"Straus","given":"S. E."}],"issued":{"date-parts":[["1999",7,28]]}}}],"schema":"https://github.com/citation-style-language/schema/raw/master/csl-citation.json"}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[13]</w:t>
            </w:r>
            <w:r w:rsidRPr="001F1C09">
              <w:rPr>
                <w:rFonts w:ascii="Arial" w:hAnsi="Arial" w:cs="Arial"/>
                <w:i/>
                <w:sz w:val="20"/>
                <w:szCs w:val="20"/>
              </w:rPr>
              <w:fldChar w:fldCharType="end"/>
            </w:r>
          </w:p>
        </w:tc>
      </w:tr>
      <w:tr w:rsidR="003F7254" w:rsidRPr="001F1C09" w14:paraId="36B04BF0" w14:textId="77777777" w:rsidTr="00301412">
        <w:trPr>
          <w:trHeight w:val="246"/>
          <w:jc w:val="center"/>
        </w:trPr>
        <w:tc>
          <w:tcPr>
            <w:tcW w:w="3865" w:type="dxa"/>
          </w:tcPr>
          <w:p w14:paraId="56493DAC" w14:textId="0B44F35D" w:rsidR="003F7254" w:rsidRPr="001F1C09" w:rsidRDefault="003F7254" w:rsidP="00301412">
            <w:pPr>
              <w:ind w:left="720"/>
              <w:rPr>
                <w:rFonts w:ascii="Arial" w:hAnsi="Arial" w:cs="Arial"/>
                <w:i/>
                <w:sz w:val="20"/>
                <w:szCs w:val="20"/>
              </w:rPr>
            </w:pPr>
            <w:r w:rsidRPr="001F1C09">
              <w:rPr>
                <w:rFonts w:ascii="Arial" w:hAnsi="Arial" w:cs="Arial"/>
                <w:i/>
                <w:sz w:val="20"/>
                <w:szCs w:val="20"/>
              </w:rPr>
              <w:t xml:space="preserve">Mean number of GUD days per person with </w:t>
            </w:r>
            <w:r w:rsidR="00D8331E" w:rsidRPr="001F1C09">
              <w:rPr>
                <w:rFonts w:ascii="Arial" w:hAnsi="Arial" w:cs="Arial"/>
                <w:i/>
                <w:sz w:val="20"/>
                <w:szCs w:val="20"/>
              </w:rPr>
              <w:t>recently acquired</w:t>
            </w:r>
            <w:r w:rsidRPr="001F1C09">
              <w:rPr>
                <w:rFonts w:ascii="Arial" w:hAnsi="Arial" w:cs="Arial"/>
                <w:i/>
                <w:sz w:val="20"/>
                <w:szCs w:val="20"/>
              </w:rPr>
              <w:t xml:space="preserve"> infection and experiencing a first </w:t>
            </w:r>
            <w:r w:rsidRPr="001F1C09">
              <w:rPr>
                <w:rFonts w:ascii="Arial" w:hAnsi="Arial" w:cs="Arial"/>
                <w:i/>
                <w:sz w:val="20"/>
                <w:szCs w:val="20"/>
              </w:rPr>
              <w:lastRenderedPageBreak/>
              <w:t>episode</w:t>
            </w:r>
            <w:r w:rsidR="00772E19">
              <w:rPr>
                <w:rFonts w:ascii="Arial" w:hAnsi="Arial" w:cs="Arial"/>
                <w:i/>
                <w:sz w:val="20"/>
                <w:szCs w:val="20"/>
              </w:rPr>
              <w:t xml:space="preserve"> in the absence of antiviral therapy</w:t>
            </w:r>
          </w:p>
          <w:p w14:paraId="52CFC700" w14:textId="77777777" w:rsidR="003F7254" w:rsidRPr="001F1C09" w:rsidRDefault="003F7254" w:rsidP="00301412">
            <w:pPr>
              <w:rPr>
                <w:rFonts w:ascii="Arial" w:hAnsi="Arial" w:cs="Arial"/>
                <w:i/>
                <w:sz w:val="20"/>
                <w:szCs w:val="20"/>
              </w:rPr>
            </w:pPr>
          </w:p>
        </w:tc>
        <w:tc>
          <w:tcPr>
            <w:tcW w:w="2885" w:type="dxa"/>
          </w:tcPr>
          <w:p w14:paraId="08122AD6"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lastRenderedPageBreak/>
              <w:t>20.5 days (18.3 days, 22.8 days),</w:t>
            </w:r>
          </w:p>
        </w:tc>
        <w:tc>
          <w:tcPr>
            <w:tcW w:w="1620" w:type="dxa"/>
          </w:tcPr>
          <w:p w14:paraId="3C02136F" w14:textId="60F1EA37" w:rsidR="003F7254" w:rsidRPr="001F1C09" w:rsidRDefault="003F7254" w:rsidP="00301412">
            <w:pPr>
              <w:rPr>
                <w:rFonts w:ascii="Arial" w:hAnsi="Arial" w:cs="Arial"/>
                <w:i/>
                <w:sz w:val="20"/>
                <w:szCs w:val="20"/>
              </w:rPr>
            </w:pPr>
            <w:r w:rsidRPr="001F1C09">
              <w:rPr>
                <w:rFonts w:ascii="Arial" w:hAnsi="Arial" w:cs="Arial"/>
                <w:i/>
                <w:sz w:val="20"/>
                <w:szCs w:val="20"/>
              </w:rPr>
              <w:t>Beneditti</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{"citationID":"UKaHlRxE","properties":{"formattedCitation":"[12]","plainCitation":"[12]","noteIndex":0},"citationItems":[{"id":26779,"uris":["http://zotero.org/users/local/p8g0WsVO/items/SLHN6IIC"],"itemData":{"id":26779,"type":"article-journal","abstract":"OBJECTIVE: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[12]</w:t>
            </w:r>
            <w:r w:rsidRPr="001F1C09">
              <w:rPr>
                <w:rFonts w:ascii="Arial" w:hAnsi="Arial" w:cs="Arial"/>
                <w:i/>
                <w:sz w:val="20"/>
                <w:szCs w:val="20"/>
              </w:rPr>
              <w:fldChar w:fldCharType="end"/>
            </w:r>
            <w:r w:rsidRPr="001F1C09">
              <w:rPr>
                <w:rFonts w:ascii="Arial" w:hAnsi="Arial" w:cs="Arial"/>
                <w:i/>
                <w:sz w:val="20"/>
                <w:szCs w:val="20"/>
              </w:rPr>
              <w:t xml:space="preserve"> and 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{"citationID":"wlPaPShl","properties":{"formattedCitation":"[13]","plainCitation":"[13]","noteIndex":0},"citationItems":[{"id":1703,"uris":["http://zotero.org/users/local/p8g0WsVO/items/QTNHXWNA"],"itemData":{"id":1703,"type":"article-journal","abstract":"CONTEXT: In the last 3 decades, herpes simplex virus type 2 (HSV-2) infection seroprevalence and neonatal herpes have increased substantially. An effective vaccine for the prevention of genital herpes could help control this epidemic.\nOBJECTIVE: To evaluate the efficacy of a vaccine for prevention of HSV-2 infection.\nDESIGN: Two randomized, double-blind, placebo-controlled multicenter trials of a recombinant subunit vaccine containing 30 microg each of 2 major HSV-2 surface glycoproteins (gB2 and gD2) against which neutralizing antibodies are directed, administered at months 0, 1, and 6. Control subjects were given a citrate buffer vehicle. Participants were followed up for 1 year after the third immunization.\nSETTING AND PARTICIPANTS: We enrolled 2393 persons from December 10, 1993, to April 4, 1995, who were HSV-2 and human immunodeficiency virus seronegative. One trial with 18 centers enrolled 531 HSV-2-seronegative partners of HSV-2-infected persons; the other, with 22 centers, enrolled 1862 persons attending sexually transmitted disease clinics. A total of 2268 (94.8%) met inclusion criteria and were included in the analysis with 1135 randomized to placebo and 2012 to vaccine.\nMAIN OUTCOME MEASURE: Time to acquisition of HSV-2 infection, defined by seroconversion or isolation of HSV-2 in culture during the study period by randomization group.\nRESULTS: Time-to-event curves indicated a 50% lower acquisition rate among vaccine vs placebo recipients during the initial 5 months of the trial; however, overall vaccine efficacy was 9% (95% confidence interval, -29% to 36%). Acquisition rates of HSV-2 were 4.6 and 4.2 per 100 patient-years in the placebo and vaccine recipients, respectively (P =.58). Follow-up of vaccine recipients acquiring HSV-2 infection showed vaccination had no significant influence on duration of clinical first genital HSV-2 episodes (vaccine, median of 7.1 days; placebo, 6.5 days; P&gt;.10) or subsequent frequency of reactivation (median monthly recurrence rate with vaccine, 0.2; with placebo, 0.3; P&gt;.10). The vaccine induced high levels of HSV-2-specific neutralizing antibodies in vaccinated persons who did and did not develop genital herpes.\nCONCLUSIONS: Efficient and sustained protection from sexual acquisition of HSV-2 infection will require more than high titers of specific neutralizing antibodies. Protection against sexually transmitted viruses involving exposure over a prolonged period will require a higher degree of vaccine efficacy than that achieved in this study.","container-title":"JAMA","ISSN":"0098-7484","issue":"4","journalAbbreviation":"JAMA","language":"eng","note":"PMID: 10432030","page":"331-340","source":"PubMed","title":"Recombinant glycoprotein vaccine for the prevention of genital HSV-2 infection: two randomized controlled trials. Chiron HSV Vaccine Study Group","title-short":"Recombinant glycoprotein vaccine for the prevention of genital HSV-2 infection","volume":"282","author":[{"family":"Corey","given":"L."},{"family":"Langenberg","given":"A. G."},{"family":"Ashley","given":"R."},{"family":"Sekulovich","given":"R. E."},{"family":"Izu","given":"A. E."},{"family":"Douglas","given":"J. M."},{"family":"Handsfield","given":"H. H."},{"family":"Warren","given":"T."},{"family":"Marr","given":"L."},{"family":"Tyring","given":"S."},{"family":"DiCarlo","given":"R."},{"family":"Adimora","given":"A. A."},{"family":"Leone","given":"P."},{"family":"Dekker","given":"C. L."},{"family":"Burke","given":"R. L."},{"family":"Leong","given":"W. P."},{"family":"Straus","given":"S. E."}],"issued":{"date-parts":[["1999",7,28]]}}}],"schema":"https://github.com/citation-style-language/schema/raw/master/csl-citation.json"}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[13]</w:t>
            </w:r>
            <w:r w:rsidRPr="001F1C09">
              <w:rPr>
                <w:rFonts w:ascii="Arial" w:hAnsi="Arial" w:cs="Arial"/>
                <w:i/>
                <w:sz w:val="20"/>
                <w:szCs w:val="20"/>
              </w:rPr>
              <w:fldChar w:fldCharType="end"/>
            </w:r>
          </w:p>
        </w:tc>
      </w:tr>
      <w:tr w:rsidR="003F7254" w:rsidRPr="001F1C09" w14:paraId="6C3195E3" w14:textId="77777777" w:rsidTr="00301412">
        <w:trPr>
          <w:trHeight w:val="246"/>
          <w:jc w:val="center"/>
        </w:trPr>
        <w:tc>
          <w:tcPr>
            <w:tcW w:w="3865" w:type="dxa"/>
          </w:tcPr>
          <w:p w14:paraId="245DFC06" w14:textId="6F38FA5E" w:rsidR="003F7254" w:rsidRPr="001F1C09" w:rsidRDefault="003F7254" w:rsidP="00301412">
            <w:pPr>
              <w:ind w:left="720"/>
              <w:rPr>
                <w:rFonts w:ascii="Arial" w:hAnsi="Arial" w:cs="Arial"/>
                <w:i/>
                <w:sz w:val="20"/>
                <w:szCs w:val="20"/>
              </w:rPr>
            </w:pPr>
            <w:r w:rsidRPr="001F1C09">
              <w:rPr>
                <w:rFonts w:ascii="Arial" w:hAnsi="Arial" w:cs="Arial"/>
                <w:i/>
                <w:sz w:val="20"/>
                <w:szCs w:val="20"/>
              </w:rPr>
              <w:t xml:space="preserve">Mean annual number of recurrences in those with </w:t>
            </w:r>
            <w:r w:rsidR="00D8331E" w:rsidRPr="001F1C09">
              <w:rPr>
                <w:rFonts w:ascii="Arial" w:hAnsi="Arial" w:cs="Arial"/>
                <w:i/>
                <w:sz w:val="20"/>
                <w:szCs w:val="20"/>
              </w:rPr>
              <w:t>recently acquired</w:t>
            </w:r>
            <w:r w:rsidRPr="001F1C09">
              <w:rPr>
                <w:rFonts w:ascii="Arial" w:hAnsi="Arial" w:cs="Arial"/>
                <w:i/>
                <w:sz w:val="20"/>
                <w:szCs w:val="20"/>
              </w:rPr>
              <w:t xml:space="preserve"> infection</w:t>
            </w:r>
          </w:p>
          <w:p w14:paraId="449A30BF" w14:textId="77777777" w:rsidR="003F7254" w:rsidRPr="001F1C09" w:rsidRDefault="003F7254" w:rsidP="00301412">
            <w:pPr>
              <w:rPr>
                <w:rFonts w:ascii="Arial" w:hAnsi="Arial" w:cs="Arial"/>
                <w:i/>
                <w:sz w:val="20"/>
                <w:szCs w:val="20"/>
              </w:rPr>
            </w:pPr>
          </w:p>
        </w:tc>
        <w:tc>
          <w:tcPr>
            <w:tcW w:w="2885" w:type="dxa"/>
          </w:tcPr>
          <w:p w14:paraId="6A4CDC90" w14:textId="5430FEB3" w:rsidR="003F7254" w:rsidRPr="001F1C09" w:rsidRDefault="003F7254" w:rsidP="00301412">
            <w:pPr>
              <w:jc w:val="center"/>
              <w:rPr>
                <w:rFonts w:ascii="Arial" w:hAnsi="Arial" w:cs="Arial"/>
                <w:i/>
                <w:sz w:val="20"/>
                <w:szCs w:val="20"/>
              </w:rPr>
            </w:pPr>
            <w:r w:rsidRPr="001F1C09">
              <w:rPr>
                <w:rFonts w:ascii="Arial" w:hAnsi="Arial" w:cs="Arial"/>
                <w:i/>
                <w:sz w:val="20"/>
                <w:szCs w:val="20"/>
              </w:rPr>
              <w:t>4.6 (95%CI 3.9, 5.5)</w:t>
            </w:r>
          </w:p>
        </w:tc>
        <w:tc>
          <w:tcPr>
            <w:tcW w:w="1620" w:type="dxa"/>
          </w:tcPr>
          <w:p w14:paraId="21B65D9A" w14:textId="370E3D67" w:rsidR="003F7254" w:rsidRPr="001F1C09" w:rsidRDefault="003F7254" w:rsidP="00301412">
            <w:pPr>
              <w:rPr>
                <w:rFonts w:ascii="Arial" w:hAnsi="Arial" w:cs="Arial"/>
                <w:i/>
                <w:sz w:val="20"/>
                <w:szCs w:val="20"/>
              </w:rPr>
            </w:pPr>
            <w:r w:rsidRPr="001F1C09">
              <w:rPr>
                <w:rFonts w:ascii="Arial" w:hAnsi="Arial" w:cs="Arial"/>
                <w:i/>
                <w:sz w:val="20"/>
                <w:szCs w:val="20"/>
              </w:rPr>
              <w:t>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{"citationID":"a11hhmdlmrq","properties":{"formattedCitation":"[14]","plainCitation":"[14]","noteIndex":0},"citationItems":[{"id":27231,"uris":["http://zotero.org/users/local/p8g0WsVO/items/D2CLAHU9"],"itemData":{"id":27231,"type":"article-journal","abstract":"The clinical course and complications of 268 patients with first episodes and 362 with recurrent episodes of genital herpes infection were reviewed. Symptoms of genital herpes were more severe in women than in men. Primary first-episode genital herpes was accompanied by systemic symptoms (67%), local pain and itching (98%), dysuria (63%), and tender adenopathy (80%). Patients presented with several bilaterally distributed postular ulcerative lesions that lasted a mean of 19.0 days. Herpes simplex virus was isolated from the urethra, cervix, and pharynx of 82%, 88%, and 13% of women with first-episode primary genital herpes, and the urethra and pharynx of 28% and 7% of men. Complications included aseptic meningitis (8%), sacral autonomic nervous system dysfunction (2%), development of extragenital lesions (20%), and secondary yeast infections (11%). Recurrent episodes were characterized by small vesicular or ulcerative unilaterally distributed lesions that lasted a mean of 10.1 days. Systemic symptoms were uncommon and 25% of recurrent episodes were asymptomatic. The major concerns of patients were the frequency of recurrences and fear of transmitting infection to partners or infants.","container-title":"Annals of Internal Medicine","DOI":"10.7326/0003-4819-98-6-958","ISSN":"0003-4819","issue":"6","journalAbbreviation":"Ann. Intern. Med.","language":"eng","note":"PMID: 6344712","page":"958-972","source":"PubMed","title":"Genital herpes simplex virus infections: clinical manifestations, course, and complications","title-short":"Genital herpes simplex virus infections","volume":"98","author":[{"family":"Corey","given":"L."},{"family":"Adams","given":"H. G."},{"family":"Brown","given":"Z. A."},{"family":"Holmes","given":"K. K."}],"issued":{"date-parts":[["1983",6]]}}}],"schema":"https://github.com/citation-style-language/schema/raw/master/csl-citation.json"}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[14]</w:t>
            </w:r>
            <w:r w:rsidRPr="001F1C09">
              <w:rPr>
                <w:rFonts w:ascii="Arial" w:hAnsi="Arial" w:cs="Arial"/>
                <w:i/>
                <w:sz w:val="20"/>
                <w:szCs w:val="20"/>
              </w:rPr>
              <w:fldChar w:fldCharType="end"/>
            </w:r>
            <w:r w:rsidRPr="001F1C09">
              <w:rPr>
                <w:rFonts w:ascii="Arial" w:hAnsi="Arial" w:cs="Arial"/>
                <w:i/>
                <w:sz w:val="20"/>
                <w:szCs w:val="20"/>
              </w:rPr>
              <w:t xml:space="preserve"> </w:t>
            </w:r>
          </w:p>
        </w:tc>
      </w:tr>
      <w:tr w:rsidR="003F7254" w:rsidRPr="001F1C09" w14:paraId="1B8A7EB3" w14:textId="77777777" w:rsidTr="00301412">
        <w:trPr>
          <w:trHeight w:val="246"/>
          <w:jc w:val="center"/>
        </w:trPr>
        <w:tc>
          <w:tcPr>
            <w:tcW w:w="3865" w:type="dxa"/>
          </w:tcPr>
          <w:p w14:paraId="45502777"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 xml:space="preserve"> Duration of a recurrent episode in a recently acquired infection</w:t>
            </w:r>
          </w:p>
        </w:tc>
        <w:tc>
          <w:tcPr>
            <w:tcW w:w="2885" w:type="dxa"/>
          </w:tcPr>
          <w:p w14:paraId="2F06DFC4"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8.5 days (95%CI 7.5, 9.5)</w:t>
            </w:r>
          </w:p>
        </w:tc>
        <w:tc>
          <w:tcPr>
            <w:tcW w:w="1620" w:type="dxa"/>
          </w:tcPr>
          <w:p w14:paraId="35C32C62" w14:textId="4507EEAF" w:rsidR="003F7254" w:rsidRPr="001F1C09" w:rsidRDefault="003F7254" w:rsidP="00301412">
            <w:pPr>
              <w:rPr>
                <w:rFonts w:ascii="Arial" w:hAnsi="Arial" w:cs="Arial"/>
                <w:i/>
                <w:sz w:val="20"/>
                <w:szCs w:val="20"/>
              </w:rPr>
            </w:pPr>
            <w:r w:rsidRPr="001F1C09">
              <w:rPr>
                <w:rFonts w:ascii="Arial" w:hAnsi="Arial" w:cs="Arial"/>
                <w:i/>
                <w:sz w:val="20"/>
                <w:szCs w:val="20"/>
              </w:rPr>
              <w:t>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{"citationID":"gBh2rclS","properties":{"formattedCitation":"[14]","plainCitation":"[14]","noteIndex":0},"citationItems":[{"id":27231,"uris":["http://zotero.org/users/local/p8g0WsVO/items/D2CLAHU9"],"itemData":{"id":27231,"type":"article-journal","abstract":"The clinical course and complications of 268 patients with first episodes and 362 with recurrent episodes of genital herpes infection were reviewed. Symptoms of genital herpes were more severe in women than in men. Primary first-episode genital herpes was accompanied by systemic symptoms (67%), local pain and itching (98%), dysuria (63%), and tender adenopathy (80%). Patients presented with several bilaterally distributed postular ulcerative lesions that lasted a mean of 19.0 days. Herpes simplex virus was isolated from the urethra, cervix, and pharynx of 82%, 88%, and 13% of women with first-episode primary genital herpes, and the urethra and pharynx of 28% and 7% of men. Complications included aseptic meningitis (8%), sacral autonomic nervous system dysfunction (2%), development of extragenital lesions (20%), and secondary yeast infections (11%). Recurrent episodes were characterized by small vesicular or ulcerative unilaterally distributed lesions that lasted a mean of 10.1 days. Systemic symptoms were uncommon and 25% of recurrent episodes were asymptomatic. The major concerns of patients were the frequency of recurrences and fear of transmitting infection to partners or infants.","container-title":"Annals of Internal Medicine","DOI":"10.7326/0003-4819-98-6-958","ISSN":"0003-4819","issue":"6","journalAbbreviation":"Ann. Intern. Med.","language":"eng","note":"PMID: 6344712","page":"958-972","source":"PubMed","title":"Genital herpes simplex virus infections: clinical manifestations, course, and complications","title-short":"Genital herpes simplex virus infections","volume":"98","author":[{"family":"Corey","given":"L."},{"family":"Adams","given":"H. G."},{"family":"Brown","given":"Z. A."},{"family":"Holmes","given":"K. K."}],"issued":{"date-parts":[["1983",6]]}}}],"schema":"https://github.com/citation-style-language/schema/raw/master/csl-citation.json"}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[14]</w:t>
            </w:r>
            <w:r w:rsidRPr="001F1C09">
              <w:rPr>
                <w:rFonts w:ascii="Arial" w:hAnsi="Arial" w:cs="Arial"/>
                <w:i/>
                <w:sz w:val="20"/>
                <w:szCs w:val="20"/>
              </w:rPr>
              <w:fldChar w:fldCharType="end"/>
            </w:r>
          </w:p>
        </w:tc>
      </w:tr>
      <w:tr w:rsidR="003F7254" w:rsidRPr="001F1C09" w14:paraId="26D25B01" w14:textId="77777777" w:rsidTr="00301412">
        <w:trPr>
          <w:trHeight w:val="246"/>
          <w:jc w:val="center"/>
        </w:trPr>
        <w:tc>
          <w:tcPr>
            <w:tcW w:w="3865" w:type="dxa"/>
          </w:tcPr>
          <w:p w14:paraId="2B2B5D5D" w14:textId="77777777" w:rsidR="003F7254" w:rsidRPr="001F1C09" w:rsidRDefault="003F7254" w:rsidP="00301412">
            <w:pPr>
              <w:rPr>
                <w:rFonts w:ascii="Arial" w:hAnsi="Arial" w:cs="Arial"/>
                <w:i/>
                <w:sz w:val="20"/>
                <w:szCs w:val="20"/>
              </w:rPr>
            </w:pPr>
            <w:r w:rsidRPr="001F1C09">
              <w:rPr>
                <w:rFonts w:ascii="Arial" w:hAnsi="Arial" w:cs="Arial"/>
                <w:i/>
                <w:sz w:val="20"/>
                <w:szCs w:val="20"/>
              </w:rPr>
              <w:t xml:space="preserve">   </w:t>
            </w:r>
          </w:p>
          <w:p w14:paraId="39A98570"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Duration of a recurrent episode in an established infection (1- 9 years)</w:t>
            </w:r>
          </w:p>
          <w:p w14:paraId="3770EC8F" w14:textId="77777777" w:rsidR="003F7254" w:rsidRPr="001F1C09" w:rsidRDefault="003F7254" w:rsidP="00301412">
            <w:pPr>
              <w:rPr>
                <w:rFonts w:ascii="Arial" w:hAnsi="Arial" w:cs="Arial"/>
                <w:i/>
                <w:sz w:val="20"/>
                <w:szCs w:val="20"/>
              </w:rPr>
            </w:pPr>
          </w:p>
        </w:tc>
        <w:tc>
          <w:tcPr>
            <w:tcW w:w="2885" w:type="dxa"/>
          </w:tcPr>
          <w:p w14:paraId="022FFFBF" w14:textId="77777777" w:rsidR="003F7254" w:rsidRPr="001F1C09" w:rsidRDefault="003F7254" w:rsidP="00301412">
            <w:pPr>
              <w:jc w:val="center"/>
              <w:rPr>
                <w:rFonts w:ascii="Arial" w:hAnsi="Arial" w:cs="Arial"/>
                <w:i/>
                <w:sz w:val="20"/>
                <w:szCs w:val="20"/>
              </w:rPr>
            </w:pPr>
          </w:p>
          <w:p w14:paraId="0672F50B"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7.2 days (95%CI 1, 23)</w:t>
            </w:r>
          </w:p>
        </w:tc>
        <w:tc>
          <w:tcPr>
            <w:tcW w:w="1620" w:type="dxa"/>
          </w:tcPr>
          <w:p w14:paraId="032F5263" w14:textId="77777777" w:rsidR="003F7254" w:rsidRPr="001F1C09" w:rsidRDefault="003F7254" w:rsidP="00301412">
            <w:pPr>
              <w:rPr>
                <w:rFonts w:ascii="Arial" w:hAnsi="Arial" w:cs="Arial"/>
                <w:i/>
                <w:sz w:val="20"/>
                <w:szCs w:val="20"/>
              </w:rPr>
            </w:pPr>
          </w:p>
          <w:p w14:paraId="49784A97" w14:textId="2D996B8E" w:rsidR="003F7254" w:rsidRPr="001F1C09" w:rsidRDefault="003F7254" w:rsidP="00301412">
            <w:pPr>
              <w:rPr>
                <w:rFonts w:ascii="Arial" w:hAnsi="Arial" w:cs="Arial"/>
                <w:i/>
                <w:sz w:val="20"/>
                <w:szCs w:val="20"/>
              </w:rPr>
            </w:pPr>
            <w:r w:rsidRPr="001F1C09">
              <w:rPr>
                <w:rFonts w:ascii="Arial" w:hAnsi="Arial" w:cs="Arial"/>
                <w:i/>
                <w:sz w:val="20"/>
                <w:szCs w:val="20"/>
              </w:rPr>
              <w:t>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{"citationID":"BmxR9vbL","properties":{"formattedCitation":"[14]","plainCitation":"[14]","noteIndex":0},"citationItems":[{"id":27231,"uris":["http://zotero.org/users/local/p8g0WsVO/items/D2CLAHU9"],"itemData":{"id":27231,"type":"article-journal","abstract":"The clinical course and complications of 268 patients with first episodes and 362 with recurrent episodes of genital herpes infection were reviewed. Symptoms of genital herpes were more severe in women than in men. Primary first-episode genital herpes was accompanied by systemic symptoms (67%), local pain and itching (98%), dysuria (63%), and tender adenopathy (80%). Patients presented with several bilaterally distributed postular ulcerative lesions that lasted a mean of 19.0 days. Herpes simplex virus was isolated from the urethra, cervix, and pharynx of 82%, 88%, and 13% of women with first-episode primary genital herpes, and the urethra and pharynx of 28% and 7% of men. Complications included aseptic meningitis (8%), sacral autonomic nervous system dysfunction (2%), development of extragenital lesions (20%), and secondary yeast infections (11%). Recurrent episodes were characterized by small vesicular or ulcerative unilaterally distributed lesions that lasted a mean of 10.1 days. Systemic symptoms were uncommon and 25% of recurrent episodes were asymptomatic. The major concerns of patients were the frequency of recurrences and fear of transmitting infection to partners or infants.","container-title":"Annals of Internal Medicine","DOI":"10.7326/0003-4819-98-6-958","ISSN":"0003-4819","issue":"6","journalAbbreviation":"Ann. Intern. Med.","language":"eng","note":"PMID: 6344712","page":"958-972","source":"PubMed","title":"Genital herpes simplex virus infections: clinical manifestations, course, and complications","title-short":"Genital herpes simplex virus infections","volume":"98","author":[{"family":"Corey","given":"L."},{"family":"Adams","given":"H. G."},{"family":"Brown","given":"Z. A."},{"family":"Holmes","given":"K. K."}],"issued":{"date-parts":[["1983",6]]}}}],"schema":"https://github.com/citation-style-language/schema/raw/master/csl-citation.json"}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[14]</w:t>
            </w:r>
            <w:r w:rsidRPr="001F1C09">
              <w:rPr>
                <w:rFonts w:ascii="Arial" w:hAnsi="Arial" w:cs="Arial"/>
                <w:i/>
                <w:sz w:val="20"/>
                <w:szCs w:val="20"/>
              </w:rPr>
              <w:fldChar w:fldCharType="end"/>
            </w:r>
          </w:p>
        </w:tc>
      </w:tr>
      <w:tr w:rsidR="003F7254" w:rsidRPr="001F1C09" w14:paraId="4AD7353D" w14:textId="77777777" w:rsidTr="00301412">
        <w:trPr>
          <w:trHeight w:val="246"/>
          <w:jc w:val="center"/>
        </w:trPr>
        <w:tc>
          <w:tcPr>
            <w:tcW w:w="3865" w:type="dxa"/>
          </w:tcPr>
          <w:p w14:paraId="6EF9F846" w14:textId="6B7BEB94" w:rsidR="003F7254" w:rsidRPr="001F1C09" w:rsidRDefault="003F7254" w:rsidP="00301412">
            <w:pPr>
              <w:ind w:left="720"/>
              <w:rPr>
                <w:rFonts w:ascii="Arial" w:hAnsi="Arial" w:cs="Arial"/>
                <w:i/>
                <w:sz w:val="20"/>
                <w:szCs w:val="20"/>
              </w:rPr>
            </w:pPr>
            <w:r w:rsidRPr="001F1C09">
              <w:rPr>
                <w:rFonts w:ascii="Arial" w:hAnsi="Arial" w:cs="Arial"/>
                <w:i/>
                <w:sz w:val="20"/>
                <w:szCs w:val="20"/>
              </w:rPr>
              <w:t>Duration of a recurrent episode in an established infection (&gt;10 years)</w:t>
            </w:r>
            <w:r w:rsidR="00772E19">
              <w:rPr>
                <w:rFonts w:ascii="Arial" w:hAnsi="Arial" w:cs="Arial"/>
                <w:i/>
                <w:sz w:val="20"/>
                <w:szCs w:val="20"/>
              </w:rPr>
              <w:t xml:space="preserve"> in the absence of antiviral therapy</w:t>
            </w:r>
          </w:p>
          <w:p w14:paraId="06B67724" w14:textId="77777777" w:rsidR="003F7254" w:rsidRPr="001F1C09" w:rsidRDefault="003F7254" w:rsidP="00301412">
            <w:pPr>
              <w:rPr>
                <w:rFonts w:ascii="Arial" w:hAnsi="Arial" w:cs="Arial"/>
                <w:i/>
                <w:sz w:val="20"/>
                <w:szCs w:val="20"/>
              </w:rPr>
            </w:pPr>
          </w:p>
        </w:tc>
        <w:tc>
          <w:tcPr>
            <w:tcW w:w="2885" w:type="dxa"/>
          </w:tcPr>
          <w:p w14:paraId="21054E29"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6.5 days (95%CI 1, 24)</w:t>
            </w:r>
          </w:p>
        </w:tc>
        <w:tc>
          <w:tcPr>
            <w:tcW w:w="1620" w:type="dxa"/>
          </w:tcPr>
          <w:p w14:paraId="63944991" w14:textId="37E4FDA8" w:rsidR="003F7254" w:rsidRPr="001F1C09" w:rsidRDefault="003F7254" w:rsidP="00301412">
            <w:pPr>
              <w:rPr>
                <w:rFonts w:ascii="Arial" w:hAnsi="Arial" w:cs="Arial"/>
                <w:i/>
                <w:color w:val="000000" w:themeColor="text1"/>
                <w:sz w:val="20"/>
                <w:szCs w:val="20"/>
              </w:rPr>
            </w:pPr>
            <w:r w:rsidRPr="001F1C09">
              <w:rPr>
                <w:rFonts w:ascii="Arial" w:hAnsi="Arial" w:cs="Arial"/>
                <w:i/>
                <w:sz w:val="20"/>
                <w:szCs w:val="20"/>
              </w:rPr>
              <w:t>Corey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{"citationID":"nqXHVr88","properties":{"formattedCitation":"[14]","plainCitation":"[14]","noteIndex":0},"citationItems":[{"id":27231,"uris":["http://zotero.org/users/local/p8g0WsVO/items/D2CLAHU9"],"itemData":{"id":27231,"type":"article-journal","abstract":"The clinical course and complications of 268 patients with first episodes and 362 with recurrent episodes of genital herpes infection were reviewed. Symptoms of genital herpes were more severe in women than in men. Primary first-episode genital herpes was accompanied by systemic symptoms (67%), local pain and itching (98%), dysuria (63%), and tender adenopathy (80%). Patients presented with several bilaterally distributed postular ulcerative lesions that lasted a mean of 19.0 days. Herpes simplex virus was isolated from the urethra, cervix, and pharynx of 82%, 88%, and 13% of women with first-episode primary genital herpes, and the urethra and pharynx of 28% and 7% of men. Complications included aseptic meningitis (8%), sacral autonomic nervous system dysfunction (2%), development of extragenital lesions (20%), and secondary yeast infections (11%). Recurrent episodes were characterized by small vesicular or ulcerative unilaterally distributed lesions that lasted a mean of 10.1 days. Systemic symptoms were uncommon and 25% of recurrent episodes were asymptomatic. The major concerns of patients were the frequency of recurrences and fear of transmitting infection to partners or infants.","container-title":"Annals of Internal Medicine","DOI":"10.7326/0003-4819-98-6-958","ISSN":"0003-4819","issue":"6","journalAbbreviation":"Ann. Intern. Med.","language":"eng","note":"PMID: 6344712","page":"958-972","source":"PubMed","title":"Genital herpes simplex virus infections: clinical manifestations, course, and complications","title-short":"Genital herpes simplex virus infections","volume":"98","author":[{"family":"Corey","given":"L."},{"family":"Adams","given":"H. G."},{"family":"Brown","given":"Z. A."},{"family":"Holmes","given":"K. K."}],"issued":{"date-parts":[["1983",6]]}}}],"schema":"https://github.com/citation-style-language/schema/raw/master/csl-citation.json"}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[14]</w:t>
            </w:r>
            <w:r w:rsidRPr="001F1C09">
              <w:rPr>
                <w:rFonts w:ascii="Arial" w:hAnsi="Arial" w:cs="Arial"/>
                <w:i/>
                <w:sz w:val="20"/>
                <w:szCs w:val="20"/>
              </w:rPr>
              <w:fldChar w:fldCharType="end"/>
            </w:r>
          </w:p>
        </w:tc>
      </w:tr>
      <w:tr w:rsidR="003F7254" w:rsidRPr="001F1C09" w14:paraId="2C2B85FE" w14:textId="77777777" w:rsidTr="00301412">
        <w:trPr>
          <w:trHeight w:val="246"/>
          <w:jc w:val="center"/>
        </w:trPr>
        <w:tc>
          <w:tcPr>
            <w:tcW w:w="3865" w:type="dxa"/>
          </w:tcPr>
          <w:p w14:paraId="3D223EC6"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Percent of recently acquired and established infections where recurrences are within the mean</w:t>
            </w:r>
          </w:p>
        </w:tc>
        <w:tc>
          <w:tcPr>
            <w:tcW w:w="2885" w:type="dxa"/>
          </w:tcPr>
          <w:p w14:paraId="65CF150F" w14:textId="4EDB6CE2" w:rsidR="003F7254" w:rsidRPr="001F1C09" w:rsidRDefault="003F7254" w:rsidP="00301412">
            <w:pPr>
              <w:jc w:val="center"/>
              <w:rPr>
                <w:rFonts w:ascii="Arial" w:hAnsi="Arial" w:cs="Arial"/>
                <w:i/>
                <w:sz w:val="20"/>
                <w:szCs w:val="20"/>
              </w:rPr>
            </w:pPr>
            <w:r w:rsidRPr="001F1C09">
              <w:rPr>
                <w:rFonts w:ascii="Arial" w:hAnsi="Arial" w:cs="Arial"/>
                <w:i/>
                <w:sz w:val="20"/>
                <w:szCs w:val="20"/>
              </w:rPr>
              <w:t>74.83%</w:t>
            </w:r>
            <w:r w:rsidR="00B06A78">
              <w:rPr>
                <w:rFonts w:ascii="Arial" w:hAnsi="Arial" w:cs="Arial"/>
                <w:i/>
                <w:sz w:val="20"/>
                <w:szCs w:val="20"/>
              </w:rPr>
              <w:t xml:space="preserve"> (56.12%, 93.54%)</w:t>
            </w:r>
          </w:p>
        </w:tc>
        <w:tc>
          <w:tcPr>
            <w:tcW w:w="1620" w:type="dxa"/>
          </w:tcPr>
          <w:p w14:paraId="5467C633" w14:textId="26A1EFC4" w:rsidR="003F7254" w:rsidRPr="001F1C09" w:rsidRDefault="003F7254" w:rsidP="00301412">
            <w:pPr>
              <w:rPr>
                <w:rFonts w:ascii="Arial" w:hAnsi="Arial" w:cs="Arial"/>
                <w:color w:val="000000" w:themeColor="text1"/>
                <w:sz w:val="20"/>
                <w:szCs w:val="20"/>
              </w:rPr>
            </w:pPr>
            <w:r w:rsidRPr="001F1C09">
              <w:rPr>
                <w:rFonts w:ascii="Arial" w:hAnsi="Arial" w:cs="Arial"/>
                <w:i/>
                <w:sz w:val="20"/>
                <w:szCs w:val="20"/>
              </w:rPr>
              <w:t>Patel et al.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{"citationID":"M3J1zsIi","properties":{"formattedCitation":"[14]","plainCitation":"[14]","noteIndex":0},"citationItems":[{"id":27231,"uris":["http://zotero.org/users/local/p8g0WsVO/items/D2CLAHU9"],"itemData":{"id":27231,"type":"article-journal","abstract":"The clinical course and complications of 268 patients with first episodes and 362 with recurrent episodes of genital herpes infection were reviewed. Symptoms of genital herpes were more severe in women than in men. Primary first-episode genital herpes was accompanied by systemic symptoms (67%), local pain and itching (98%), dysuria (63%), and tender adenopathy (80%). Patients presented with several bilaterally distributed postular ulcerative lesions that lasted a mean of 19.0 days. Herpes simplex virus was isolated from the urethra, cervix, and pharynx of 82%, 88%, and 13% of women with first-episode primary genital herpes, and the urethra and pharynx of 28% and 7% of men. Complications included aseptic meningitis (8%), sacral autonomic nervous system dysfunction (2%), development of extragenital lesions (20%), and secondary yeast infections (11%). Recurrent episodes were characterized by small vesicular or ulcerative unilaterally distributed lesions that lasted a mean of 10.1 days. Systemic symptoms were uncommon and 25% of recurrent episodes were asymptomatic. The major concerns of patients were the frequency of recurrences and fear of transmitting infection to partners or infants.","container-title":"Annals of Internal Medicine","DOI":"10.7326/0003-4819-98-6-958","ISSN":"0003-4819","issue":"6","journalAbbreviation":"Ann. Intern. Med.","language":"eng","note":"PMID: 6344712","page":"958-972","source":"PubMed","title":"Genital herpes simplex virus infections: clinical manifestations, course, and complications","title-short":"Genital herpes simplex virus infections","volume":"98","author":[{"family":"Corey","given":"L."},{"family":"Adams","given":"H. G."},{"family":"Brown","given":"Z. A."},{"family":"Holmes","given":"K. K."}],"issued":{"date-parts":[["1983",6]]}}}],"schema":"https://github.com/citation-style-language/schema/raw/master/csl-citation.json"}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[14]</w:t>
            </w:r>
            <w:r w:rsidRPr="001F1C09">
              <w:rPr>
                <w:rFonts w:ascii="Arial" w:hAnsi="Arial" w:cs="Arial"/>
                <w:i/>
                <w:sz w:val="20"/>
                <w:szCs w:val="20"/>
              </w:rPr>
              <w:fldChar w:fldCharType="end"/>
            </w:r>
          </w:p>
        </w:tc>
      </w:tr>
      <w:tr w:rsidR="003F7254" w:rsidRPr="001F1C09" w14:paraId="63E216D1" w14:textId="77777777" w:rsidTr="00301412">
        <w:trPr>
          <w:trHeight w:val="246"/>
          <w:jc w:val="center"/>
        </w:trPr>
        <w:tc>
          <w:tcPr>
            <w:tcW w:w="3865" w:type="dxa"/>
          </w:tcPr>
          <w:p w14:paraId="1CC03798" w14:textId="77777777" w:rsidR="003F7254" w:rsidRPr="001F1C09" w:rsidRDefault="003F7254" w:rsidP="00301412">
            <w:pPr>
              <w:rPr>
                <w:rFonts w:ascii="Arial" w:hAnsi="Arial" w:cs="Arial"/>
                <w:i/>
                <w:sz w:val="20"/>
                <w:szCs w:val="20"/>
              </w:rPr>
            </w:pPr>
            <w:r w:rsidRPr="001F1C09">
              <w:rPr>
                <w:rFonts w:ascii="Arial" w:hAnsi="Arial" w:cs="Arial"/>
                <w:i/>
                <w:sz w:val="20"/>
                <w:szCs w:val="20"/>
              </w:rPr>
              <w:t xml:space="preserve">   </w:t>
            </w:r>
          </w:p>
          <w:p w14:paraId="15217F4A"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Percent of recently acquired and established infections where recurrences exceed the mean (frequent recurrences)</w:t>
            </w:r>
          </w:p>
          <w:p w14:paraId="411CEEC8" w14:textId="77777777" w:rsidR="003F7254" w:rsidRPr="001F1C09" w:rsidRDefault="003F7254" w:rsidP="00301412">
            <w:pPr>
              <w:rPr>
                <w:rFonts w:ascii="Arial" w:hAnsi="Arial" w:cs="Arial"/>
                <w:i/>
                <w:sz w:val="20"/>
                <w:szCs w:val="20"/>
              </w:rPr>
            </w:pPr>
          </w:p>
        </w:tc>
        <w:tc>
          <w:tcPr>
            <w:tcW w:w="2885" w:type="dxa"/>
          </w:tcPr>
          <w:p w14:paraId="0E0151A4" w14:textId="77777777" w:rsidR="003F7254" w:rsidRPr="001F1C09" w:rsidRDefault="003F7254" w:rsidP="00301412">
            <w:pPr>
              <w:jc w:val="center"/>
              <w:rPr>
                <w:rFonts w:ascii="Arial" w:hAnsi="Arial" w:cs="Arial"/>
                <w:i/>
                <w:sz w:val="20"/>
                <w:szCs w:val="20"/>
              </w:rPr>
            </w:pPr>
          </w:p>
          <w:p w14:paraId="63A5B207" w14:textId="023927C6" w:rsidR="003F7254" w:rsidRPr="001F1C09" w:rsidRDefault="003F7254" w:rsidP="00301412">
            <w:pPr>
              <w:jc w:val="center"/>
              <w:rPr>
                <w:rFonts w:ascii="Arial" w:hAnsi="Arial" w:cs="Arial"/>
                <w:i/>
                <w:sz w:val="20"/>
                <w:szCs w:val="20"/>
              </w:rPr>
            </w:pPr>
            <w:r w:rsidRPr="001F1C09">
              <w:rPr>
                <w:rFonts w:ascii="Arial" w:hAnsi="Arial" w:cs="Arial"/>
                <w:i/>
                <w:sz w:val="20"/>
                <w:szCs w:val="20"/>
              </w:rPr>
              <w:t>25.17%</w:t>
            </w:r>
            <w:r w:rsidR="00B06A78">
              <w:rPr>
                <w:rFonts w:ascii="Arial" w:hAnsi="Arial" w:cs="Arial"/>
                <w:i/>
                <w:sz w:val="20"/>
                <w:szCs w:val="20"/>
              </w:rPr>
              <w:t xml:space="preserve"> (18.88%, 31.46%)</w:t>
            </w:r>
          </w:p>
        </w:tc>
        <w:tc>
          <w:tcPr>
            <w:tcW w:w="1620" w:type="dxa"/>
          </w:tcPr>
          <w:p w14:paraId="66ABB23F" w14:textId="77777777" w:rsidR="003F7254" w:rsidRPr="001F1C09" w:rsidRDefault="003F7254" w:rsidP="00301412">
            <w:pPr>
              <w:rPr>
                <w:rFonts w:ascii="Arial" w:hAnsi="Arial" w:cs="Arial"/>
                <w:i/>
                <w:sz w:val="20"/>
                <w:szCs w:val="20"/>
              </w:rPr>
            </w:pPr>
            <w:r w:rsidRPr="001F1C09">
              <w:rPr>
                <w:rFonts w:ascii="Arial" w:hAnsi="Arial" w:cs="Arial"/>
                <w:i/>
                <w:sz w:val="20"/>
                <w:szCs w:val="20"/>
              </w:rPr>
              <w:t xml:space="preserve">Patel et. al. </w:t>
            </w:r>
          </w:p>
        </w:tc>
      </w:tr>
      <w:tr w:rsidR="003F7254" w:rsidRPr="001F1C09" w14:paraId="4162B971" w14:textId="77777777" w:rsidTr="00301412">
        <w:trPr>
          <w:trHeight w:val="246"/>
          <w:jc w:val="center"/>
        </w:trPr>
        <w:tc>
          <w:tcPr>
            <w:tcW w:w="3865" w:type="dxa"/>
          </w:tcPr>
          <w:p w14:paraId="73923A65"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Average number of workdays lost in preceding 3 months due to recurrences within the mean</w:t>
            </w:r>
          </w:p>
        </w:tc>
        <w:tc>
          <w:tcPr>
            <w:tcW w:w="2885" w:type="dxa"/>
          </w:tcPr>
          <w:p w14:paraId="4BD7392A"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0.4 days (0-21)</w:t>
            </w:r>
          </w:p>
        </w:tc>
        <w:tc>
          <w:tcPr>
            <w:tcW w:w="1620" w:type="dxa"/>
          </w:tcPr>
          <w:p w14:paraId="1AB8DF7F" w14:textId="65923115" w:rsidR="003F7254" w:rsidRPr="001F1C09" w:rsidRDefault="003F7254" w:rsidP="00301412">
            <w:pPr>
              <w:rPr>
                <w:rFonts w:ascii="Arial" w:hAnsi="Arial" w:cs="Arial"/>
                <w:i/>
                <w:sz w:val="20"/>
                <w:szCs w:val="20"/>
              </w:rPr>
            </w:pPr>
            <w:r w:rsidRPr="001F1C09">
              <w:rPr>
                <w:rFonts w:ascii="Arial" w:hAnsi="Arial" w:cs="Arial"/>
                <w:i/>
                <w:sz w:val="20"/>
                <w:szCs w:val="20"/>
              </w:rPr>
              <w:t>Patel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{"citationID":"vnAadEQH","properties":{"formattedCitation":"[12]","plainCitation":"[12]","noteIndex":0},"citationItems":[{"id":26779,"uris":["http://zotero.org/users/local/p8g0WsVO/items/SLHN6IIC"],"itemData":{"id":26779,"type":"article-journal","abstract":"OBJECTIVE: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[12]</w:t>
            </w:r>
            <w:r w:rsidRPr="001F1C09">
              <w:rPr>
                <w:rFonts w:ascii="Arial" w:hAnsi="Arial" w:cs="Arial"/>
                <w:i/>
                <w:sz w:val="20"/>
                <w:szCs w:val="20"/>
              </w:rPr>
              <w:fldChar w:fldCharType="end"/>
            </w:r>
          </w:p>
        </w:tc>
      </w:tr>
      <w:tr w:rsidR="003F7254" w:rsidRPr="001F1C09" w14:paraId="40506AEC" w14:textId="77777777" w:rsidTr="00301412">
        <w:trPr>
          <w:trHeight w:val="246"/>
          <w:jc w:val="center"/>
        </w:trPr>
        <w:tc>
          <w:tcPr>
            <w:tcW w:w="3865" w:type="dxa"/>
          </w:tcPr>
          <w:p w14:paraId="037107A2" w14:textId="77777777" w:rsidR="003F7254" w:rsidRPr="001F1C09" w:rsidRDefault="003F7254" w:rsidP="00301412">
            <w:pPr>
              <w:ind w:left="163"/>
              <w:rPr>
                <w:rFonts w:ascii="Arial" w:hAnsi="Arial" w:cs="Arial"/>
                <w:i/>
                <w:sz w:val="20"/>
                <w:szCs w:val="20"/>
              </w:rPr>
            </w:pPr>
          </w:p>
          <w:p w14:paraId="223E94B1" w14:textId="77777777" w:rsidR="003F7254" w:rsidRPr="001F1C09" w:rsidRDefault="003F7254" w:rsidP="00301412">
            <w:pPr>
              <w:ind w:left="720"/>
              <w:rPr>
                <w:rFonts w:ascii="Arial" w:hAnsi="Arial" w:cs="Arial"/>
                <w:i/>
                <w:sz w:val="20"/>
                <w:szCs w:val="20"/>
              </w:rPr>
            </w:pPr>
            <w:r w:rsidRPr="001F1C09">
              <w:rPr>
                <w:rFonts w:ascii="Arial" w:hAnsi="Arial" w:cs="Arial"/>
                <w:i/>
                <w:sz w:val="20"/>
                <w:szCs w:val="20"/>
              </w:rPr>
              <w:t>Average number of workdays lost in preceding 3 months due to recurrences exceeding the mean</w:t>
            </w:r>
          </w:p>
          <w:p w14:paraId="55DAFEAD" w14:textId="77777777" w:rsidR="003F7254" w:rsidRPr="001F1C09" w:rsidRDefault="003F7254" w:rsidP="00301412">
            <w:pPr>
              <w:ind w:left="163"/>
              <w:rPr>
                <w:rFonts w:ascii="Arial" w:hAnsi="Arial" w:cs="Arial"/>
                <w:i/>
                <w:sz w:val="20"/>
                <w:szCs w:val="20"/>
              </w:rPr>
            </w:pPr>
          </w:p>
        </w:tc>
        <w:tc>
          <w:tcPr>
            <w:tcW w:w="2885" w:type="dxa"/>
          </w:tcPr>
          <w:p w14:paraId="4D690B6A" w14:textId="77777777" w:rsidR="003F7254" w:rsidRPr="001F1C09" w:rsidRDefault="003F7254" w:rsidP="00301412">
            <w:pPr>
              <w:jc w:val="center"/>
              <w:rPr>
                <w:rFonts w:ascii="Arial" w:hAnsi="Arial" w:cs="Arial"/>
                <w:i/>
                <w:sz w:val="20"/>
                <w:szCs w:val="20"/>
              </w:rPr>
            </w:pPr>
            <w:r w:rsidRPr="001F1C09">
              <w:rPr>
                <w:rFonts w:ascii="Arial" w:hAnsi="Arial" w:cs="Arial"/>
                <w:i/>
                <w:sz w:val="20"/>
                <w:szCs w:val="20"/>
              </w:rPr>
              <w:t>0.8 days (0-21)</w:t>
            </w:r>
          </w:p>
        </w:tc>
        <w:tc>
          <w:tcPr>
            <w:tcW w:w="1620" w:type="dxa"/>
          </w:tcPr>
          <w:p w14:paraId="51E7AFCF" w14:textId="7B221381" w:rsidR="003F7254" w:rsidRPr="001F1C09" w:rsidRDefault="003F7254" w:rsidP="00301412">
            <w:pPr>
              <w:rPr>
                <w:rFonts w:ascii="Arial" w:hAnsi="Arial" w:cs="Arial"/>
                <w:i/>
                <w:sz w:val="20"/>
                <w:szCs w:val="20"/>
              </w:rPr>
            </w:pPr>
            <w:r w:rsidRPr="001F1C09">
              <w:rPr>
                <w:rFonts w:ascii="Arial" w:hAnsi="Arial" w:cs="Arial"/>
                <w:i/>
                <w:sz w:val="20"/>
                <w:szCs w:val="20"/>
              </w:rPr>
              <w:t>Patel</w:t>
            </w:r>
            <w:r w:rsidRPr="001F1C09">
              <w:rPr>
                <w:rFonts w:ascii="Arial" w:hAnsi="Arial" w:cs="Arial"/>
                <w:i/>
                <w:sz w:val="20"/>
                <w:szCs w:val="20"/>
              </w:rPr>
              <w:fldChar w:fldCharType="begin"/>
            </w:r>
            <w:r w:rsidR="0081559F">
              <w:rPr>
                <w:rFonts w:ascii="Arial" w:hAnsi="Arial" w:cs="Arial"/>
                <w:i/>
                <w:sz w:val="20"/>
                <w:szCs w:val="20"/>
              </w:rPr>
              <w:instrText xml:space="preserve"> ADDIN ZOTERO_ITEM CSL_CITATION {"citationID":"I2sOYf2E","properties":{"formattedCitation":"[12]","plainCitation":"[12]","noteIndex":0},"citationItems":[{"id":26779,"uris":["http://zotero.org/users/local/p8g0WsVO/items/SLHN6IIC"],"itemData":{"id":26779,"type":"article-journal","abstract":"OBJECTIVE: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1F1C09">
              <w:rPr>
                <w:rFonts w:ascii="Arial" w:hAnsi="Arial" w:cs="Arial"/>
                <w:i/>
                <w:sz w:val="20"/>
                <w:szCs w:val="20"/>
              </w:rPr>
              <w:fldChar w:fldCharType="separate"/>
            </w:r>
            <w:r w:rsidR="0081559F">
              <w:rPr>
                <w:rFonts w:ascii="Arial" w:hAnsi="Arial" w:cs="Arial"/>
                <w:sz w:val="20"/>
              </w:rPr>
              <w:t>[12]</w:t>
            </w:r>
            <w:r w:rsidRPr="001F1C09">
              <w:rPr>
                <w:rFonts w:ascii="Arial" w:hAnsi="Arial" w:cs="Arial"/>
                <w:i/>
                <w:sz w:val="20"/>
                <w:szCs w:val="20"/>
              </w:rPr>
              <w:fldChar w:fldCharType="end"/>
            </w:r>
          </w:p>
        </w:tc>
      </w:tr>
    </w:tbl>
    <w:p w14:paraId="3D0DA5E4" w14:textId="77777777" w:rsidR="003F7254" w:rsidRDefault="003F7254" w:rsidP="001F1C09">
      <w:pPr>
        <w:ind w:left="720"/>
        <w:rPr>
          <w:rFonts w:ascii="Arial" w:hAnsi="Arial" w:cs="Arial"/>
          <w:sz w:val="22"/>
          <w:szCs w:val="22"/>
        </w:rPr>
      </w:pPr>
    </w:p>
    <w:p w14:paraId="4E7FA2CF" w14:textId="0F78A7A9" w:rsidR="00EC4166" w:rsidRPr="005B02EE" w:rsidRDefault="004A129C" w:rsidP="001F1C09">
      <w:pPr>
        <w:pStyle w:val="Heading3"/>
        <w:ind w:left="360"/>
        <w:rPr>
          <w:rFonts w:ascii="Arial" w:hAnsi="Arial" w:cs="Arial"/>
        </w:rPr>
      </w:pPr>
      <w:bookmarkStart w:id="14" w:name="_Toc64459914"/>
      <w:bookmarkStart w:id="15" w:name="_Toc81857620"/>
      <w:r w:rsidRPr="005B02EE">
        <w:rPr>
          <w:rFonts w:ascii="Arial" w:hAnsi="Arial" w:cs="Arial"/>
        </w:rPr>
        <w:t>C</w:t>
      </w:r>
      <w:r w:rsidR="00EC4166" w:rsidRPr="005B02EE">
        <w:rPr>
          <w:rFonts w:ascii="Arial" w:hAnsi="Arial" w:cs="Arial"/>
        </w:rPr>
        <w:t>. Treatment</w:t>
      </w:r>
      <w:r w:rsidR="00E84CA7" w:rsidRPr="005B02EE">
        <w:rPr>
          <w:rFonts w:ascii="Arial" w:hAnsi="Arial" w:cs="Arial"/>
        </w:rPr>
        <w:t xml:space="preserve"> Costs</w:t>
      </w:r>
      <w:bookmarkEnd w:id="14"/>
      <w:bookmarkEnd w:id="15"/>
    </w:p>
    <w:p w14:paraId="1195B811" w14:textId="77777777" w:rsidR="00EC4166" w:rsidRPr="00EC4166" w:rsidRDefault="00EC4166" w:rsidP="001F1C09">
      <w:pPr>
        <w:pStyle w:val="Heading3"/>
        <w:ind w:left="360"/>
        <w:rPr>
          <w:rFonts w:ascii="Arial" w:hAnsi="Arial" w:cs="Arial"/>
          <w:sz w:val="22"/>
          <w:szCs w:val="22"/>
        </w:rPr>
      </w:pPr>
    </w:p>
    <w:p w14:paraId="27F27236" w14:textId="083A6322" w:rsidR="00196965" w:rsidRPr="001F1C09" w:rsidRDefault="00807B8A" w:rsidP="001F1C09">
      <w:pPr>
        <w:pStyle w:val="Heading4"/>
        <w:numPr>
          <w:ilvl w:val="0"/>
          <w:numId w:val="13"/>
        </w:numPr>
        <w:ind w:left="1080"/>
        <w:rPr>
          <w:rFonts w:ascii="Arial" w:hAnsi="Arial" w:cs="Arial"/>
          <w:color w:val="000000" w:themeColor="text1"/>
          <w:sz w:val="22"/>
          <w:szCs w:val="22"/>
        </w:rPr>
      </w:pPr>
      <w:r w:rsidRPr="001F1C09">
        <w:rPr>
          <w:rFonts w:ascii="Arial" w:hAnsi="Arial" w:cs="Arial"/>
          <w:color w:val="000000" w:themeColor="text1"/>
          <w:sz w:val="22"/>
          <w:szCs w:val="22"/>
        </w:rPr>
        <w:t>Treatment Regimen</w:t>
      </w:r>
      <w:r w:rsidR="006A0C17" w:rsidRPr="001F1C09">
        <w:rPr>
          <w:rFonts w:ascii="Arial" w:hAnsi="Arial" w:cs="Arial"/>
          <w:color w:val="000000" w:themeColor="text1"/>
          <w:sz w:val="22"/>
          <w:szCs w:val="22"/>
        </w:rPr>
        <w:t>s</w:t>
      </w:r>
    </w:p>
    <w:p w14:paraId="5C9F2929" w14:textId="3B566BAA" w:rsidR="00F7694B" w:rsidRDefault="00F7694B" w:rsidP="001F1C09">
      <w:pPr>
        <w:ind w:left="360"/>
      </w:pPr>
    </w:p>
    <w:p w14:paraId="7D6D228F" w14:textId="154E9B8A" w:rsidR="00824149" w:rsidRPr="009F0EC0" w:rsidRDefault="00824149" w:rsidP="001F1C09">
      <w:pPr>
        <w:ind w:left="720"/>
        <w:jc w:val="both"/>
        <w:rPr>
          <w:rFonts w:ascii="Arial" w:hAnsi="Arial" w:cs="Arial"/>
          <w:sz w:val="22"/>
          <w:szCs w:val="22"/>
        </w:rPr>
      </w:pPr>
      <w:r w:rsidRPr="009F0EC0">
        <w:rPr>
          <w:rFonts w:ascii="Arial" w:hAnsi="Arial" w:cs="Arial"/>
          <w:sz w:val="22"/>
          <w:szCs w:val="22"/>
        </w:rPr>
        <w:t xml:space="preserve">For </w:t>
      </w:r>
      <w:r w:rsidR="00DD108C" w:rsidRPr="009F0EC0">
        <w:rPr>
          <w:rFonts w:ascii="Arial" w:hAnsi="Arial" w:cs="Arial"/>
          <w:sz w:val="22"/>
          <w:szCs w:val="22"/>
        </w:rPr>
        <w:t xml:space="preserve">the first clinical episode of GUD, we assumed that the recommendation was for a standard dose of acyclovir over valacyclovir or famciclovir. </w:t>
      </w:r>
      <w:r w:rsidR="00A24351" w:rsidRPr="009F0EC0">
        <w:rPr>
          <w:rFonts w:ascii="Arial" w:hAnsi="Arial" w:cs="Arial"/>
          <w:sz w:val="22"/>
          <w:szCs w:val="22"/>
        </w:rPr>
        <w:t xml:space="preserve">We assumed the standard dose to be </w:t>
      </w:r>
      <w:r w:rsidR="00DD108C" w:rsidRPr="009F0EC0">
        <w:rPr>
          <w:rFonts w:ascii="Arial" w:hAnsi="Arial" w:cs="Arial"/>
          <w:sz w:val="22"/>
          <w:szCs w:val="22"/>
        </w:rPr>
        <w:t>Acyclovir 400 mg orally 3 times a day for 10 days</w:t>
      </w:r>
      <w:r w:rsidR="00A24351" w:rsidRPr="009F0EC0">
        <w:rPr>
          <w:rFonts w:ascii="Arial" w:hAnsi="Arial" w:cs="Arial"/>
          <w:sz w:val="22"/>
          <w:szCs w:val="22"/>
        </w:rPr>
        <w:t xml:space="preserve">. We additionally considered </w:t>
      </w:r>
      <w:r w:rsidR="00DD108C" w:rsidRPr="009F0EC0">
        <w:rPr>
          <w:rFonts w:ascii="Arial" w:hAnsi="Arial" w:cs="Arial"/>
          <w:sz w:val="22"/>
          <w:szCs w:val="22"/>
        </w:rPr>
        <w:t>Acyclovir 200 mg orally 5 times a day for 10 days</w:t>
      </w:r>
      <w:r w:rsidR="00A24351" w:rsidRPr="009F0EC0">
        <w:rPr>
          <w:rFonts w:ascii="Arial" w:hAnsi="Arial" w:cs="Arial"/>
          <w:sz w:val="22"/>
          <w:szCs w:val="22"/>
        </w:rPr>
        <w:t>,</w:t>
      </w:r>
      <w:r w:rsidR="00DD108C" w:rsidRPr="009F0EC0">
        <w:rPr>
          <w:rFonts w:ascii="Arial" w:hAnsi="Arial" w:cs="Arial"/>
          <w:sz w:val="22"/>
          <w:szCs w:val="22"/>
        </w:rPr>
        <w:t xml:space="preserve"> Famciclovir 250 mg orally 3 times a day for 10 days</w:t>
      </w:r>
      <w:r w:rsidR="00A24351" w:rsidRPr="009F0EC0">
        <w:rPr>
          <w:rFonts w:ascii="Arial" w:hAnsi="Arial" w:cs="Arial"/>
          <w:sz w:val="22"/>
          <w:szCs w:val="22"/>
        </w:rPr>
        <w:t xml:space="preserve"> and </w:t>
      </w:r>
      <w:r w:rsidR="00DD108C" w:rsidRPr="009F0EC0">
        <w:rPr>
          <w:rFonts w:ascii="Arial" w:hAnsi="Arial" w:cs="Arial"/>
          <w:sz w:val="22"/>
          <w:szCs w:val="22"/>
        </w:rPr>
        <w:t>Valacyclovir 500 mg orally twice a day for 10 days</w:t>
      </w:r>
      <w:r w:rsidR="00A24351" w:rsidRPr="009F0EC0">
        <w:rPr>
          <w:rFonts w:ascii="Arial" w:hAnsi="Arial" w:cs="Arial"/>
          <w:sz w:val="22"/>
          <w:szCs w:val="22"/>
        </w:rPr>
        <w:t xml:space="preserve"> (though likely not available in LMICs), as a part of </w:t>
      </w:r>
      <w:r w:rsidR="00DD108C" w:rsidRPr="009F0EC0">
        <w:rPr>
          <w:rFonts w:ascii="Arial" w:hAnsi="Arial" w:cs="Arial"/>
          <w:sz w:val="22"/>
          <w:szCs w:val="22"/>
        </w:rPr>
        <w:t>the sensitivity analysis.</w:t>
      </w:r>
      <w:r w:rsidR="00A24351" w:rsidRPr="009F0EC0">
        <w:rPr>
          <w:rFonts w:ascii="Arial" w:hAnsi="Arial" w:cs="Arial"/>
          <w:sz w:val="22"/>
          <w:szCs w:val="22"/>
        </w:rPr>
        <w:t xml:space="preserve"> </w:t>
      </w:r>
    </w:p>
    <w:p w14:paraId="3F650A93" w14:textId="2253730F" w:rsidR="00DD108C" w:rsidRPr="009F0EC0" w:rsidRDefault="00DD108C" w:rsidP="001F1C09">
      <w:pPr>
        <w:ind w:left="720"/>
        <w:jc w:val="both"/>
        <w:rPr>
          <w:rFonts w:ascii="Arial" w:hAnsi="Arial" w:cs="Arial"/>
          <w:sz w:val="22"/>
          <w:szCs w:val="22"/>
        </w:rPr>
      </w:pPr>
    </w:p>
    <w:p w14:paraId="4F8410D2" w14:textId="1ED17060" w:rsidR="00457D99" w:rsidRPr="009F0EC0" w:rsidRDefault="00DD108C" w:rsidP="001F1C09">
      <w:pPr>
        <w:ind w:left="720"/>
        <w:jc w:val="both"/>
        <w:rPr>
          <w:rFonts w:ascii="Arial" w:hAnsi="Arial" w:cs="Arial"/>
          <w:sz w:val="22"/>
          <w:szCs w:val="22"/>
        </w:rPr>
      </w:pPr>
      <w:r w:rsidRPr="009F0EC0">
        <w:rPr>
          <w:rFonts w:ascii="Arial" w:hAnsi="Arial" w:cs="Arial"/>
          <w:sz w:val="22"/>
          <w:szCs w:val="22"/>
        </w:rPr>
        <w:t xml:space="preserve">For </w:t>
      </w:r>
      <w:r w:rsidR="00DD6738" w:rsidRPr="009F0EC0">
        <w:rPr>
          <w:rFonts w:ascii="Arial" w:hAnsi="Arial" w:cs="Arial"/>
          <w:sz w:val="22"/>
          <w:szCs w:val="22"/>
        </w:rPr>
        <w:t xml:space="preserve">recurrent episodes, we assumed treatment with Acyclovir 400mg orally three times a day for 5 days, 800mg twice a day for 5 days, or 800mg three times a day for 2 days. We assumed that Famciclovir 250 mg orally twice a day for 5 days was also available. As previously, we assumed that Valacyclovir 500 mg orally twice a day for 3days was not </w:t>
      </w:r>
      <w:r w:rsidR="00DD6738" w:rsidRPr="009F0EC0">
        <w:rPr>
          <w:rFonts w:ascii="Arial" w:hAnsi="Arial" w:cs="Arial"/>
          <w:sz w:val="22"/>
          <w:szCs w:val="22"/>
        </w:rPr>
        <w:lastRenderedPageBreak/>
        <w:t xml:space="preserve">available in LMICs, though we estimated its inclusion in the sensitivity analysis. We additionally assumed that for recurrences that were frequent, episodic rather than suppressive therapy was available in LMICs. </w:t>
      </w:r>
      <w:r w:rsidR="00DB694A" w:rsidRPr="009F0EC0">
        <w:rPr>
          <w:rFonts w:ascii="Arial" w:hAnsi="Arial" w:cs="Arial"/>
          <w:sz w:val="22"/>
          <w:szCs w:val="22"/>
        </w:rPr>
        <w:t>We did not alter the regimen for individuals living with HIV and people who are immunocompromised</w:t>
      </w:r>
    </w:p>
    <w:p w14:paraId="6FA6A787" w14:textId="77777777" w:rsidR="00092C61" w:rsidRDefault="00092C61">
      <w:pPr>
        <w:pStyle w:val="Heading3"/>
        <w:rPr>
          <w:rFonts w:ascii="Arial" w:hAnsi="Arial" w:cs="Arial"/>
          <w:sz w:val="22"/>
          <w:szCs w:val="22"/>
        </w:rPr>
      </w:pPr>
      <w:bookmarkStart w:id="16" w:name="_Toc2379543"/>
    </w:p>
    <w:bookmarkEnd w:id="16"/>
    <w:p w14:paraId="03B7518A" w14:textId="4CB3A2B0" w:rsidR="00EC4166" w:rsidRPr="001F1C09" w:rsidRDefault="00EC4166" w:rsidP="001F1C09">
      <w:pPr>
        <w:pStyle w:val="Heading4"/>
        <w:numPr>
          <w:ilvl w:val="0"/>
          <w:numId w:val="13"/>
        </w:numPr>
        <w:ind w:left="1080"/>
        <w:rPr>
          <w:rFonts w:ascii="Arial" w:hAnsi="Arial" w:cs="Arial"/>
          <w:color w:val="000000" w:themeColor="text1"/>
          <w:sz w:val="22"/>
          <w:szCs w:val="22"/>
        </w:rPr>
      </w:pPr>
      <w:r w:rsidRPr="001F1C09">
        <w:rPr>
          <w:rFonts w:ascii="Arial" w:hAnsi="Arial" w:cs="Arial"/>
          <w:color w:val="000000" w:themeColor="text1"/>
          <w:sz w:val="22"/>
          <w:szCs w:val="22"/>
        </w:rPr>
        <w:t>Costs</w:t>
      </w:r>
      <w:r w:rsidR="004A129C" w:rsidRPr="001F1C09">
        <w:rPr>
          <w:rFonts w:ascii="Arial" w:hAnsi="Arial" w:cs="Arial"/>
          <w:color w:val="000000" w:themeColor="text1"/>
          <w:sz w:val="22"/>
          <w:szCs w:val="22"/>
        </w:rPr>
        <w:t xml:space="preserve"> of Diagnosis</w:t>
      </w:r>
    </w:p>
    <w:p w14:paraId="2ABFCA1D" w14:textId="77777777" w:rsidR="00EC4166" w:rsidRPr="00EC4166" w:rsidRDefault="00EC4166" w:rsidP="001F1C09">
      <w:pPr>
        <w:ind w:left="720"/>
        <w:jc w:val="both"/>
        <w:rPr>
          <w:rFonts w:ascii="Arial" w:hAnsi="Arial" w:cs="Arial"/>
          <w:sz w:val="22"/>
          <w:szCs w:val="22"/>
          <w:u w:val="single"/>
        </w:rPr>
      </w:pPr>
    </w:p>
    <w:p w14:paraId="1AB9901B" w14:textId="2D78FE3C" w:rsidR="00EC4166" w:rsidRPr="00EC4166" w:rsidRDefault="00EC4166" w:rsidP="001F1C09">
      <w:pPr>
        <w:ind w:left="720"/>
        <w:jc w:val="both"/>
        <w:rPr>
          <w:rFonts w:ascii="Arial" w:hAnsi="Arial" w:cs="Arial"/>
          <w:sz w:val="22"/>
          <w:szCs w:val="22"/>
        </w:rPr>
      </w:pPr>
      <w:r w:rsidRPr="00EC4166">
        <w:rPr>
          <w:rFonts w:ascii="Arial" w:hAnsi="Arial" w:cs="Arial"/>
          <w:sz w:val="22"/>
          <w:szCs w:val="22"/>
        </w:rPr>
        <w:t>For countries that rely on etiological diagnosis (rather than syndromic algorithms),</w:t>
      </w:r>
      <w:r w:rsidR="00092C61">
        <w:rPr>
          <w:rFonts w:ascii="Arial" w:hAnsi="Arial" w:cs="Arial"/>
          <w:sz w:val="22"/>
          <w:szCs w:val="22"/>
        </w:rPr>
        <w:t xml:space="preserve"> we </w:t>
      </w:r>
      <w:r w:rsidRPr="00EC4166">
        <w:rPr>
          <w:rFonts w:ascii="Arial" w:hAnsi="Arial" w:cs="Arial"/>
          <w:sz w:val="22"/>
          <w:szCs w:val="22"/>
        </w:rPr>
        <w:t xml:space="preserve">assumed that for a patient presenting with genital ulcers, first the exudate from the active lesion was examined using dark ground microscopy, then the scraping from the base of the ulcers were examined to determine the presence of multinucleated giant cells. </w:t>
      </w:r>
      <w:r w:rsidR="00351D58">
        <w:rPr>
          <w:rFonts w:ascii="Arial" w:hAnsi="Arial" w:cs="Arial"/>
          <w:sz w:val="22"/>
          <w:szCs w:val="22"/>
        </w:rPr>
        <w:t>W</w:t>
      </w:r>
      <w:r w:rsidR="00092C61">
        <w:rPr>
          <w:rFonts w:ascii="Arial" w:hAnsi="Arial" w:cs="Arial"/>
          <w:sz w:val="22"/>
          <w:szCs w:val="22"/>
        </w:rPr>
        <w:t>e</w:t>
      </w:r>
      <w:r w:rsidRPr="00EC4166">
        <w:rPr>
          <w:rFonts w:ascii="Arial" w:hAnsi="Arial" w:cs="Arial"/>
          <w:sz w:val="22"/>
          <w:szCs w:val="22"/>
        </w:rPr>
        <w:t xml:space="preserve"> assumed that an HSV ELISA and culture tests were performed using swabs taken from the ulcers. </w:t>
      </w:r>
      <w:r w:rsidR="00092C61">
        <w:rPr>
          <w:rFonts w:ascii="Arial" w:hAnsi="Arial" w:cs="Arial"/>
          <w:sz w:val="22"/>
          <w:szCs w:val="22"/>
        </w:rPr>
        <w:t>We identified the buyer unit cost of HSV ELISAs in countries where they are available from their national medical devices registration databases.</w:t>
      </w:r>
      <w:r w:rsidRPr="00EC4166">
        <w:rPr>
          <w:rFonts w:ascii="Arial" w:hAnsi="Arial" w:cs="Arial"/>
          <w:sz w:val="22"/>
          <w:szCs w:val="22"/>
        </w:rPr>
        <w:t xml:space="preserve"> </w:t>
      </w:r>
      <w:r w:rsidR="00092C61">
        <w:rPr>
          <w:rFonts w:ascii="Arial" w:hAnsi="Arial" w:cs="Arial"/>
          <w:sz w:val="22"/>
          <w:szCs w:val="22"/>
        </w:rPr>
        <w:t>We estimated the</w:t>
      </w:r>
      <w:r w:rsidRPr="00EC4166">
        <w:rPr>
          <w:rFonts w:ascii="Arial" w:hAnsi="Arial" w:cs="Arial"/>
          <w:sz w:val="22"/>
          <w:szCs w:val="22"/>
        </w:rPr>
        <w:t xml:space="preserve"> unit costs </w:t>
      </w:r>
      <w:r w:rsidR="00092C61">
        <w:rPr>
          <w:rFonts w:ascii="Arial" w:hAnsi="Arial" w:cs="Arial"/>
          <w:sz w:val="22"/>
          <w:szCs w:val="22"/>
        </w:rPr>
        <w:t xml:space="preserve">for the remaining countries </w:t>
      </w:r>
      <w:r w:rsidRPr="00EC4166">
        <w:rPr>
          <w:rFonts w:ascii="Arial" w:hAnsi="Arial" w:cs="Arial"/>
          <w:sz w:val="22"/>
          <w:szCs w:val="22"/>
        </w:rPr>
        <w:t xml:space="preserve">within the same income group using </w:t>
      </w:r>
      <w:r w:rsidR="00AB3394">
        <w:rPr>
          <w:rFonts w:ascii="Arial" w:hAnsi="Arial" w:cs="Arial"/>
          <w:sz w:val="22"/>
          <w:szCs w:val="22"/>
        </w:rPr>
        <w:t xml:space="preserve">a </w:t>
      </w:r>
      <w:r w:rsidRPr="00EC4166">
        <w:rPr>
          <w:rFonts w:ascii="Arial" w:hAnsi="Arial" w:cs="Arial"/>
          <w:sz w:val="22"/>
          <w:szCs w:val="22"/>
        </w:rPr>
        <w:t>regression model</w:t>
      </w:r>
      <w:r w:rsidR="00AB3394">
        <w:rPr>
          <w:rFonts w:ascii="Arial" w:hAnsi="Arial" w:cs="Arial"/>
          <w:sz w:val="22"/>
          <w:szCs w:val="22"/>
        </w:rPr>
        <w:t xml:space="preserve"> with GDP per capita (</w:t>
      </w:r>
      <m:oMath>
        <m:r>
          <w:rPr>
            <w:rFonts w:ascii="Cambria Math" w:hAnsi="Cambria Math" w:cs="Arial"/>
            <w:sz w:val="22"/>
            <w:szCs w:val="22"/>
          </w:rPr>
          <m:t>Y</m:t>
        </m:r>
      </m:oMath>
      <w:r w:rsidR="00AB3394">
        <w:rPr>
          <w:rFonts w:ascii="Arial" w:eastAsiaTheme="minorEastAsia" w:hAnsi="Arial" w:cs="Arial"/>
          <w:sz w:val="22"/>
          <w:szCs w:val="22"/>
        </w:rPr>
        <w:t xml:space="preserve">) </w:t>
      </w:r>
      <w:r w:rsidR="00AB3394">
        <w:rPr>
          <w:rFonts w:ascii="Arial" w:hAnsi="Arial" w:cs="Arial"/>
          <w:sz w:val="22"/>
          <w:szCs w:val="22"/>
        </w:rPr>
        <w:t>as a predictor</w:t>
      </w:r>
      <w:r w:rsidR="00D44EB8">
        <w:rPr>
          <w:rFonts w:ascii="Arial" w:hAnsi="Arial" w:cs="Arial"/>
          <w:sz w:val="22"/>
          <w:szCs w:val="22"/>
        </w:rPr>
        <w:t xml:space="preserve">. </w:t>
      </w:r>
      <w:r w:rsidR="00D44EB8" w:rsidRPr="00EC4166">
        <w:rPr>
          <w:rFonts w:ascii="Arial" w:hAnsi="Arial" w:cs="Arial"/>
          <w:sz w:val="22"/>
          <w:szCs w:val="22"/>
        </w:rPr>
        <w:t xml:space="preserve">We confirmed the validity of the predicted prices by running several </w:t>
      </w:r>
      <w:r w:rsidR="00C92B25">
        <w:rPr>
          <w:rFonts w:ascii="Arial" w:hAnsi="Arial" w:cs="Arial"/>
          <w:sz w:val="22"/>
          <w:szCs w:val="22"/>
        </w:rPr>
        <w:t xml:space="preserve">regression </w:t>
      </w:r>
      <w:r w:rsidR="00D44EB8" w:rsidRPr="00EC4166">
        <w:rPr>
          <w:rFonts w:ascii="Arial" w:hAnsi="Arial" w:cs="Arial"/>
          <w:sz w:val="22"/>
          <w:szCs w:val="22"/>
        </w:rPr>
        <w:t>diagnostics (residuals vs. predicted values, qq-plots)</w:t>
      </w:r>
      <w:r w:rsidR="00D44EB8">
        <w:rPr>
          <w:rFonts w:ascii="Arial" w:hAnsi="Arial" w:cs="Arial"/>
          <w:sz w:val="22"/>
          <w:szCs w:val="22"/>
        </w:rPr>
        <w:t>.</w:t>
      </w:r>
    </w:p>
    <w:p w14:paraId="53C5CCE0" w14:textId="77777777" w:rsidR="00D44EB8" w:rsidRPr="00EC4166" w:rsidRDefault="00D44EB8">
      <w:pPr>
        <w:jc w:val="both"/>
        <w:rPr>
          <w:rFonts w:ascii="Arial" w:eastAsiaTheme="minorEastAsia" w:hAnsi="Arial" w:cs="Arial"/>
          <w:sz w:val="22"/>
          <w:szCs w:val="22"/>
        </w:rPr>
      </w:pPr>
    </w:p>
    <w:p w14:paraId="7E9BEC36" w14:textId="7DF5DBA5" w:rsidR="00EC4166" w:rsidRPr="001F1C09" w:rsidRDefault="00EC4166" w:rsidP="001F1C09">
      <w:pPr>
        <w:pStyle w:val="Heading4"/>
        <w:numPr>
          <w:ilvl w:val="0"/>
          <w:numId w:val="13"/>
        </w:numPr>
        <w:ind w:left="1440"/>
        <w:rPr>
          <w:rFonts w:ascii="Arial" w:hAnsi="Arial" w:cs="Arial"/>
          <w:color w:val="000000" w:themeColor="text1"/>
          <w:sz w:val="22"/>
          <w:szCs w:val="22"/>
        </w:rPr>
      </w:pPr>
      <w:r w:rsidRPr="001F1C09">
        <w:rPr>
          <w:rFonts w:ascii="Arial" w:hAnsi="Arial" w:cs="Arial"/>
          <w:color w:val="000000" w:themeColor="text1"/>
          <w:sz w:val="22"/>
          <w:szCs w:val="22"/>
        </w:rPr>
        <w:t>Costs</w:t>
      </w:r>
      <w:r w:rsidR="004A129C" w:rsidRPr="001F1C09">
        <w:rPr>
          <w:rFonts w:ascii="Arial" w:hAnsi="Arial" w:cs="Arial"/>
          <w:color w:val="000000" w:themeColor="text1"/>
          <w:sz w:val="22"/>
          <w:szCs w:val="22"/>
        </w:rPr>
        <w:t xml:space="preserve"> of Treatment</w:t>
      </w:r>
    </w:p>
    <w:p w14:paraId="3EC1BCD1" w14:textId="77777777" w:rsidR="00EC4166" w:rsidRPr="00EC4166" w:rsidRDefault="00EC4166" w:rsidP="001F1C09">
      <w:pPr>
        <w:ind w:left="720"/>
        <w:rPr>
          <w:rFonts w:ascii="Arial" w:hAnsi="Arial" w:cs="Arial"/>
          <w:sz w:val="22"/>
          <w:szCs w:val="22"/>
        </w:rPr>
      </w:pPr>
    </w:p>
    <w:p w14:paraId="297578AA" w14:textId="1903F162" w:rsidR="00EC4166" w:rsidRPr="00EC4166" w:rsidRDefault="00EC4166" w:rsidP="001F1C09">
      <w:pPr>
        <w:ind w:left="720"/>
        <w:jc w:val="both"/>
        <w:rPr>
          <w:rFonts w:ascii="Arial" w:hAnsi="Arial" w:cs="Arial"/>
          <w:sz w:val="22"/>
          <w:szCs w:val="22"/>
        </w:rPr>
      </w:pPr>
      <w:r w:rsidRPr="00EC4166">
        <w:rPr>
          <w:rFonts w:ascii="Arial" w:hAnsi="Arial" w:cs="Arial"/>
          <w:sz w:val="22"/>
          <w:szCs w:val="22"/>
        </w:rPr>
        <w:t>Corbell et al. find that in eight African countries, the country-specific acquisition prices for acyclovir 200 mg was comparable to the median international reference price (IRP) from the Management Sciences for Health's (MSH) 2007 International Drug Price Indicator guide</w:t>
      </w:r>
      <w:r w:rsidRPr="00EC4166">
        <w:rPr>
          <w:rFonts w:ascii="Arial" w:hAnsi="Arial" w:cs="Arial"/>
          <w:sz w:val="22"/>
          <w:szCs w:val="22"/>
        </w:rPr>
        <w:fldChar w:fldCharType="begin"/>
      </w:r>
      <w:r w:rsidR="0081559F">
        <w:rPr>
          <w:rFonts w:ascii="Arial" w:hAnsi="Arial" w:cs="Arial"/>
          <w:sz w:val="22"/>
          <w:szCs w:val="22"/>
        </w:rPr>
        <w:instrText xml:space="preserve"> ADDIN ZOTERO_ITEM CSL_CITATION {"citationID":"K1QmYfIT","properties":{"formattedCitation":"[15]","plainCitation":"[15]","noteIndex":0},"citationItems":[{"id":26799,"uris":["http://zotero.org/users/local/p8g0WsVO/items/L4SVZ9MU"],"itemData":{"id":26799,"type":"article-journal","abstract":"BACKGROUND: Herpes simplex virus-2, the most common cause of genital ulcer disease (GUD) globally, is a cofactor in human immunodeficiency virus type-1 (HIV-1) acquisition and transmission. Current World Health Organization guidelines for sexually transmitted infections recommend acyclovir as first-line syndromic treatment of GUD in countries with high herpes simplex virus-2 prevalence (&gt; or =30%).\nOBJECTIVE: To assess the extent of adoption of acyclovir as syndromic treatment for GUD, and describe procurement, distribution, and cost of acyclovir in the public and private sectors of 8 sub-Saharan African countries.\nMETHODS: We conducted standardized interviews with Ministry of Health (MoH) officials, pharmacists, and other pharmacy workers based in the public and private sectors. Interviews were conducted in Botswana, Kenya, Malawi, South Africa, Tanzania, Uganda, Zambia, and Zimbabwe. Price comparisons were conducted using the 2007 median international reference price (IRP) for acyclovir.\nRESULTS: Of the 8 African countries, 4 surveyed had adopted acyclovir as first-line syndromic GUD treatment in both their essential medical lists and sexually transmitted infection guidelines. Country-specific acquisition prices for acyclovir 200 mg were comparable to the median IRP and ranged from 0.74 to 1.95 times the median IRP. The median retail cost of acyclovir in the private sector ranged from 5.85 to 9.76 times the median IRP. Public health facilities faced cost and regulatory barriers that impeded the requisitioning of acyclovir from the central medical stores.\nCONCLUSIONS: Systems for drug procurement, distribution, and access in sub-Saharan African countries need strengthening for a GUD treatment policy using acyclovir to be effective.","container-title":"Sexually Transmitted Diseases","DOI":"10.1097/OLQ.0b013e3181e212e5","ISSN":"1537-4521","issue":"8","journalAbbreviation":"Sex Transm Dis","language":"eng","note":"PMID: 20539260","page":"488-493","source":"PubMed","title":"Genital ulcer disease treatment policies and access to acyclovir in eight sub-Saharan African countries","volume":"37","author":[{"family":"Corbell","given":"Catherine"},{"family":"Stergachis","given":"Andy"},{"family":"Ndowa","given":"Francis"},{"family":"Ndase","given":"Patrick"},{"family":"Barnes","given":"Linda"},{"family":"Celum","given":"Connie"}],"issued":{"date-parts":[["2010",8]]}}}],"schema":"https://github.com/citation-style-language/schema/raw/master/csl-citation.json"} </w:instrText>
      </w:r>
      <w:r w:rsidRPr="00EC4166">
        <w:rPr>
          <w:rFonts w:ascii="Arial" w:hAnsi="Arial" w:cs="Arial"/>
          <w:sz w:val="22"/>
          <w:szCs w:val="22"/>
        </w:rPr>
        <w:fldChar w:fldCharType="separate"/>
      </w:r>
      <w:r w:rsidR="0081559F">
        <w:rPr>
          <w:rFonts w:ascii="Arial" w:hAnsi="Arial" w:cs="Arial"/>
          <w:sz w:val="22"/>
        </w:rPr>
        <w:t>[15]</w:t>
      </w:r>
      <w:r w:rsidRPr="00EC4166">
        <w:rPr>
          <w:rFonts w:ascii="Arial" w:hAnsi="Arial" w:cs="Arial"/>
          <w:sz w:val="22"/>
          <w:szCs w:val="22"/>
        </w:rPr>
        <w:fldChar w:fldCharType="end"/>
      </w:r>
      <w:r w:rsidRPr="00EC4166">
        <w:rPr>
          <w:rFonts w:ascii="Arial" w:hAnsi="Arial" w:cs="Arial"/>
          <w:sz w:val="22"/>
          <w:szCs w:val="22"/>
        </w:rPr>
        <w:t xml:space="preserve">. We used these median prices. </w:t>
      </w:r>
      <w:r w:rsidR="00A950F0">
        <w:rPr>
          <w:rFonts w:ascii="Arial" w:hAnsi="Arial" w:cs="Arial"/>
          <w:sz w:val="22"/>
          <w:szCs w:val="22"/>
        </w:rPr>
        <w:t>Where not available, we</w:t>
      </w:r>
      <w:r w:rsidR="00A950F0" w:rsidRPr="00EC4166">
        <w:rPr>
          <w:rFonts w:ascii="Arial" w:hAnsi="Arial" w:cs="Arial"/>
          <w:sz w:val="22"/>
          <w:szCs w:val="22"/>
        </w:rPr>
        <w:t xml:space="preserve"> imputed using a log-log regression with GDP/capita </w:t>
      </w:r>
      <w:r w:rsidR="00AB3394">
        <w:rPr>
          <w:rFonts w:ascii="Arial" w:hAnsi="Arial" w:cs="Arial"/>
          <w:sz w:val="22"/>
          <w:szCs w:val="22"/>
        </w:rPr>
        <w:t>(</w:t>
      </w:r>
      <m:oMath>
        <m:r>
          <w:rPr>
            <w:rFonts w:ascii="Cambria Math" w:hAnsi="Cambria Math" w:cs="Arial"/>
            <w:sz w:val="22"/>
            <w:szCs w:val="22"/>
          </w:rPr>
          <m:t>Y</m:t>
        </m:r>
      </m:oMath>
      <w:r w:rsidR="00AB3394">
        <w:rPr>
          <w:rFonts w:ascii="Arial" w:eastAsiaTheme="minorEastAsia" w:hAnsi="Arial" w:cs="Arial"/>
          <w:sz w:val="22"/>
          <w:szCs w:val="22"/>
        </w:rPr>
        <w:t xml:space="preserve">) </w:t>
      </w:r>
      <w:r w:rsidR="00A950F0" w:rsidRPr="00EC4166">
        <w:rPr>
          <w:rFonts w:ascii="Arial" w:hAnsi="Arial" w:cs="Arial"/>
          <w:sz w:val="22"/>
          <w:szCs w:val="22"/>
        </w:rPr>
        <w:t xml:space="preserve">as a predictor. We confirmed the validity of the predicted prices by running several diagnostics (residuals vs. predicted values, qq-plots). </w:t>
      </w:r>
      <w:r w:rsidRPr="00EC4166">
        <w:rPr>
          <w:rFonts w:ascii="Arial" w:hAnsi="Arial" w:cs="Arial"/>
          <w:sz w:val="22"/>
          <w:szCs w:val="22"/>
        </w:rPr>
        <w:t xml:space="preserve">To estimate the </w:t>
      </w:r>
      <w:r w:rsidR="00A950F0">
        <w:rPr>
          <w:rFonts w:ascii="Arial" w:hAnsi="Arial" w:cs="Arial"/>
          <w:sz w:val="22"/>
          <w:szCs w:val="22"/>
        </w:rPr>
        <w:t>share incident on the individual as o</w:t>
      </w:r>
      <w:r w:rsidR="00A950F0" w:rsidRPr="00A950F0">
        <w:rPr>
          <w:rFonts w:ascii="Arial" w:hAnsi="Arial" w:cs="Arial"/>
          <w:sz w:val="22"/>
          <w:szCs w:val="22"/>
        </w:rPr>
        <w:t xml:space="preserve">ut-of-pocket </w:t>
      </w:r>
      <w:r w:rsidR="00A950F0">
        <w:rPr>
          <w:rFonts w:ascii="Arial" w:hAnsi="Arial" w:cs="Arial"/>
          <w:sz w:val="22"/>
          <w:szCs w:val="22"/>
        </w:rPr>
        <w:t xml:space="preserve">(OOP) costs, </w:t>
      </w:r>
      <w:r w:rsidRPr="00EC4166">
        <w:rPr>
          <w:rFonts w:ascii="Arial" w:hAnsi="Arial" w:cs="Arial"/>
          <w:sz w:val="22"/>
          <w:szCs w:val="22"/>
        </w:rPr>
        <w:t xml:space="preserve">we </w:t>
      </w:r>
      <w:r w:rsidR="00A950F0">
        <w:rPr>
          <w:rFonts w:ascii="Arial" w:hAnsi="Arial" w:cs="Arial"/>
          <w:sz w:val="22"/>
          <w:szCs w:val="22"/>
        </w:rPr>
        <w:t xml:space="preserve">used the </w:t>
      </w:r>
      <w:r w:rsidR="00A950F0" w:rsidRPr="00A950F0">
        <w:rPr>
          <w:rFonts w:ascii="Arial" w:hAnsi="Arial" w:cs="Arial"/>
          <w:sz w:val="22"/>
          <w:szCs w:val="22"/>
        </w:rPr>
        <w:t>OOPS</w:t>
      </w:r>
      <w:r w:rsidR="00A950F0">
        <w:rPr>
          <w:rFonts w:ascii="Arial" w:hAnsi="Arial" w:cs="Arial"/>
          <w:sz w:val="22"/>
          <w:szCs w:val="22"/>
        </w:rPr>
        <w:t xml:space="preserve"> </w:t>
      </w:r>
      <w:r w:rsidR="00A950F0" w:rsidRPr="00A950F0">
        <w:rPr>
          <w:rFonts w:ascii="Arial" w:hAnsi="Arial" w:cs="Arial"/>
          <w:sz w:val="22"/>
          <w:szCs w:val="22"/>
        </w:rPr>
        <w:t xml:space="preserve">% </w:t>
      </w:r>
      <w:r w:rsidR="00A950F0">
        <w:rPr>
          <w:rFonts w:ascii="Arial" w:hAnsi="Arial" w:cs="Arial"/>
          <w:sz w:val="22"/>
          <w:szCs w:val="22"/>
        </w:rPr>
        <w:t>of c</w:t>
      </w:r>
      <w:r w:rsidR="00A950F0" w:rsidRPr="00A950F0">
        <w:rPr>
          <w:rFonts w:ascii="Arial" w:hAnsi="Arial" w:cs="Arial"/>
          <w:sz w:val="22"/>
          <w:szCs w:val="22"/>
        </w:rPr>
        <w:t xml:space="preserve">urrent </w:t>
      </w:r>
      <w:r w:rsidR="00A950F0">
        <w:rPr>
          <w:rFonts w:ascii="Arial" w:hAnsi="Arial" w:cs="Arial"/>
          <w:sz w:val="22"/>
          <w:szCs w:val="22"/>
        </w:rPr>
        <w:t>h</w:t>
      </w:r>
      <w:r w:rsidR="00A950F0" w:rsidRPr="00A950F0">
        <w:rPr>
          <w:rFonts w:ascii="Arial" w:hAnsi="Arial" w:cs="Arial"/>
          <w:sz w:val="22"/>
          <w:szCs w:val="22"/>
        </w:rPr>
        <w:t xml:space="preserve">ealth </w:t>
      </w:r>
      <w:r w:rsidR="00A950F0">
        <w:rPr>
          <w:rFonts w:ascii="Arial" w:hAnsi="Arial" w:cs="Arial"/>
          <w:sz w:val="22"/>
          <w:szCs w:val="22"/>
        </w:rPr>
        <w:t>e</w:t>
      </w:r>
      <w:r w:rsidR="00A950F0" w:rsidRPr="00A950F0">
        <w:rPr>
          <w:rFonts w:ascii="Arial" w:hAnsi="Arial" w:cs="Arial"/>
          <w:sz w:val="22"/>
          <w:szCs w:val="22"/>
        </w:rPr>
        <w:t xml:space="preserve">xpenditure </w:t>
      </w:r>
      <w:r w:rsidRPr="00EC4166">
        <w:rPr>
          <w:rFonts w:ascii="Arial" w:hAnsi="Arial" w:cs="Arial"/>
          <w:sz w:val="22"/>
          <w:szCs w:val="22"/>
        </w:rPr>
        <w:t>from the WHO Global Health Expenditure database</w:t>
      </w:r>
      <w:r w:rsidR="00592A45">
        <w:rPr>
          <w:rFonts w:ascii="Arial" w:hAnsi="Arial" w:cs="Arial"/>
          <w:sz w:val="22"/>
          <w:szCs w:val="22"/>
        </w:rPr>
        <w:fldChar w:fldCharType="begin"/>
      </w:r>
      <w:r w:rsidR="0081559F">
        <w:rPr>
          <w:rFonts w:ascii="Arial" w:hAnsi="Arial" w:cs="Arial"/>
          <w:sz w:val="22"/>
          <w:szCs w:val="22"/>
        </w:rPr>
        <w:instrText xml:space="preserve"> ADDIN ZOTERO_ITEM CSL_CITATION {"citationID":"SPJlvXWH","properties":{"formattedCitation":"[16]","plainCitation":"[16]","noteIndex":0},"citationItems":[{"id":29167,"uris":["http://zotero.org/users/local/p8g0WsVO/items/LK6GNRRA"],"itemData":{"id":29167,"type":"webpage","title":"Global Health Expenditure Database","URL":"https://apps.who.int/nha/database/Home/Index/en","accessed":{"date-parts":[["2021",1,30]]}}}],"schema":"https://github.com/citation-style-language/schema/raw/master/csl-citation.json"} </w:instrText>
      </w:r>
      <w:r w:rsidR="00592A45">
        <w:rPr>
          <w:rFonts w:ascii="Arial" w:hAnsi="Arial" w:cs="Arial"/>
          <w:sz w:val="22"/>
          <w:szCs w:val="22"/>
        </w:rPr>
        <w:fldChar w:fldCharType="separate"/>
      </w:r>
      <w:r w:rsidR="0081559F">
        <w:rPr>
          <w:rFonts w:ascii="Arial" w:hAnsi="Arial" w:cs="Arial"/>
          <w:sz w:val="22"/>
        </w:rPr>
        <w:t>[16]</w:t>
      </w:r>
      <w:r w:rsidR="00592A45">
        <w:rPr>
          <w:rFonts w:ascii="Arial" w:hAnsi="Arial" w:cs="Arial"/>
          <w:sz w:val="22"/>
          <w:szCs w:val="22"/>
        </w:rPr>
        <w:fldChar w:fldCharType="end"/>
      </w:r>
      <w:r w:rsidRPr="00EC4166">
        <w:rPr>
          <w:rFonts w:ascii="Arial" w:hAnsi="Arial" w:cs="Arial"/>
          <w:sz w:val="22"/>
          <w:szCs w:val="22"/>
        </w:rPr>
        <w:t xml:space="preserve">. </w:t>
      </w:r>
    </w:p>
    <w:p w14:paraId="4E72F153" w14:textId="77777777" w:rsidR="00F521CF" w:rsidRDefault="00F521CF" w:rsidP="00EC4166">
      <w:pPr>
        <w:rPr>
          <w:rFonts w:ascii="Arial" w:hAnsi="Arial" w:cs="Arial"/>
          <w:i/>
          <w:sz w:val="22"/>
          <w:szCs w:val="22"/>
        </w:rPr>
      </w:pPr>
    </w:p>
    <w:p w14:paraId="6BF4E855" w14:textId="39CE2317" w:rsidR="00EC4166" w:rsidRPr="001F1C09" w:rsidRDefault="00EC4166" w:rsidP="001F1C09">
      <w:pPr>
        <w:pStyle w:val="Heading4"/>
        <w:numPr>
          <w:ilvl w:val="0"/>
          <w:numId w:val="13"/>
        </w:numPr>
        <w:ind w:left="1440"/>
        <w:rPr>
          <w:rFonts w:ascii="Arial" w:hAnsi="Arial" w:cs="Arial"/>
          <w:color w:val="000000" w:themeColor="text1"/>
          <w:sz w:val="22"/>
          <w:szCs w:val="22"/>
        </w:rPr>
      </w:pPr>
      <w:r w:rsidRPr="001F1C09">
        <w:rPr>
          <w:rFonts w:ascii="Arial" w:hAnsi="Arial" w:cs="Arial"/>
          <w:color w:val="000000" w:themeColor="text1"/>
          <w:sz w:val="22"/>
          <w:szCs w:val="22"/>
        </w:rPr>
        <w:t>Care-seeking</w:t>
      </w:r>
      <w:r w:rsidR="00F8418A" w:rsidRPr="001F1C09">
        <w:rPr>
          <w:rFonts w:ascii="Arial" w:hAnsi="Arial" w:cs="Arial"/>
          <w:color w:val="000000" w:themeColor="text1"/>
          <w:sz w:val="22"/>
          <w:szCs w:val="22"/>
        </w:rPr>
        <w:t xml:space="preserve"> Proportion</w:t>
      </w:r>
    </w:p>
    <w:p w14:paraId="2D81E995" w14:textId="77777777" w:rsidR="00EC4166" w:rsidRPr="00EC4166" w:rsidRDefault="00EC4166" w:rsidP="001F1C09">
      <w:pPr>
        <w:ind w:left="720"/>
        <w:jc w:val="both"/>
        <w:rPr>
          <w:rFonts w:ascii="Arial" w:hAnsi="Arial" w:cs="Arial"/>
          <w:sz w:val="22"/>
          <w:szCs w:val="22"/>
        </w:rPr>
      </w:pPr>
    </w:p>
    <w:p w14:paraId="2DA080C5" w14:textId="19CE6D02" w:rsidR="00713611" w:rsidRDefault="00F521CF" w:rsidP="001F1C09">
      <w:pPr>
        <w:ind w:left="720"/>
        <w:jc w:val="both"/>
        <w:rPr>
          <w:rFonts w:ascii="Arial" w:hAnsi="Arial" w:cs="Arial"/>
          <w:sz w:val="22"/>
          <w:szCs w:val="22"/>
        </w:rPr>
      </w:pPr>
      <w:r>
        <w:rPr>
          <w:rFonts w:ascii="Arial" w:hAnsi="Arial" w:cs="Arial"/>
          <w:sz w:val="22"/>
          <w:szCs w:val="22"/>
        </w:rPr>
        <w:t xml:space="preserve">We conducted a </w:t>
      </w:r>
      <w:r w:rsidR="00EC4166" w:rsidRPr="00EC4166">
        <w:rPr>
          <w:rFonts w:ascii="Arial" w:hAnsi="Arial" w:cs="Arial"/>
          <w:sz w:val="22"/>
          <w:szCs w:val="22"/>
        </w:rPr>
        <w:t xml:space="preserve">literature search to identify studies that evaluated care-seeking behavior of individuals with sexually transmitted infections, and with genital herpes infections specifically (summarized in </w:t>
      </w:r>
      <w:r w:rsidR="001B6384">
        <w:rPr>
          <w:rFonts w:ascii="Arial" w:hAnsi="Arial" w:cs="Arial"/>
          <w:sz w:val="22"/>
          <w:szCs w:val="22"/>
        </w:rPr>
        <w:t>T</w:t>
      </w:r>
      <w:r w:rsidR="001B6384" w:rsidRPr="00EC4166">
        <w:rPr>
          <w:rFonts w:ascii="Arial" w:hAnsi="Arial" w:cs="Arial"/>
          <w:sz w:val="22"/>
          <w:szCs w:val="22"/>
        </w:rPr>
        <w:t xml:space="preserve">able </w:t>
      </w:r>
      <w:r w:rsidR="001B6384">
        <w:rPr>
          <w:rFonts w:ascii="Arial" w:hAnsi="Arial" w:cs="Arial"/>
          <w:sz w:val="22"/>
          <w:szCs w:val="22"/>
        </w:rPr>
        <w:t>7</w:t>
      </w:r>
      <w:r w:rsidR="00EC4166" w:rsidRPr="00EC4166">
        <w:rPr>
          <w:rFonts w:ascii="Arial" w:hAnsi="Arial" w:cs="Arial"/>
          <w:sz w:val="22"/>
          <w:szCs w:val="22"/>
        </w:rPr>
        <w:t xml:space="preserve">). </w:t>
      </w:r>
      <w:r>
        <w:rPr>
          <w:rFonts w:ascii="Arial" w:hAnsi="Arial" w:cs="Arial"/>
          <w:sz w:val="22"/>
          <w:szCs w:val="22"/>
        </w:rPr>
        <w:t>We assumed that u</w:t>
      </w:r>
      <w:r w:rsidRPr="00EC4166">
        <w:rPr>
          <w:rFonts w:ascii="Arial" w:hAnsi="Arial" w:cs="Arial"/>
          <w:sz w:val="22"/>
          <w:szCs w:val="22"/>
        </w:rPr>
        <w:t xml:space="preserve">nless care is sought within </w:t>
      </w:r>
      <w:r>
        <w:rPr>
          <w:rFonts w:ascii="Arial" w:hAnsi="Arial" w:cs="Arial"/>
          <w:sz w:val="22"/>
          <w:szCs w:val="22"/>
        </w:rPr>
        <w:t>14</w:t>
      </w:r>
      <w:r w:rsidRPr="00EC4166">
        <w:rPr>
          <w:rFonts w:ascii="Arial" w:hAnsi="Arial" w:cs="Arial"/>
          <w:sz w:val="22"/>
          <w:szCs w:val="22"/>
        </w:rPr>
        <w:t xml:space="preserve"> days</w:t>
      </w:r>
      <w:r>
        <w:rPr>
          <w:rFonts w:ascii="Arial" w:hAnsi="Arial" w:cs="Arial"/>
          <w:sz w:val="22"/>
          <w:szCs w:val="22"/>
        </w:rPr>
        <w:t xml:space="preserve"> of an episode start date</w:t>
      </w:r>
      <w:r w:rsidRPr="00EC4166">
        <w:rPr>
          <w:rFonts w:ascii="Arial" w:hAnsi="Arial" w:cs="Arial"/>
          <w:sz w:val="22"/>
          <w:szCs w:val="22"/>
        </w:rPr>
        <w:t>, care will not be sought at all</w:t>
      </w:r>
      <w:r>
        <w:rPr>
          <w:rFonts w:ascii="Arial" w:hAnsi="Arial" w:cs="Arial"/>
          <w:sz w:val="22"/>
          <w:szCs w:val="22"/>
        </w:rPr>
        <w:t>.</w:t>
      </w:r>
      <w:r w:rsidRPr="00EC4166">
        <w:rPr>
          <w:rFonts w:ascii="Arial" w:hAnsi="Arial" w:cs="Arial"/>
          <w:sz w:val="22"/>
          <w:szCs w:val="22"/>
        </w:rPr>
        <w:t xml:space="preserve"> </w:t>
      </w:r>
      <w:r>
        <w:rPr>
          <w:rFonts w:ascii="Arial" w:hAnsi="Arial" w:cs="Arial"/>
          <w:sz w:val="22"/>
          <w:szCs w:val="22"/>
        </w:rPr>
        <w:t>We</w:t>
      </w:r>
      <w:r w:rsidR="00EC4166" w:rsidRPr="00EC4166">
        <w:rPr>
          <w:rFonts w:ascii="Arial" w:hAnsi="Arial" w:cs="Arial"/>
          <w:sz w:val="22"/>
          <w:szCs w:val="22"/>
        </w:rPr>
        <w:t xml:space="preserve"> computed a blended </w:t>
      </w:r>
      <w:r>
        <w:rPr>
          <w:rFonts w:ascii="Arial" w:hAnsi="Arial" w:cs="Arial"/>
          <w:sz w:val="22"/>
          <w:szCs w:val="22"/>
        </w:rPr>
        <w:t xml:space="preserve">care-seeking </w:t>
      </w:r>
      <w:r w:rsidR="00EC4166" w:rsidRPr="00EC4166">
        <w:rPr>
          <w:rFonts w:ascii="Arial" w:hAnsi="Arial" w:cs="Arial"/>
          <w:sz w:val="22"/>
          <w:szCs w:val="22"/>
        </w:rPr>
        <w:t>proportion for men and women</w:t>
      </w:r>
      <w:r w:rsidR="00817CE1">
        <w:rPr>
          <w:rFonts w:ascii="Arial" w:hAnsi="Arial" w:cs="Arial"/>
          <w:sz w:val="22"/>
          <w:szCs w:val="22"/>
        </w:rPr>
        <w:t xml:space="preserve"> reported in each study, and then</w:t>
      </w:r>
      <w:r w:rsidR="00B14256">
        <w:rPr>
          <w:rFonts w:ascii="Arial" w:hAnsi="Arial" w:cs="Arial"/>
          <w:sz w:val="22"/>
          <w:szCs w:val="22"/>
        </w:rPr>
        <w:t xml:space="preserve"> </w:t>
      </w:r>
      <w:r w:rsidR="00B14256" w:rsidRPr="00B14256">
        <w:rPr>
          <w:rFonts w:ascii="Arial" w:hAnsi="Arial" w:cs="Arial"/>
          <w:sz w:val="22"/>
          <w:szCs w:val="22"/>
        </w:rPr>
        <w:t>pooled</w:t>
      </w:r>
      <w:r w:rsidR="00B14256">
        <w:rPr>
          <w:rFonts w:ascii="Arial" w:hAnsi="Arial" w:cs="Arial"/>
          <w:sz w:val="22"/>
          <w:szCs w:val="22"/>
        </w:rPr>
        <w:t xml:space="preserve"> the</w:t>
      </w:r>
      <w:r w:rsidR="00B14256" w:rsidRPr="00B14256">
        <w:rPr>
          <w:rFonts w:ascii="Arial" w:hAnsi="Arial" w:cs="Arial"/>
          <w:sz w:val="22"/>
          <w:szCs w:val="22"/>
        </w:rPr>
        <w:t xml:space="preserve"> mean </w:t>
      </w:r>
      <w:r w:rsidR="00B14256">
        <w:rPr>
          <w:rFonts w:ascii="Arial" w:hAnsi="Arial" w:cs="Arial"/>
          <w:sz w:val="22"/>
          <w:szCs w:val="22"/>
        </w:rPr>
        <w:t xml:space="preserve">blended care-seeking proportions </w:t>
      </w:r>
      <w:r w:rsidR="00B14256" w:rsidRPr="00B14256">
        <w:rPr>
          <w:rFonts w:ascii="Arial" w:hAnsi="Arial" w:cs="Arial"/>
          <w:sz w:val="22"/>
          <w:szCs w:val="22"/>
        </w:rPr>
        <w:t xml:space="preserve">on </w:t>
      </w:r>
      <w:r w:rsidR="00B14256">
        <w:rPr>
          <w:rFonts w:ascii="Arial" w:hAnsi="Arial" w:cs="Arial"/>
          <w:sz w:val="22"/>
          <w:szCs w:val="22"/>
        </w:rPr>
        <w:t>a</w:t>
      </w:r>
      <w:r w:rsidR="00B14256" w:rsidRPr="00B14256">
        <w:rPr>
          <w:rFonts w:ascii="Arial" w:hAnsi="Arial" w:cs="Arial"/>
          <w:sz w:val="22"/>
          <w:szCs w:val="22"/>
        </w:rPr>
        <w:t xml:space="preserve"> log scale</w:t>
      </w:r>
      <w:r w:rsidR="00D65BFF">
        <w:rPr>
          <w:rFonts w:ascii="Arial" w:hAnsi="Arial" w:cs="Arial"/>
          <w:sz w:val="22"/>
          <w:szCs w:val="22"/>
        </w:rPr>
        <w:t xml:space="preserve"> using the Stata </w:t>
      </w:r>
      <w:r w:rsidR="00D65BFF" w:rsidRPr="00D65BFF">
        <w:rPr>
          <w:rFonts w:ascii="Arial" w:hAnsi="Arial" w:cs="Arial"/>
          <w:i/>
          <w:iCs/>
          <w:sz w:val="22"/>
          <w:szCs w:val="22"/>
        </w:rPr>
        <w:t>metan</w:t>
      </w:r>
      <w:r w:rsidR="00D65BFF">
        <w:rPr>
          <w:rFonts w:ascii="Arial" w:hAnsi="Arial" w:cs="Arial"/>
          <w:sz w:val="22"/>
          <w:szCs w:val="22"/>
        </w:rPr>
        <w:t xml:space="preserve"> command</w:t>
      </w:r>
      <w:r w:rsidR="00713611">
        <w:rPr>
          <w:rFonts w:ascii="Arial" w:hAnsi="Arial" w:cs="Arial"/>
          <w:sz w:val="22"/>
          <w:szCs w:val="22"/>
        </w:rPr>
        <w:t xml:space="preserve"> (described in </w:t>
      </w:r>
      <w:r w:rsidR="00713611" w:rsidRPr="001F1C09">
        <w:rPr>
          <w:rFonts w:ascii="Arial" w:hAnsi="Arial" w:cs="Arial"/>
          <w:sz w:val="22"/>
          <w:szCs w:val="22"/>
        </w:rPr>
        <w:t xml:space="preserve">section </w:t>
      </w:r>
      <w:r w:rsidR="004E4EC1" w:rsidRPr="005577A2">
        <w:rPr>
          <w:rFonts w:ascii="Arial" w:hAnsi="Arial" w:cs="Arial"/>
          <w:sz w:val="22"/>
          <w:szCs w:val="22"/>
        </w:rPr>
        <w:t>6</w:t>
      </w:r>
      <w:r w:rsidR="00713611">
        <w:rPr>
          <w:rFonts w:ascii="Arial" w:hAnsi="Arial" w:cs="Arial"/>
          <w:sz w:val="22"/>
          <w:szCs w:val="22"/>
        </w:rPr>
        <w:t>)</w:t>
      </w:r>
      <w:r w:rsidR="00B14256" w:rsidRPr="00B14256">
        <w:rPr>
          <w:rFonts w:ascii="Arial" w:hAnsi="Arial" w:cs="Arial"/>
          <w:sz w:val="22"/>
          <w:szCs w:val="22"/>
        </w:rPr>
        <w:t xml:space="preserve">. </w:t>
      </w:r>
    </w:p>
    <w:p w14:paraId="12D65D0A" w14:textId="77777777" w:rsidR="004E4EC1" w:rsidRDefault="004E4EC1" w:rsidP="001F1C09"/>
    <w:p w14:paraId="37418C5B" w14:textId="53EC9330" w:rsidR="00E82418" w:rsidRPr="002A063A" w:rsidRDefault="00093BF5" w:rsidP="00E82418">
      <w:pPr>
        <w:pStyle w:val="Heading3"/>
        <w:ind w:left="360"/>
        <w:rPr>
          <w:rFonts w:ascii="Arial" w:hAnsi="Arial" w:cs="Arial"/>
        </w:rPr>
      </w:pPr>
      <w:bookmarkStart w:id="17" w:name="_Toc64459915"/>
      <w:bookmarkStart w:id="18" w:name="_Toc81857621"/>
      <w:bookmarkStart w:id="19" w:name="_Toc2379544"/>
      <w:r>
        <w:rPr>
          <w:rFonts w:ascii="Arial" w:hAnsi="Arial" w:cs="Arial"/>
        </w:rPr>
        <w:t>D</w:t>
      </w:r>
      <w:r w:rsidR="00E82418" w:rsidRPr="002A063A">
        <w:rPr>
          <w:rFonts w:ascii="Arial" w:hAnsi="Arial" w:cs="Arial"/>
        </w:rPr>
        <w:t xml:space="preserve">. </w:t>
      </w:r>
      <w:r w:rsidR="00E82418">
        <w:rPr>
          <w:rFonts w:ascii="Arial" w:hAnsi="Arial" w:cs="Arial"/>
        </w:rPr>
        <w:t>Productivity</w:t>
      </w:r>
      <w:r w:rsidR="00E82418" w:rsidRPr="002A063A">
        <w:rPr>
          <w:rFonts w:ascii="Arial" w:hAnsi="Arial" w:cs="Arial"/>
        </w:rPr>
        <w:t xml:space="preserve"> Costs</w:t>
      </w:r>
      <w:bookmarkEnd w:id="17"/>
      <w:bookmarkEnd w:id="18"/>
    </w:p>
    <w:bookmarkEnd w:id="19"/>
    <w:p w14:paraId="14C85F2B" w14:textId="77777777" w:rsidR="00EC4166" w:rsidRPr="00EC4166" w:rsidRDefault="00EC4166" w:rsidP="00EC4166">
      <w:pPr>
        <w:jc w:val="both"/>
        <w:rPr>
          <w:rFonts w:ascii="Arial" w:hAnsi="Arial" w:cs="Arial"/>
          <w:sz w:val="22"/>
          <w:szCs w:val="22"/>
        </w:rPr>
      </w:pPr>
    </w:p>
    <w:p w14:paraId="65F7B223" w14:textId="33D33921" w:rsidR="00EC4166" w:rsidRPr="008D6407" w:rsidRDefault="00EC4166" w:rsidP="001F1C09">
      <w:pPr>
        <w:pStyle w:val="Heading4"/>
        <w:numPr>
          <w:ilvl w:val="0"/>
          <w:numId w:val="14"/>
        </w:numPr>
        <w:ind w:left="1440"/>
        <w:rPr>
          <w:rFonts w:ascii="Arial" w:hAnsi="Arial" w:cs="Arial"/>
          <w:color w:val="000000" w:themeColor="text1"/>
        </w:rPr>
      </w:pPr>
      <w:r w:rsidRPr="008D6407">
        <w:rPr>
          <w:rFonts w:ascii="Arial" w:hAnsi="Arial" w:cs="Arial"/>
          <w:color w:val="000000" w:themeColor="text1"/>
        </w:rPr>
        <w:t>Lost Wages</w:t>
      </w:r>
    </w:p>
    <w:p w14:paraId="6A79C76C" w14:textId="77777777" w:rsidR="00EC4166" w:rsidRPr="00EC4166" w:rsidRDefault="00EC4166" w:rsidP="001F1C09">
      <w:pPr>
        <w:ind w:left="720"/>
        <w:jc w:val="both"/>
        <w:rPr>
          <w:rFonts w:ascii="Arial" w:hAnsi="Arial" w:cs="Arial"/>
          <w:sz w:val="22"/>
          <w:szCs w:val="22"/>
        </w:rPr>
      </w:pPr>
    </w:p>
    <w:p w14:paraId="5CE46ADA" w14:textId="37B0F839" w:rsidR="00EC4166" w:rsidRPr="00EC4166" w:rsidRDefault="00EC4166" w:rsidP="001F1C09">
      <w:pPr>
        <w:ind w:left="720"/>
        <w:jc w:val="both"/>
        <w:rPr>
          <w:rFonts w:ascii="Arial" w:hAnsi="Arial" w:cs="Arial"/>
          <w:sz w:val="22"/>
          <w:szCs w:val="22"/>
        </w:rPr>
      </w:pPr>
      <w:r w:rsidRPr="00EC4166">
        <w:rPr>
          <w:rFonts w:ascii="Arial" w:hAnsi="Arial" w:cs="Arial"/>
          <w:sz w:val="22"/>
          <w:szCs w:val="22"/>
        </w:rPr>
        <w:t xml:space="preserve">Lost wages due to absenteeism, were calculated by: (1) estimating the working population in each country by multiplying the </w:t>
      </w:r>
      <w:r w:rsidR="00423E4A">
        <w:rPr>
          <w:rFonts w:ascii="Arial" w:hAnsi="Arial" w:cs="Arial"/>
          <w:sz w:val="22"/>
          <w:szCs w:val="22"/>
        </w:rPr>
        <w:t>15-49 year old</w:t>
      </w:r>
      <w:r w:rsidRPr="00EC4166">
        <w:rPr>
          <w:rFonts w:ascii="Arial" w:hAnsi="Arial" w:cs="Arial"/>
          <w:sz w:val="22"/>
          <w:szCs w:val="22"/>
        </w:rPr>
        <w:t xml:space="preserve"> population</w:t>
      </w:r>
      <w:r w:rsidR="000F3C85">
        <w:rPr>
          <w:rFonts w:ascii="Arial" w:hAnsi="Arial" w:cs="Arial"/>
          <w:sz w:val="22"/>
          <w:szCs w:val="22"/>
        </w:rPr>
        <w:t>,</w:t>
      </w:r>
      <w:r w:rsidRPr="00EC4166">
        <w:rPr>
          <w:rFonts w:ascii="Arial" w:hAnsi="Arial" w:cs="Arial"/>
          <w:sz w:val="22"/>
          <w:szCs w:val="22"/>
        </w:rPr>
        <w:t xml:space="preserve"> by the employment/population ratio (both available from ILOSTAT</w:t>
      </w:r>
      <w:r w:rsidRPr="00EC4166">
        <w:rPr>
          <w:rFonts w:ascii="Arial" w:hAnsi="Arial" w:cs="Arial"/>
          <w:sz w:val="22"/>
          <w:szCs w:val="22"/>
        </w:rPr>
        <w:fldChar w:fldCharType="begin"/>
      </w:r>
      <w:r w:rsidR="0081559F">
        <w:rPr>
          <w:rFonts w:ascii="Arial" w:hAnsi="Arial" w:cs="Arial"/>
          <w:sz w:val="22"/>
          <w:szCs w:val="22"/>
        </w:rPr>
        <w:instrText xml:space="preserve"> ADDIN ZOTERO_ITEM CSL_CITATION {"citationID":"audl4lrmnk","properties":{"formattedCitation":"[17]","plainCitation":"[17]","noteIndex":0},"citationItems":[{"id":1715,"uris":["http://zotero.org/users/local/p8g0WsVO/items/W2D2IVR5"],"itemData":{"id":1715,"type":"webpage","title":"ILOSTAT - the world's leading source on labour statistics","URL":"http://www.ilo.org/ilostat/faces/wcnav_defaultSelection;ILOSTATCOOKIE=Zn6oS2hA4g9ckMXyT3l2JTeORaorY-9iwKzOw5xWoemTpxGz2-Kg!125143199?_afrLoop=966594818050688&amp;_afrWindowMode=0&amp;_afrWindowId=null#!%40%40%3F_afrWindowId%3Dnull%26_afrLoop%3D966594818050688%26_afrWindowMode%3D0%26_adf.ctrl-state%3Dpqa11aqbo_4","accessed":{"date-parts":[["2018",5,28]]}}}],"schema":"https://github.com/citation-style-language/schema/raw/master/csl-citation.json"} </w:instrText>
      </w:r>
      <w:r w:rsidRPr="00EC4166">
        <w:rPr>
          <w:rFonts w:ascii="Arial" w:hAnsi="Arial" w:cs="Arial"/>
          <w:sz w:val="22"/>
          <w:szCs w:val="22"/>
        </w:rPr>
        <w:fldChar w:fldCharType="separate"/>
      </w:r>
      <w:r w:rsidR="0081559F">
        <w:rPr>
          <w:rFonts w:ascii="Arial" w:hAnsi="Arial" w:cs="Arial"/>
          <w:sz w:val="22"/>
        </w:rPr>
        <w:t>[17]</w:t>
      </w:r>
      <w:r w:rsidRPr="00EC4166">
        <w:rPr>
          <w:rFonts w:ascii="Arial" w:hAnsi="Arial" w:cs="Arial"/>
          <w:sz w:val="22"/>
          <w:szCs w:val="22"/>
        </w:rPr>
        <w:fldChar w:fldCharType="end"/>
      </w:r>
      <w:r w:rsidRPr="00EC4166">
        <w:rPr>
          <w:rFonts w:ascii="Arial" w:hAnsi="Arial" w:cs="Arial"/>
          <w:sz w:val="22"/>
          <w:szCs w:val="22"/>
        </w:rPr>
        <w:t>); (2) estimating the proportion of the working population expected to have an incident/prevalent infection; (</w:t>
      </w:r>
      <w:r w:rsidR="000F3C85">
        <w:rPr>
          <w:rFonts w:ascii="Arial" w:hAnsi="Arial" w:cs="Arial"/>
          <w:sz w:val="22"/>
          <w:szCs w:val="22"/>
        </w:rPr>
        <w:t>3</w:t>
      </w:r>
      <w:r w:rsidRPr="00EC4166">
        <w:rPr>
          <w:rFonts w:ascii="Arial" w:hAnsi="Arial" w:cs="Arial"/>
          <w:sz w:val="22"/>
          <w:szCs w:val="22"/>
        </w:rPr>
        <w:t xml:space="preserve">) </w:t>
      </w:r>
      <w:r w:rsidR="000F3C85">
        <w:rPr>
          <w:rFonts w:ascii="Arial" w:hAnsi="Arial" w:cs="Arial"/>
          <w:sz w:val="22"/>
          <w:szCs w:val="22"/>
        </w:rPr>
        <w:t xml:space="preserve">estimating the population in each disease states; (5) </w:t>
      </w:r>
      <w:r w:rsidRPr="00EC4166">
        <w:rPr>
          <w:rFonts w:ascii="Arial" w:hAnsi="Arial" w:cs="Arial"/>
          <w:sz w:val="22"/>
          <w:szCs w:val="22"/>
        </w:rPr>
        <w:t xml:space="preserve">multiplying the values in </w:t>
      </w:r>
      <w:r w:rsidR="000F3C85">
        <w:rPr>
          <w:rFonts w:ascii="Arial" w:hAnsi="Arial" w:cs="Arial"/>
          <w:sz w:val="22"/>
          <w:szCs w:val="22"/>
        </w:rPr>
        <w:t xml:space="preserve">(1), </w:t>
      </w:r>
      <w:r w:rsidRPr="00EC4166">
        <w:rPr>
          <w:rFonts w:ascii="Arial" w:hAnsi="Arial" w:cs="Arial"/>
          <w:sz w:val="22"/>
          <w:szCs w:val="22"/>
        </w:rPr>
        <w:t xml:space="preserve">(2) </w:t>
      </w:r>
      <w:r w:rsidR="000F3C85">
        <w:rPr>
          <w:rFonts w:ascii="Arial" w:hAnsi="Arial" w:cs="Arial"/>
          <w:sz w:val="22"/>
          <w:szCs w:val="22"/>
        </w:rPr>
        <w:t xml:space="preserve">and </w:t>
      </w:r>
      <w:r w:rsidR="000F3C85">
        <w:rPr>
          <w:rFonts w:ascii="Arial" w:hAnsi="Arial" w:cs="Arial"/>
          <w:sz w:val="22"/>
          <w:szCs w:val="22"/>
        </w:rPr>
        <w:lastRenderedPageBreak/>
        <w:t xml:space="preserve">(3) </w:t>
      </w:r>
      <w:r w:rsidRPr="00EC4166">
        <w:rPr>
          <w:rFonts w:ascii="Arial" w:hAnsi="Arial" w:cs="Arial"/>
          <w:sz w:val="22"/>
          <w:szCs w:val="22"/>
        </w:rPr>
        <w:t xml:space="preserve">by the number of absent days </w:t>
      </w:r>
      <w:r w:rsidR="000F3C85">
        <w:rPr>
          <w:rFonts w:ascii="Arial" w:hAnsi="Arial" w:cs="Arial"/>
          <w:sz w:val="22"/>
          <w:szCs w:val="22"/>
        </w:rPr>
        <w:t xml:space="preserve">expected </w:t>
      </w:r>
      <w:r w:rsidRPr="00EC4166">
        <w:rPr>
          <w:rFonts w:ascii="Arial" w:hAnsi="Arial" w:cs="Arial"/>
          <w:sz w:val="22"/>
          <w:szCs w:val="22"/>
        </w:rPr>
        <w:t xml:space="preserve">for each disease state by the daily wage rate for the respective country (available from ILOSTAT as a single wage rate rather than an age-specific rate). </w:t>
      </w:r>
      <w:r w:rsidR="000F3C85">
        <w:rPr>
          <w:rFonts w:ascii="Arial" w:hAnsi="Arial" w:cs="Arial"/>
          <w:sz w:val="22"/>
          <w:szCs w:val="22"/>
        </w:rPr>
        <w:t>Per Patel et al. for mild</w:t>
      </w:r>
      <w:r w:rsidR="003F7254">
        <w:rPr>
          <w:rFonts w:ascii="Arial" w:hAnsi="Arial" w:cs="Arial"/>
          <w:sz w:val="22"/>
          <w:szCs w:val="22"/>
        </w:rPr>
        <w:t xml:space="preserve"> to </w:t>
      </w:r>
      <w:r w:rsidR="002F6CFE">
        <w:rPr>
          <w:rFonts w:ascii="Arial" w:hAnsi="Arial" w:cs="Arial"/>
          <w:sz w:val="22"/>
          <w:szCs w:val="22"/>
        </w:rPr>
        <w:t xml:space="preserve">moderate </w:t>
      </w:r>
      <w:r w:rsidR="000F3C85">
        <w:rPr>
          <w:rFonts w:ascii="Arial" w:hAnsi="Arial" w:cs="Arial"/>
          <w:sz w:val="22"/>
          <w:szCs w:val="22"/>
        </w:rPr>
        <w:t>episode</w:t>
      </w:r>
      <w:r w:rsidR="002F6CFE">
        <w:rPr>
          <w:rFonts w:ascii="Arial" w:hAnsi="Arial" w:cs="Arial"/>
          <w:sz w:val="22"/>
          <w:szCs w:val="22"/>
        </w:rPr>
        <w:t>s,</w:t>
      </w:r>
      <w:r w:rsidR="000F3C85">
        <w:rPr>
          <w:rFonts w:ascii="Arial" w:hAnsi="Arial" w:cs="Arial"/>
          <w:sz w:val="22"/>
          <w:szCs w:val="22"/>
        </w:rPr>
        <w:t xml:space="preserve"> </w:t>
      </w:r>
      <w:r w:rsidR="002F6CFE">
        <w:rPr>
          <w:rFonts w:ascii="Arial" w:hAnsi="Arial" w:cs="Arial"/>
          <w:sz w:val="22"/>
          <w:szCs w:val="22"/>
        </w:rPr>
        <w:t>0</w:t>
      </w:r>
      <w:r w:rsidR="000F3C85">
        <w:rPr>
          <w:rFonts w:ascii="Arial" w:hAnsi="Arial" w:cs="Arial"/>
          <w:sz w:val="22"/>
          <w:szCs w:val="22"/>
        </w:rPr>
        <w:t>.</w:t>
      </w:r>
      <w:r w:rsidR="002F6CFE">
        <w:rPr>
          <w:rFonts w:ascii="Arial" w:hAnsi="Arial" w:cs="Arial"/>
          <w:sz w:val="22"/>
          <w:szCs w:val="22"/>
        </w:rPr>
        <w:t>4</w:t>
      </w:r>
      <w:r w:rsidR="000F3C85">
        <w:rPr>
          <w:rFonts w:ascii="Arial" w:hAnsi="Arial" w:cs="Arial"/>
          <w:sz w:val="22"/>
          <w:szCs w:val="22"/>
        </w:rPr>
        <w:t xml:space="preserve"> </w:t>
      </w:r>
      <w:r w:rsidR="005B5C1A">
        <w:rPr>
          <w:rFonts w:ascii="Arial" w:hAnsi="Arial" w:cs="Arial"/>
          <w:sz w:val="22"/>
          <w:szCs w:val="22"/>
        </w:rPr>
        <w:t xml:space="preserve">work </w:t>
      </w:r>
      <w:r w:rsidR="000F3C85">
        <w:rPr>
          <w:rFonts w:ascii="Arial" w:hAnsi="Arial" w:cs="Arial"/>
          <w:sz w:val="22"/>
          <w:szCs w:val="22"/>
        </w:rPr>
        <w:t>days were lost on average</w:t>
      </w:r>
      <w:r w:rsidR="002F6CFE">
        <w:rPr>
          <w:rFonts w:ascii="Arial" w:hAnsi="Arial" w:cs="Arial"/>
          <w:sz w:val="22"/>
          <w:szCs w:val="22"/>
        </w:rPr>
        <w:t xml:space="preserve">, </w:t>
      </w:r>
      <w:r w:rsidR="006D0B2C">
        <w:rPr>
          <w:rFonts w:ascii="Arial" w:hAnsi="Arial" w:cs="Arial"/>
          <w:sz w:val="22"/>
          <w:szCs w:val="22"/>
        </w:rPr>
        <w:t xml:space="preserve">and 0.8 days were lost on average for a severe episode, </w:t>
      </w:r>
      <w:r w:rsidR="002F6CFE">
        <w:rPr>
          <w:rFonts w:ascii="Arial" w:hAnsi="Arial" w:cs="Arial"/>
          <w:sz w:val="22"/>
          <w:szCs w:val="22"/>
        </w:rPr>
        <w:t>over a three-month period</w:t>
      </w:r>
      <w:r w:rsidR="007A7E92">
        <w:rPr>
          <w:rFonts w:ascii="Arial" w:hAnsi="Arial" w:cs="Arial"/>
          <w:sz w:val="22"/>
          <w:szCs w:val="22"/>
        </w:rPr>
        <w:fldChar w:fldCharType="begin"/>
      </w:r>
      <w:r w:rsidR="0081559F">
        <w:rPr>
          <w:rFonts w:ascii="Arial" w:hAnsi="Arial" w:cs="Arial"/>
          <w:sz w:val="22"/>
          <w:szCs w:val="22"/>
        </w:rPr>
        <w:instrText xml:space="preserve"> ADDIN ZOTERO_ITEM CSL_CITATION {"citationID":"aaKWcMR9","properties":{"formattedCitation":"[18]","plainCitation":"[18]","noteIndex":0},"citationItems":[{"id":28674,"uris":["http://zotero.org/users/local/p8g0WsVO/items/BLF89H4C"],"itemData":{"id":28674,"type":"article-journal","abstract":"Attempted to quantify the impact of recurrent genital herpes (RGH) on health-related quality of life, healthcare resource utilization, and workplace productivity. This was a cross-sectional survey conducted in 5 countries (Australia, Denmark, Italy, the Netherlands, and the UK). 298 patients (aged 18–66 yrs) with a confirmed history of RGH completed the MOS 36-Item Short Form Health Survey (SF-36) and the Recurrent Genital Herpes Quality of Life questionnaire (RGHQoL). Questionnaires addressing frequency of access to healthcare services and workplace productivity were also completed and patients' medical history was obtained. Scores for 6 of the 8 domains of the SF-36 were significantly lower (i.e., worse) compared with scores for the normal population. The RGHQoL score was significantly lower in patients experiencing more frequent or more severe recurrences. 31% of Ss had felt depressed or sad for much of the time in the last year, while 29% had experienced sadness or depression on most days for 2 yrs or more. 45% of patients estimated that their work effectiveness was reduced by between 25% and 50% due to RGH symptoms. In the previous 3 mo, patients made an average of 1.9 physician visits because of RGH. Results suggest that RHG causes a significant psychosocial burden. (PsycINFO Database Record (c) 2016 APA, all rights reserved)","container-title":"International Journal of STD &amp; AIDS","DOI":"10.1258/0956462011923859","ISSN":"1758-1052(Electronic),0956-4624(Print)","issue":"10","note":"publisher-place: United Kingdom\npublisher: Royal Society of Medicine Press","page":"640-645","source":"APA PsycNET","title":"Patients' perspectives on the burden of recurrent genital herpes","volume":"12","author":[{"family":"Patel","given":"R."},{"family":"Boselli","given":"F."},{"family":"Cairo","given":"I."},{"family":"Barnett","given":"Gillian"},{"family":"Price","given":"M."},{"family":"Wulf","given":"H. C."}],"issued":{"date-parts":[["2001"]]}}}],"schema":"https://github.com/citation-style-language/schema/raw/master/csl-citation.json"} </w:instrText>
      </w:r>
      <w:r w:rsidR="007A7E92">
        <w:rPr>
          <w:rFonts w:ascii="Arial" w:hAnsi="Arial" w:cs="Arial"/>
          <w:sz w:val="22"/>
          <w:szCs w:val="22"/>
        </w:rPr>
        <w:fldChar w:fldCharType="separate"/>
      </w:r>
      <w:r w:rsidR="0081559F">
        <w:rPr>
          <w:rFonts w:ascii="Arial" w:hAnsi="Arial" w:cs="Arial"/>
          <w:sz w:val="22"/>
        </w:rPr>
        <w:t>[18]</w:t>
      </w:r>
      <w:r w:rsidR="007A7E92">
        <w:rPr>
          <w:rFonts w:ascii="Arial" w:hAnsi="Arial" w:cs="Arial"/>
          <w:sz w:val="22"/>
          <w:szCs w:val="22"/>
        </w:rPr>
        <w:fldChar w:fldCharType="end"/>
      </w:r>
      <w:r w:rsidR="000F3C85">
        <w:rPr>
          <w:rFonts w:ascii="Arial" w:hAnsi="Arial" w:cs="Arial"/>
          <w:sz w:val="22"/>
          <w:szCs w:val="22"/>
        </w:rPr>
        <w:t xml:space="preserve">. </w:t>
      </w:r>
      <w:r w:rsidR="00C75C69">
        <w:rPr>
          <w:rFonts w:ascii="Arial" w:hAnsi="Arial" w:cs="Arial"/>
          <w:sz w:val="22"/>
          <w:szCs w:val="22"/>
        </w:rPr>
        <w:t xml:space="preserve">We assumed that frequent recurrences were severe and therefore </w:t>
      </w:r>
      <w:r w:rsidR="002F6CFE">
        <w:rPr>
          <w:rFonts w:ascii="Arial" w:hAnsi="Arial" w:cs="Arial"/>
          <w:sz w:val="22"/>
          <w:szCs w:val="22"/>
        </w:rPr>
        <w:t>0</w:t>
      </w:r>
      <w:r w:rsidR="00C75C69">
        <w:rPr>
          <w:rFonts w:ascii="Arial" w:hAnsi="Arial" w:cs="Arial"/>
          <w:sz w:val="22"/>
          <w:szCs w:val="22"/>
        </w:rPr>
        <w:t>.</w:t>
      </w:r>
      <w:r w:rsidR="002F6CFE">
        <w:rPr>
          <w:rFonts w:ascii="Arial" w:hAnsi="Arial" w:cs="Arial"/>
          <w:sz w:val="22"/>
          <w:szCs w:val="22"/>
        </w:rPr>
        <w:t>8</w:t>
      </w:r>
      <w:r w:rsidR="00C75C69">
        <w:rPr>
          <w:rFonts w:ascii="Arial" w:hAnsi="Arial" w:cs="Arial"/>
          <w:sz w:val="22"/>
          <w:szCs w:val="22"/>
        </w:rPr>
        <w:t xml:space="preserve"> days would be lost</w:t>
      </w:r>
      <w:r w:rsidR="002F6CFE">
        <w:rPr>
          <w:rFonts w:ascii="Arial" w:hAnsi="Arial" w:cs="Arial"/>
          <w:sz w:val="22"/>
          <w:szCs w:val="22"/>
        </w:rPr>
        <w:t xml:space="preserve"> per three months</w:t>
      </w:r>
      <w:r w:rsidR="000F3C85">
        <w:rPr>
          <w:rFonts w:ascii="Arial" w:hAnsi="Arial" w:cs="Arial"/>
          <w:sz w:val="22"/>
          <w:szCs w:val="22"/>
        </w:rPr>
        <w:t xml:space="preserve">. </w:t>
      </w:r>
      <w:r w:rsidRPr="00EC4166">
        <w:rPr>
          <w:rFonts w:ascii="Arial" w:hAnsi="Arial" w:cs="Arial"/>
          <w:sz w:val="22"/>
          <w:szCs w:val="22"/>
        </w:rPr>
        <w:t xml:space="preserve">Where the needed ILO wage data was not available, the values were estimated using  </w:t>
      </w:r>
      <w:r w:rsidR="00AB3394">
        <w:rPr>
          <w:rFonts w:ascii="Arial" w:hAnsi="Arial" w:cs="Arial"/>
          <w:sz w:val="22"/>
          <w:szCs w:val="22"/>
        </w:rPr>
        <w:t>a</w:t>
      </w:r>
      <w:r w:rsidRPr="00EC4166">
        <w:rPr>
          <w:rFonts w:ascii="Arial" w:hAnsi="Arial" w:cs="Arial"/>
          <w:sz w:val="22"/>
          <w:szCs w:val="22"/>
        </w:rPr>
        <w:t xml:space="preserve"> regression model </w:t>
      </w:r>
      <w:r w:rsidR="00AB3394">
        <w:rPr>
          <w:rFonts w:ascii="Arial" w:hAnsi="Arial" w:cs="Arial"/>
          <w:sz w:val="22"/>
          <w:szCs w:val="22"/>
        </w:rPr>
        <w:t>with the GNI per capita (</w:t>
      </w:r>
      <m:oMath>
        <m:r>
          <w:rPr>
            <w:rFonts w:ascii="Cambria Math" w:hAnsi="Cambria Math" w:cs="Arial"/>
            <w:sz w:val="22"/>
            <w:szCs w:val="22"/>
          </w:rPr>
          <m:t>Y</m:t>
        </m:r>
      </m:oMath>
      <w:r w:rsidR="00AB3394">
        <w:rPr>
          <w:rFonts w:ascii="Arial" w:eastAsiaTheme="minorEastAsia" w:hAnsi="Arial" w:cs="Arial"/>
          <w:sz w:val="22"/>
          <w:szCs w:val="22"/>
        </w:rPr>
        <w:t>)</w:t>
      </w:r>
      <w:r w:rsidR="00AB3394" w:rsidRPr="00EC4166">
        <w:rPr>
          <w:rFonts w:ascii="Arial" w:hAnsi="Arial" w:cs="Arial"/>
          <w:sz w:val="22"/>
          <w:szCs w:val="22"/>
        </w:rPr>
        <w:t xml:space="preserve"> </w:t>
      </w:r>
      <w:r w:rsidR="00AB3394">
        <w:rPr>
          <w:rFonts w:ascii="Arial" w:hAnsi="Arial" w:cs="Arial"/>
          <w:sz w:val="22"/>
          <w:szCs w:val="22"/>
        </w:rPr>
        <w:t xml:space="preserve">as a predictor </w:t>
      </w:r>
      <w:r w:rsidRPr="00EC4166">
        <w:rPr>
          <w:rFonts w:ascii="Arial" w:hAnsi="Arial" w:cs="Arial"/>
          <w:sz w:val="22"/>
          <w:szCs w:val="22"/>
        </w:rPr>
        <w:t>(in constant 20</w:t>
      </w:r>
      <w:r w:rsidR="00423E4A">
        <w:rPr>
          <w:rFonts w:ascii="Arial" w:hAnsi="Arial" w:cs="Arial"/>
          <w:sz w:val="22"/>
          <w:szCs w:val="22"/>
        </w:rPr>
        <w:t>20</w:t>
      </w:r>
      <w:r w:rsidRPr="00EC4166">
        <w:rPr>
          <w:rFonts w:ascii="Arial" w:hAnsi="Arial" w:cs="Arial"/>
          <w:sz w:val="22"/>
          <w:szCs w:val="22"/>
        </w:rPr>
        <w:t xml:space="preserve"> US$ rates)</w:t>
      </w:r>
      <w:r w:rsidRPr="00EC4166">
        <w:rPr>
          <w:rFonts w:ascii="Arial" w:hAnsi="Arial" w:cs="Arial"/>
          <w:sz w:val="22"/>
          <w:szCs w:val="22"/>
        </w:rPr>
        <w:fldChar w:fldCharType="begin"/>
      </w:r>
      <w:r w:rsidR="0081559F">
        <w:rPr>
          <w:rFonts w:ascii="Arial" w:hAnsi="Arial" w:cs="Arial"/>
          <w:sz w:val="22"/>
          <w:szCs w:val="22"/>
        </w:rPr>
        <w:instrText xml:space="preserve"> ADDIN ZOTERO_ITEM CSL_CITATION {"citationID":"fTC9BGtN","properties":{"formattedCitation":"[19]","plainCitation":"[19]","noteIndex":0},"citationItems":[{"id":24009,"uris":["http://zotero.org/users/local/p8g0WsVO/items/DLMQAWW3"],"itemData":{"id":24009,"type":"article-journal","abstract":"BACKGROUND: A 4-month first-line treatment regimen for tuberculosis disease (TB) is expected to have a direct impact on patient outcomes and societal costs, as well as an indirect impact on Mycobacterium tuberculosis transmission. We aimed to estimate this combined impact in a high TB-burden country: South Africa.\nMETHOD: An individual based M. tb transmission model was fitted to the TB burden of South Africa using a standard TB natural history framework. We measured the impact on TB burden from 2015-2035 of introduction of a non-inferior 4-month regimen replacing the standard 6-month regimen as first-line therapy. Impact was measured with respect to three separate baselines (Guidelines, Policy and Current), reflecting differences in adherence to TB and HIV treatment guidelines. Further scenario analyses considered the variation in treatment-related parameters and resistance levels. Impact was measured in terms of differences in TB burden and Disability Adjusted Life Years (DALYs) averted. We also examined the highest cost at which the new regimen would be cost-effective for several willingness-to-pay thresholds.\nRESULTS: It was estimated that a 4-month regimen would avert less than 1% of the predicted 6 million person years with TB disease in South Africa between 2015 and 2035. A similarly small impact was seen on deaths and DALYs averted. Despite this small impact, with the health systems and patient cost savings from regimen shortening, the 4-month regimen could be cost-effective at $436 [NA, 5983] (mean [range]) per month at a willingness-to-pay threshold of one GDP per capita ($6,618).\nCONCLUSION: The introduction of a non-inferior 4-month first-line TB regimen into South Africa would have little impact on the TB burden. However, under several scenarios, it is likely that the averted societal costs would make such a regimen cost-effective in South Africa.","container-title":"PloS One","DOI":"10.1371/journal.pone.0145796","ISSN":"1932-6203","issue":"12","journalAbbreviation":"PLoS ONE","language":"eng","note":"PMID: 26717007\nPMCID: PMC4696677","page":"e0145796","title":"The Impact and Cost-Effectiveness of a Four-Month Regimen for First-Line Treatment of Active Tuberculosis in South Africa","volume":"10","author":[{"family":"Knight","given":"Gwenan M."},{"family":"Gomez","given":"Gabriela B."},{"family":"Dodd","given":"Peter J."},{"family":"Dowdy","given":"David"},{"family":"Zwerling","given":"Alice"},{"family":"Wells","given":"William A."},{"family":"Cobelens","given":"Frank"},{"family":"Vassall","given":"Anna"},{"family":"White","given":"Richard G."}],"issued":{"date-parts":[["2015"]]}}}],"schema":"https://github.com/citation-style-language/schema/raw/master/csl-citation.json"} </w:instrText>
      </w:r>
      <w:r w:rsidRPr="00EC4166">
        <w:rPr>
          <w:rFonts w:ascii="Arial" w:hAnsi="Arial" w:cs="Arial"/>
          <w:sz w:val="22"/>
          <w:szCs w:val="22"/>
        </w:rPr>
        <w:fldChar w:fldCharType="separate"/>
      </w:r>
      <w:r w:rsidR="0081559F">
        <w:rPr>
          <w:rFonts w:ascii="Arial" w:hAnsi="Arial" w:cs="Arial"/>
          <w:sz w:val="22"/>
        </w:rPr>
        <w:t>[19]</w:t>
      </w:r>
      <w:r w:rsidRPr="00EC4166">
        <w:rPr>
          <w:rFonts w:ascii="Arial" w:hAnsi="Arial" w:cs="Arial"/>
          <w:sz w:val="22"/>
          <w:szCs w:val="22"/>
        </w:rPr>
        <w:fldChar w:fldCharType="end"/>
      </w:r>
      <w:r w:rsidRPr="00EC4166">
        <w:rPr>
          <w:rFonts w:ascii="Arial" w:hAnsi="Arial" w:cs="Arial"/>
          <w:sz w:val="22"/>
          <w:szCs w:val="22"/>
        </w:rPr>
        <w:t>. Regression diagnostics (residuals vs. predicted values, qq-plots were etc.) were run to confirm the validity of the regression.</w:t>
      </w:r>
      <w:r w:rsidR="002A6E7A">
        <w:rPr>
          <w:rFonts w:ascii="Arial" w:hAnsi="Arial" w:cs="Arial"/>
          <w:sz w:val="22"/>
          <w:szCs w:val="22"/>
        </w:rPr>
        <w:t xml:space="preserve"> </w:t>
      </w:r>
    </w:p>
    <w:p w14:paraId="41E40742" w14:textId="77777777" w:rsidR="00EC4166" w:rsidRPr="00EC4166" w:rsidRDefault="00EC4166" w:rsidP="001F1C09">
      <w:pPr>
        <w:ind w:left="720"/>
        <w:jc w:val="both"/>
        <w:rPr>
          <w:rFonts w:ascii="Arial" w:hAnsi="Arial" w:cs="Arial"/>
          <w:sz w:val="22"/>
          <w:szCs w:val="22"/>
        </w:rPr>
      </w:pPr>
    </w:p>
    <w:p w14:paraId="63F7558D" w14:textId="10034652" w:rsidR="00EC4166" w:rsidRPr="00423E4A" w:rsidRDefault="00EC4166" w:rsidP="001F1C09">
      <w:pPr>
        <w:ind w:left="720"/>
        <w:jc w:val="both"/>
        <w:rPr>
          <w:rFonts w:ascii="Arial" w:eastAsiaTheme="minorEastAsia" w:hAnsi="Arial" w:cs="Arial"/>
          <w:sz w:val="22"/>
          <w:szCs w:val="22"/>
        </w:rPr>
      </w:pPr>
      <m:oMathPara>
        <m:oMath>
          <m:r>
            <w:rPr>
              <w:rFonts w:ascii="Cambria Math" w:hAnsi="Cambria Math" w:cs="Arial"/>
              <w:sz w:val="22"/>
              <w:szCs w:val="22"/>
            </w:rPr>
            <m:t xml:space="preserve">Monthly Wages=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0</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Log(Y)+</m:t>
          </m:r>
          <m:r>
            <w:rPr>
              <w:rFonts w:ascii="Cambria Math" w:eastAsiaTheme="minorEastAsia" w:hAnsi="Cambria Math" w:cs="Arial"/>
              <w:sz w:val="22"/>
              <w:szCs w:val="22"/>
            </w:rPr>
            <m:t>ε</m:t>
          </m:r>
        </m:oMath>
      </m:oMathPara>
    </w:p>
    <w:p w14:paraId="4006AF8D" w14:textId="77777777" w:rsidR="00423E4A" w:rsidRPr="00EC4166" w:rsidRDefault="00423E4A" w:rsidP="001F1C09">
      <w:pPr>
        <w:ind w:left="720"/>
        <w:jc w:val="both"/>
        <w:rPr>
          <w:rFonts w:ascii="Arial" w:hAnsi="Arial" w:cs="Arial"/>
          <w:sz w:val="22"/>
          <w:szCs w:val="22"/>
        </w:rPr>
      </w:pPr>
    </w:p>
    <w:p w14:paraId="25BA48AA" w14:textId="1461F941" w:rsidR="00EC4166" w:rsidRPr="00EC4166" w:rsidRDefault="00000000" w:rsidP="001F1C09">
      <w:pPr>
        <w:ind w:left="720"/>
        <w:rPr>
          <w:rFonts w:ascii="Arial" w:hAnsi="Arial" w:cs="Arial"/>
          <w:sz w:val="22"/>
          <w:szCs w:val="22"/>
        </w:rPr>
      </w:pPr>
      <m:oMathPara>
        <m:oMath>
          <m:sSub>
            <m:sSubPr>
              <m:ctrlPr>
                <w:rPr>
                  <w:rFonts w:ascii="Cambria Math" w:hAnsi="Cambria Math" w:cs="Arial"/>
                  <w:i/>
                  <w:sz w:val="22"/>
                  <w:szCs w:val="22"/>
                </w:rPr>
              </m:ctrlPr>
            </m:sSubPr>
            <m:e>
              <m:eqArr>
                <m:eqArrPr>
                  <m:ctrlPr>
                    <w:rPr>
                      <w:rFonts w:ascii="Cambria Math" w:hAnsi="Cambria Math" w:cs="Arial"/>
                      <w:i/>
                      <w:sz w:val="22"/>
                      <w:szCs w:val="22"/>
                    </w:rPr>
                  </m:ctrlPr>
                </m:eqArrPr>
                <m:e>
                  <m:r>
                    <w:rPr>
                      <w:rFonts w:ascii="Cambria Math" w:hAnsi="Cambria Math" w:cs="Arial"/>
                      <w:sz w:val="22"/>
                      <w:szCs w:val="22"/>
                    </w:rPr>
                    <m:t xml:space="preserve"> </m:t>
                  </m:r>
                </m:e>
                <m:e>
                  <m:r>
                    <w:rPr>
                      <w:rFonts w:ascii="Cambria Math" w:hAnsi="Cambria Math" w:cs="Arial"/>
                      <w:sz w:val="22"/>
                      <w:szCs w:val="22"/>
                    </w:rPr>
                    <m:t>β</m:t>
                  </m:r>
                </m:e>
              </m:eqArr>
            </m:e>
            <m:sub>
              <m:r>
                <w:rPr>
                  <w:rFonts w:ascii="Cambria Math" w:hAnsi="Cambria Math" w:cs="Arial"/>
                  <w:sz w:val="22"/>
                  <w:szCs w:val="22"/>
                </w:rPr>
                <m:t>0</m:t>
              </m:r>
            </m:sub>
          </m:sSub>
          <m:r>
            <w:rPr>
              <w:rFonts w:ascii="Cambria Math" w:hAnsi="Cambria Math" w:cs="Arial"/>
              <w:sz w:val="22"/>
              <w:szCs w:val="22"/>
            </w:rPr>
            <m:t>=11.726;</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=0.081</m:t>
          </m:r>
        </m:oMath>
      </m:oMathPara>
    </w:p>
    <w:p w14:paraId="76826EC8" w14:textId="14EAAC50" w:rsidR="00EC4166" w:rsidRPr="001F1C09" w:rsidRDefault="00E84CA7" w:rsidP="00EC4166">
      <w:pPr>
        <w:pStyle w:val="Heading3"/>
        <w:rPr>
          <w:rFonts w:ascii="Arial" w:hAnsi="Arial" w:cs="Arial"/>
        </w:rPr>
      </w:pPr>
      <w:bookmarkStart w:id="20" w:name="_Toc2379545"/>
      <w:bookmarkStart w:id="21" w:name="_Toc64459916"/>
      <w:bookmarkStart w:id="22" w:name="_Toc81857622"/>
      <w:r w:rsidRPr="001F1C09">
        <w:rPr>
          <w:rFonts w:ascii="Arial" w:hAnsi="Arial" w:cs="Arial"/>
        </w:rPr>
        <w:t xml:space="preserve">E. </w:t>
      </w:r>
      <w:r w:rsidR="00EC4166" w:rsidRPr="001F1C09">
        <w:rPr>
          <w:rFonts w:ascii="Arial" w:hAnsi="Arial" w:cs="Arial"/>
        </w:rPr>
        <w:t>Disutility Costs</w:t>
      </w:r>
      <w:bookmarkEnd w:id="20"/>
      <w:bookmarkEnd w:id="21"/>
      <w:bookmarkEnd w:id="22"/>
    </w:p>
    <w:p w14:paraId="04E0E45F" w14:textId="77777777" w:rsidR="00EC4166" w:rsidRPr="00EC4166" w:rsidRDefault="00EC4166" w:rsidP="00EC4166">
      <w:pPr>
        <w:rPr>
          <w:rFonts w:ascii="Arial" w:hAnsi="Arial" w:cs="Arial"/>
          <w:sz w:val="22"/>
          <w:szCs w:val="22"/>
        </w:rPr>
      </w:pPr>
    </w:p>
    <w:p w14:paraId="42A5D1C6" w14:textId="4847FC9F" w:rsidR="00EC4166" w:rsidRPr="001F1C09" w:rsidRDefault="00EC4166" w:rsidP="001F1C09">
      <w:pPr>
        <w:pStyle w:val="Heading4"/>
        <w:numPr>
          <w:ilvl w:val="0"/>
          <w:numId w:val="15"/>
        </w:numPr>
        <w:ind w:left="1440"/>
        <w:rPr>
          <w:rFonts w:ascii="Arial" w:hAnsi="Arial" w:cs="Arial"/>
          <w:color w:val="000000" w:themeColor="text1"/>
          <w:sz w:val="22"/>
          <w:szCs w:val="22"/>
        </w:rPr>
      </w:pPr>
      <w:r w:rsidRPr="001F1C09">
        <w:rPr>
          <w:rFonts w:ascii="Arial" w:hAnsi="Arial" w:cs="Arial"/>
          <w:color w:val="000000" w:themeColor="text1"/>
          <w:sz w:val="22"/>
          <w:szCs w:val="22"/>
        </w:rPr>
        <w:t>QALY Loss</w:t>
      </w:r>
      <w:r w:rsidR="00AD271A">
        <w:rPr>
          <w:rFonts w:ascii="Arial" w:hAnsi="Arial" w:cs="Arial"/>
          <w:color w:val="000000" w:themeColor="text1"/>
          <w:sz w:val="22"/>
          <w:szCs w:val="22"/>
        </w:rPr>
        <w:t>es</w:t>
      </w:r>
    </w:p>
    <w:p w14:paraId="6E6D7AC9" w14:textId="77777777" w:rsidR="00EC4166" w:rsidRPr="00EC4166" w:rsidRDefault="00EC4166" w:rsidP="001F1C09">
      <w:pPr>
        <w:ind w:left="720"/>
        <w:rPr>
          <w:rFonts w:ascii="Arial" w:hAnsi="Arial" w:cs="Arial"/>
          <w:sz w:val="22"/>
          <w:szCs w:val="22"/>
        </w:rPr>
      </w:pPr>
    </w:p>
    <w:p w14:paraId="790C5366" w14:textId="16CBEE47" w:rsidR="00EC4166" w:rsidRDefault="00EC4166" w:rsidP="001F1C09">
      <w:pPr>
        <w:ind w:left="720"/>
        <w:jc w:val="both"/>
        <w:rPr>
          <w:rFonts w:ascii="Arial" w:hAnsi="Arial" w:cs="Arial"/>
          <w:sz w:val="22"/>
          <w:szCs w:val="22"/>
        </w:rPr>
      </w:pPr>
      <w:r w:rsidRPr="00EC4166">
        <w:rPr>
          <w:rFonts w:ascii="Arial" w:hAnsi="Arial" w:cs="Arial"/>
          <w:sz w:val="22"/>
          <w:szCs w:val="22"/>
        </w:rPr>
        <w:t>The population in each disease state surviving from 201</w:t>
      </w:r>
      <w:r w:rsidR="00C27275">
        <w:rPr>
          <w:rFonts w:ascii="Arial" w:hAnsi="Arial" w:cs="Arial"/>
          <w:sz w:val="22"/>
          <w:szCs w:val="22"/>
        </w:rPr>
        <w:t>9</w:t>
      </w:r>
      <w:r w:rsidRPr="00EC4166">
        <w:rPr>
          <w:rFonts w:ascii="Arial" w:hAnsi="Arial" w:cs="Arial"/>
          <w:sz w:val="22"/>
          <w:szCs w:val="22"/>
        </w:rPr>
        <w:t xml:space="preserve"> to 20</w:t>
      </w:r>
      <w:r w:rsidR="00C27275">
        <w:rPr>
          <w:rFonts w:ascii="Arial" w:hAnsi="Arial" w:cs="Arial"/>
          <w:sz w:val="22"/>
          <w:szCs w:val="22"/>
        </w:rPr>
        <w:t>20</w:t>
      </w:r>
      <w:r w:rsidRPr="00EC4166">
        <w:rPr>
          <w:rFonts w:ascii="Arial" w:hAnsi="Arial" w:cs="Arial"/>
          <w:sz w:val="22"/>
          <w:szCs w:val="22"/>
        </w:rPr>
        <w:t xml:space="preserve"> was first calculated by apportioning the incident and prevalent cases into each disease state and then multiplying by each country population’s probability of survival</w:t>
      </w:r>
      <w:r w:rsidR="00C27275">
        <w:rPr>
          <w:rFonts w:ascii="Arial" w:hAnsi="Arial" w:cs="Arial"/>
          <w:sz w:val="22"/>
          <w:szCs w:val="22"/>
        </w:rPr>
        <w:t xml:space="preserve"> </w:t>
      </w:r>
      <m:oMath>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x</m:t>
            </m:r>
          </m:sub>
        </m:sSub>
        <m:r>
          <w:rPr>
            <w:rFonts w:ascii="Cambria Math" w:hAnsi="Cambria Math"/>
            <w:sz w:val="22"/>
            <w:szCs w:val="22"/>
          </w:rPr>
          <m:t>)</m:t>
        </m:r>
      </m:oMath>
      <w:r w:rsidRPr="0034770D">
        <w:rPr>
          <w:rFonts w:ascii="Arial" w:hAnsi="Arial" w:cs="Arial"/>
          <w:sz w:val="22"/>
          <w:szCs w:val="22"/>
        </w:rPr>
        <w:t>,</w:t>
      </w:r>
      <w:r w:rsidRPr="00EC4166">
        <w:rPr>
          <w:rFonts w:ascii="Arial" w:hAnsi="Arial" w:cs="Arial"/>
          <w:sz w:val="22"/>
          <w:szCs w:val="22"/>
        </w:rPr>
        <w:t xml:space="preserve"> from the median age </w:t>
      </w:r>
      <m:oMath>
        <m:d>
          <m:dPr>
            <m:ctrlPr>
              <w:rPr>
                <w:rFonts w:ascii="Cambria Math" w:hAnsi="Cambria Math"/>
                <w:i/>
              </w:rPr>
            </m:ctrlPr>
          </m:dPr>
          <m:e>
            <m:r>
              <w:rPr>
                <w:rFonts w:ascii="Cambria Math" w:hAnsi="Cambria Math"/>
              </w:rPr>
              <m:t>x</m:t>
            </m:r>
          </m:e>
        </m:d>
      </m:oMath>
      <w:r w:rsidRPr="00EC4166">
        <w:rPr>
          <w:rFonts w:ascii="Arial" w:hAnsi="Arial" w:cs="Arial"/>
          <w:sz w:val="22"/>
          <w:szCs w:val="22"/>
        </w:rPr>
        <w:t xml:space="preserve"> to </w:t>
      </w:r>
      <m:oMath>
        <m:r>
          <w:rPr>
            <w:rFonts w:ascii="Cambria Math" w:hAnsi="Cambria Math"/>
          </w:rPr>
          <m:t>n=5</m:t>
        </m:r>
      </m:oMath>
      <w:r w:rsidRPr="00EC4166">
        <w:rPr>
          <w:rFonts w:ascii="Arial" w:hAnsi="Arial" w:cs="Arial"/>
          <w:sz w:val="22"/>
          <w:szCs w:val="22"/>
        </w:rPr>
        <w:t>, during the period from 2015-2020 (available as the abridged country-specific life tables for both sexes for up to age 85, from WPP</w:t>
      </w:r>
      <w:r w:rsidR="00DF7F3A">
        <w:rPr>
          <w:rFonts w:ascii="Arial" w:hAnsi="Arial" w:cs="Arial"/>
          <w:sz w:val="22"/>
          <w:szCs w:val="22"/>
        </w:rPr>
        <w:fldChar w:fldCharType="begin"/>
      </w:r>
      <w:r w:rsidR="0081559F">
        <w:rPr>
          <w:rFonts w:ascii="Arial" w:hAnsi="Arial" w:cs="Arial"/>
          <w:sz w:val="22"/>
          <w:szCs w:val="22"/>
        </w:rPr>
        <w:instrText xml:space="preserve"> ADDIN ZOTERO_ITEM CSL_CITATION {"citationID":"d8YZqfs2","properties":{"formattedCitation":"[3]","plainCitation":"[3]","noteIndex":0},"citationItems":[{"id":26881,"uris":["http://zotero.org/users/local/p8g0WsVO/items/AHQA8GZA"],"itemData":{"id":26881,"type":"webpage","title":"World Population Prospects - Population Division - United Nations","URL":"https://population.un.org/wpp/","accessed":{"date-parts":[["2019",2,17]]}}}],"schema":"https://github.com/citation-style-language/schema/raw/master/csl-citation.json"} </w:instrText>
      </w:r>
      <w:r w:rsidR="00DF7F3A">
        <w:rPr>
          <w:rFonts w:ascii="Arial" w:hAnsi="Arial" w:cs="Arial"/>
          <w:sz w:val="22"/>
          <w:szCs w:val="22"/>
        </w:rPr>
        <w:fldChar w:fldCharType="separate"/>
      </w:r>
      <w:r w:rsidR="0081559F">
        <w:rPr>
          <w:rFonts w:ascii="Arial" w:hAnsi="Arial" w:cs="Arial"/>
          <w:sz w:val="22"/>
        </w:rPr>
        <w:t>[3]</w:t>
      </w:r>
      <w:r w:rsidR="00DF7F3A">
        <w:rPr>
          <w:rFonts w:ascii="Arial" w:hAnsi="Arial" w:cs="Arial"/>
          <w:sz w:val="22"/>
          <w:szCs w:val="22"/>
        </w:rPr>
        <w:fldChar w:fldCharType="end"/>
      </w:r>
      <w:r w:rsidRPr="00EC4166">
        <w:rPr>
          <w:rFonts w:ascii="Arial" w:hAnsi="Arial" w:cs="Arial"/>
          <w:sz w:val="22"/>
          <w:szCs w:val="22"/>
        </w:rPr>
        <w:t>)</w:t>
      </w:r>
      <w:r w:rsidR="0034770D">
        <w:rPr>
          <w:rFonts w:ascii="Arial" w:hAnsi="Arial" w:cs="Arial"/>
          <w:sz w:val="22"/>
          <w:szCs w:val="22"/>
        </w:rPr>
        <w:t xml:space="preserve"> (We used the</w:t>
      </w:r>
      <m:oMath>
        <m:sSub>
          <m:sSubPr>
            <m:ctrlPr>
              <w:rPr>
                <w:rFonts w:ascii="Cambria Math" w:hAnsi="Cambria Math"/>
                <w:i/>
                <w:sz w:val="22"/>
                <w:szCs w:val="22"/>
              </w:rPr>
            </m:ctrlPr>
          </m:sSubPr>
          <m:e>
            <m:r>
              <w:rPr>
                <w:rFonts w:ascii="Cambria Math" w:hAnsi="Cambria Math"/>
                <w:sz w:val="22"/>
                <w:szCs w:val="22"/>
              </w:rPr>
              <m:t xml:space="preserve"> </m:t>
            </m:r>
          </m:e>
          <m:sub>
            <m:r>
              <w:rPr>
                <w:rFonts w:ascii="Cambria Math" w:hAnsi="Cambria Math"/>
                <w:sz w:val="22"/>
                <w:szCs w:val="22"/>
              </w:rPr>
              <m:t>n</m:t>
            </m:r>
          </m:sub>
        </m:sSub>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x</m:t>
            </m:r>
          </m:sub>
        </m:sSub>
      </m:oMath>
      <w:r w:rsidR="0034770D" w:rsidRPr="0034770D">
        <w:rPr>
          <w:rFonts w:ascii="Arial" w:eastAsiaTheme="minorEastAsia" w:hAnsi="Arial" w:cs="Arial"/>
          <w:sz w:val="22"/>
          <w:szCs w:val="22"/>
        </w:rPr>
        <w:t xml:space="preserve"> at the upp</w:t>
      </w:r>
      <w:r w:rsidR="004B1448">
        <w:rPr>
          <w:rFonts w:ascii="Arial" w:eastAsiaTheme="minorEastAsia" w:hAnsi="Arial" w:cs="Arial"/>
          <w:sz w:val="22"/>
          <w:szCs w:val="22"/>
        </w:rPr>
        <w:t>er</w:t>
      </w:r>
      <w:r w:rsidR="0034770D" w:rsidRPr="0034770D">
        <w:rPr>
          <w:rFonts w:ascii="Arial" w:eastAsiaTheme="minorEastAsia" w:hAnsi="Arial" w:cs="Arial"/>
          <w:sz w:val="22"/>
          <w:szCs w:val="22"/>
        </w:rPr>
        <w:t xml:space="preserve"> bound of the interval </w:t>
      </w:r>
      <w:r w:rsidR="003374EB">
        <w:rPr>
          <w:rFonts w:ascii="Arial" w:eastAsiaTheme="minorEastAsia" w:hAnsi="Arial" w:cs="Arial"/>
          <w:sz w:val="22"/>
          <w:szCs w:val="22"/>
        </w:rPr>
        <w:t>if the median age exceeded the midpoint of the interval</w:t>
      </w:r>
      <w:r w:rsidR="0034770D">
        <w:rPr>
          <w:rFonts w:ascii="Arial" w:eastAsiaTheme="minorEastAsia" w:hAnsi="Arial" w:cs="Arial"/>
          <w:sz w:val="22"/>
          <w:szCs w:val="22"/>
        </w:rPr>
        <w:t>)</w:t>
      </w:r>
      <w:r w:rsidR="0034770D" w:rsidRPr="0034770D">
        <w:rPr>
          <w:rFonts w:ascii="Arial" w:eastAsiaTheme="minorEastAsia" w:hAnsi="Arial" w:cs="Arial"/>
          <w:sz w:val="22"/>
          <w:szCs w:val="22"/>
        </w:rPr>
        <w:t>.</w:t>
      </w:r>
      <w:r w:rsidR="0034770D">
        <w:rPr>
          <w:rFonts w:ascii="Arial" w:eastAsiaTheme="minorEastAsia" w:hAnsi="Arial" w:cs="Arial"/>
        </w:rPr>
        <w:t xml:space="preserve"> </w:t>
      </w:r>
      <w:r w:rsidRPr="00EC4166">
        <w:rPr>
          <w:rFonts w:ascii="Arial" w:hAnsi="Arial" w:cs="Arial"/>
          <w:sz w:val="22"/>
          <w:szCs w:val="22"/>
        </w:rPr>
        <w:t xml:space="preserve">The total QALY loss due to genital herpes was calculated as the sum of the losses by disease state. </w:t>
      </w:r>
      <w:r w:rsidR="004B1448">
        <w:rPr>
          <w:rFonts w:ascii="Arial" w:hAnsi="Arial" w:cs="Arial"/>
          <w:sz w:val="22"/>
          <w:szCs w:val="22"/>
        </w:rPr>
        <w:t xml:space="preserve">For first episodes due to incident cases (recently acquired infections), we assumed midyear incidence and therefore half of year accrual. For first episodes due to established infections, we assumed full year accrual. </w:t>
      </w:r>
      <w:r w:rsidRPr="00EC4166">
        <w:rPr>
          <w:rFonts w:ascii="Arial" w:hAnsi="Arial" w:cs="Arial"/>
          <w:sz w:val="22"/>
          <w:szCs w:val="22"/>
        </w:rPr>
        <w:t>The loss for each disease state was calculated using the genital herpes-specific QALY weights estimated by Fisman</w:t>
      </w:r>
      <w:r w:rsidRPr="00EC4166">
        <w:rPr>
          <w:rFonts w:ascii="Arial" w:hAnsi="Arial" w:cs="Arial"/>
          <w:sz w:val="22"/>
          <w:szCs w:val="22"/>
        </w:rPr>
        <w:fldChar w:fldCharType="begin"/>
      </w:r>
      <w:r w:rsidR="0081559F">
        <w:rPr>
          <w:rFonts w:ascii="Arial" w:hAnsi="Arial" w:cs="Arial"/>
          <w:sz w:val="22"/>
          <w:szCs w:val="22"/>
        </w:rPr>
        <w:instrText xml:space="preserve"> ADDIN ZOTERO_ITEM CSL_CITATION {"citationID":"VBqTaqAq","properties":{"formattedCitation":"[20]","plainCitation":"[20]","noteIndex":0},"citationItems":[{"id":921,"uris":["http://zotero.org/users/local/p8g0WsVO/items/6QZ3VVBZ"],"itemData":{"id":921,"type":"article-journal","abstract":"BACKGROUND: Genital herpes (GH) is a common sexually transmitted infection. Novel tools for the control of GH (for example, tests and vaccines) are emerging, but optimal assessment of the cost effectiveness of such interventions requires scaled, preference based estimates of the impact of GH on health related quality of life.\nMETHODS: We provided self administered interviews to 39 individuals with recurrent GH recruited from an STD clinic and a GH support group in southern Ontario, Canada. Health preference estimates were generated using visual analogue scales (VAS), a time-tradeoff approach (TTO) and the Health Utilities Index Mark-II (HUI-II). Quality of life was also assessed with the Recurrent Genital Herpes Quality of Life scale (RGHQoL).\nRESULTS: Average (SD) health values for asymptomatic and symptomatic genital herpes were 0.89 (0.21) and 0.89 (0.22) using TTO, and 0.76 (0.30) and 0.71 (0.30) using VAS. Health utility estimates generated with HUI-II for transient symptomatic and asymptomatic health states were 0.93 (0.08) and 0.80 (0.16). Log transformed health value estimates exhibited convergent validity when compared to RGHQoL, as did health utility estimates for symptomatic GH. Utility scores for symptomatic GH increased (improved) with increasing age; no other subject characteristic was predictive of preference weights.\nCONCLUSIONS: Preference based measures of health related quality of life can be elicited with relative ease in the context of genital herpes, and preference weights are correlated with quality of life scores generated using the RGHQoL. Generation of preference weights will permit direct comparison of the economic attractiveness of herpes prevention interventions with that of other commonly available health interventions.","container-title":"Sexually Transmitted Infections","DOI":"10.1136/sti.2004.011619","ISSN":"1368-4973","issue":"3","journalAbbreviation":"Sex Transm Infect","language":"eng","note":"PMID: 15923300\nPMCID: PMC1744978","page":"267-270","source":"PubMed","title":"Health related quality of life in genital herpes: a pilot comparison of measures","title-short":"Health related quality of life in genital herpes","volume":"81","author":[{"family":"Fisman","given":"D. N."}],"issued":{"date-parts":[["2005",6]]}}}],"schema":"https://github.com/citation-style-language/schema/raw/master/csl-citation.json"} </w:instrText>
      </w:r>
      <w:r w:rsidRPr="00EC4166">
        <w:rPr>
          <w:rFonts w:ascii="Arial" w:hAnsi="Arial" w:cs="Arial"/>
          <w:sz w:val="22"/>
          <w:szCs w:val="22"/>
        </w:rPr>
        <w:fldChar w:fldCharType="separate"/>
      </w:r>
      <w:r w:rsidR="0081559F">
        <w:rPr>
          <w:rFonts w:ascii="Arial" w:hAnsi="Arial" w:cs="Arial"/>
          <w:sz w:val="22"/>
        </w:rPr>
        <w:t>[20]</w:t>
      </w:r>
      <w:r w:rsidRPr="00EC4166">
        <w:rPr>
          <w:rFonts w:ascii="Arial" w:hAnsi="Arial" w:cs="Arial"/>
          <w:sz w:val="22"/>
          <w:szCs w:val="22"/>
        </w:rPr>
        <w:fldChar w:fldCharType="end"/>
      </w:r>
      <w:r w:rsidRPr="00EC4166">
        <w:rPr>
          <w:rFonts w:ascii="Arial" w:hAnsi="Arial" w:cs="Arial"/>
          <w:sz w:val="22"/>
          <w:szCs w:val="22"/>
        </w:rPr>
        <w:t xml:space="preserve"> </w:t>
      </w:r>
      <w:r w:rsidR="004B1448" w:rsidRPr="00EC4166">
        <w:rPr>
          <w:rFonts w:ascii="Arial" w:hAnsi="Arial" w:cs="Arial"/>
          <w:sz w:val="22"/>
          <w:szCs w:val="22"/>
        </w:rPr>
        <w:t xml:space="preserve">using </w:t>
      </w:r>
      <w:r w:rsidR="004B1448">
        <w:rPr>
          <w:rFonts w:ascii="Arial" w:hAnsi="Arial" w:cs="Arial"/>
          <w:sz w:val="22"/>
          <w:szCs w:val="22"/>
        </w:rPr>
        <w:t xml:space="preserve">the </w:t>
      </w:r>
      <w:r w:rsidR="004B1448" w:rsidRPr="00EC4166">
        <w:rPr>
          <w:rFonts w:ascii="Arial" w:hAnsi="Arial" w:cs="Arial"/>
          <w:sz w:val="22"/>
          <w:szCs w:val="22"/>
        </w:rPr>
        <w:t>time-tradeoff (TTO)</w:t>
      </w:r>
      <w:r w:rsidR="004B1448">
        <w:rPr>
          <w:rFonts w:ascii="Arial" w:hAnsi="Arial" w:cs="Arial"/>
          <w:sz w:val="22"/>
          <w:szCs w:val="22"/>
        </w:rPr>
        <w:t xml:space="preserve"> method</w:t>
      </w:r>
      <w:r w:rsidR="004B1448" w:rsidRPr="00EC4166">
        <w:rPr>
          <w:rFonts w:ascii="Arial" w:hAnsi="Arial" w:cs="Arial"/>
          <w:sz w:val="22"/>
          <w:szCs w:val="22"/>
        </w:rPr>
        <w:t xml:space="preserve">, </w:t>
      </w:r>
      <w:r w:rsidRPr="00EC4166">
        <w:rPr>
          <w:rFonts w:ascii="Arial" w:hAnsi="Arial" w:cs="Arial"/>
          <w:sz w:val="22"/>
          <w:szCs w:val="22"/>
        </w:rPr>
        <w:t>and applying them to the symptomatic and asymptomatic durations as below.</w:t>
      </w:r>
    </w:p>
    <w:p w14:paraId="6F6493ED" w14:textId="77777777" w:rsidR="00C27275" w:rsidRPr="00EC4166" w:rsidRDefault="00C27275" w:rsidP="00EC4166">
      <w:pPr>
        <w:rPr>
          <w:rFonts w:ascii="Arial" w:hAnsi="Arial" w:cs="Arial"/>
          <w:sz w:val="22"/>
          <w:szCs w:val="22"/>
        </w:rPr>
      </w:pPr>
    </w:p>
    <w:p w14:paraId="1FB572E2" w14:textId="13555F60" w:rsidR="00C27275" w:rsidRDefault="00000000" w:rsidP="001C06F7">
      <w:pPr>
        <w:spacing w:line="276" w:lineRule="auto"/>
        <w:jc w:val="center"/>
        <w:rPr>
          <w:rFonts w:eastAsiaTheme="minorEastAsia" w:cstheme="minorHAnsi"/>
          <w:sz w:val="22"/>
          <w:szCs w:val="22"/>
        </w:rPr>
      </w:pPr>
      <m:oMath>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First</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First</m:t>
            </m:r>
          </m:sub>
        </m:sSub>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lang w:val="fr-FR"/>
                  </w:rPr>
                  <m:t>QAL</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Y</m:t>
                    </m:r>
                  </m:e>
                  <m:sub>
                    <m:r>
                      <w:rPr>
                        <w:rFonts w:ascii="Cambria Math" w:hAnsi="Cambria Math" w:cstheme="minorHAnsi"/>
                        <w:sz w:val="20"/>
                        <w:szCs w:val="20"/>
                        <w:lang w:val="fr-FR"/>
                      </w:rPr>
                      <m:t>PreGH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Symp</m:t>
                    </m:r>
                  </m:sub>
                </m:sSub>
              </m:e>
            </m:d>
          </m:num>
          <m:den>
            <m:r>
              <w:rPr>
                <w:rFonts w:ascii="Cambria Math" w:hAnsi="Cambria Math" w:cstheme="minorHAnsi"/>
                <w:sz w:val="20"/>
                <w:szCs w:val="20"/>
              </w:rPr>
              <m:t>365</m:t>
            </m:r>
          </m:den>
        </m:f>
        <m:sSub>
          <m:sSubPr>
            <m:ctrlPr>
              <w:rPr>
                <w:rFonts w:ascii="Cambria Math" w:hAnsi="Cambria Math" w:cstheme="minorHAnsi"/>
                <w:i/>
                <w:sz w:val="20"/>
                <w:szCs w:val="20"/>
              </w:rPr>
            </m:ctrlPr>
          </m:sSubPr>
          <m:e>
            <m:r>
              <w:rPr>
                <w:rFonts w:ascii="Cambria Math" w:hAnsi="Cambria Math" w:cstheme="minorHAnsi"/>
                <w:sz w:val="20"/>
                <w:szCs w:val="20"/>
              </w:rPr>
              <m:t>D</m:t>
            </m:r>
          </m:e>
          <m:sub>
            <m:r>
              <w:rPr>
                <w:rFonts w:ascii="Cambria Math" w:hAnsi="Cambria Math" w:cstheme="minorHAnsi"/>
                <w:sz w:val="20"/>
                <w:szCs w:val="20"/>
              </w:rPr>
              <m:t>Sym</m:t>
            </m:r>
          </m:sub>
        </m:sSub>
        <m:r>
          <w:rPr>
            <w:rFonts w:ascii="Cambria Math" w:hAnsi="Cambria Math" w:cstheme="minorHAnsi"/>
            <w:sz w:val="20"/>
            <w:szCs w:val="20"/>
          </w:rPr>
          <m:t>+</m:t>
        </m:r>
      </m:oMath>
      <w:r w:rsidR="00C27275" w:rsidRPr="00124033">
        <w:rPr>
          <w:rFonts w:eastAsiaTheme="minorEastAsia"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Symp</m:t>
            </m:r>
          </m:sub>
        </m:sSub>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lang w:val="fr-FR"/>
                  </w:rPr>
                  <m:t>QAL</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Y</m:t>
                    </m:r>
                  </m:e>
                  <m:sub>
                    <m:r>
                      <w:rPr>
                        <w:rFonts w:ascii="Cambria Math" w:hAnsi="Cambria Math" w:cstheme="minorHAnsi"/>
                        <w:sz w:val="20"/>
                        <w:szCs w:val="20"/>
                        <w:lang w:val="fr-FR"/>
                      </w:rPr>
                      <m:t>PreGH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Asymp</m:t>
                    </m:r>
                  </m:sub>
                </m:sSub>
              </m:e>
            </m:d>
          </m:num>
          <m:den>
            <m:r>
              <w:rPr>
                <w:rFonts w:ascii="Cambria Math" w:hAnsi="Cambria Math" w:cstheme="minorHAnsi"/>
                <w:sz w:val="20"/>
                <w:szCs w:val="20"/>
              </w:rPr>
              <m:t>365</m:t>
            </m:r>
          </m:den>
        </m:f>
        <m:sSub>
          <m:sSubPr>
            <m:ctrlPr>
              <w:rPr>
                <w:rFonts w:ascii="Cambria Math" w:hAnsi="Cambria Math" w:cstheme="minorHAnsi"/>
                <w:i/>
                <w:sz w:val="20"/>
                <w:szCs w:val="20"/>
              </w:rPr>
            </m:ctrlPr>
          </m:sSubPr>
          <m:e>
            <m:r>
              <w:rPr>
                <w:rFonts w:ascii="Cambria Math" w:hAnsi="Cambria Math" w:cstheme="minorHAnsi"/>
                <w:sz w:val="20"/>
                <w:szCs w:val="20"/>
              </w:rPr>
              <m:t>(365-D</m:t>
            </m:r>
          </m:e>
          <m:sub>
            <m:r>
              <w:rPr>
                <w:rFonts w:ascii="Cambria Math" w:hAnsi="Cambria Math" w:cstheme="minorHAnsi"/>
                <w:sz w:val="20"/>
                <w:szCs w:val="20"/>
              </w:rPr>
              <m:t>Symp</m:t>
            </m:r>
          </m:sub>
        </m:sSub>
      </m:oMath>
      <w:r w:rsidR="00C27275" w:rsidRPr="00124033">
        <w:rPr>
          <w:rFonts w:eastAsiaTheme="minorEastAsia" w:cstheme="minorHAnsi"/>
          <w:sz w:val="20"/>
          <w:szCs w:val="20"/>
        </w:rPr>
        <w:t>)</w:t>
      </w:r>
      <m:oMath>
        <m:r>
          <w:rPr>
            <w:rFonts w:ascii="Cambria Math" w:hAnsi="Cambria Math" w:cstheme="minorHAnsi"/>
            <w:sz w:val="20"/>
            <w:szCs w:val="20"/>
          </w:rPr>
          <m:t xml:space="preserve">    </m:t>
        </m:r>
      </m:oMath>
      <w:r w:rsidR="00C27275" w:rsidRPr="00124033">
        <w:rPr>
          <w:rFonts w:eastAsiaTheme="minorEastAsia" w:cstheme="minorHAnsi"/>
          <w:sz w:val="22"/>
          <w:szCs w:val="22"/>
        </w:rPr>
        <w:t xml:space="preserve"> </w:t>
      </w:r>
      <m:oMath>
        <m:r>
          <w:rPr>
            <w:rFonts w:ascii="Cambria Math" w:hAnsi="Cambria Math" w:cstheme="minorHAnsi"/>
            <w:sz w:val="22"/>
            <w:szCs w:val="22"/>
          </w:rPr>
          <m:t xml:space="preserve">                       </m:t>
        </m:r>
      </m:oMath>
    </w:p>
    <w:p w14:paraId="4D38A065" w14:textId="77777777" w:rsidR="00476C4D" w:rsidRPr="00124033" w:rsidRDefault="00476C4D" w:rsidP="001C06F7">
      <w:pPr>
        <w:spacing w:line="276" w:lineRule="auto"/>
        <w:jc w:val="center"/>
        <w:rPr>
          <w:rFonts w:cstheme="minorHAnsi"/>
          <w:sz w:val="22"/>
          <w:szCs w:val="22"/>
        </w:rPr>
      </w:pPr>
    </w:p>
    <w:p w14:paraId="0F051907" w14:textId="77777777" w:rsidR="00C27275" w:rsidRPr="00124033" w:rsidRDefault="00000000" w:rsidP="001C06F7">
      <w:pPr>
        <w:spacing w:line="276" w:lineRule="auto"/>
        <w:jc w:val="center"/>
        <w:rPr>
          <w:rFonts w:eastAsiaTheme="minorEastAsia"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Recur</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Recur</m:t>
            </m:r>
          </m:sub>
        </m:sSub>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lang w:val="fr-FR"/>
                  </w:rPr>
                  <m:t>QAL</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Y</m:t>
                    </m:r>
                  </m:e>
                  <m:sub>
                    <m:r>
                      <w:rPr>
                        <w:rFonts w:ascii="Cambria Math" w:hAnsi="Cambria Math" w:cstheme="minorHAnsi"/>
                        <w:sz w:val="20"/>
                        <w:szCs w:val="20"/>
                        <w:lang w:val="fr-FR"/>
                      </w:rPr>
                      <m:t>PreGH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Recur</m:t>
                    </m:r>
                  </m:sub>
                </m:sSub>
              </m:e>
            </m:d>
          </m:num>
          <m:den>
            <m:r>
              <w:rPr>
                <w:rFonts w:ascii="Cambria Math" w:hAnsi="Cambria Math" w:cstheme="minorHAnsi"/>
                <w:sz w:val="20"/>
                <w:szCs w:val="20"/>
              </w:rPr>
              <m:t>365</m:t>
            </m:r>
          </m:den>
        </m:f>
        <m:sSub>
          <m:sSubPr>
            <m:ctrlPr>
              <w:rPr>
                <w:rFonts w:ascii="Cambria Math" w:hAnsi="Cambria Math" w:cstheme="minorHAnsi"/>
                <w:i/>
                <w:sz w:val="20"/>
                <w:szCs w:val="20"/>
              </w:rPr>
            </m:ctrlPr>
          </m:sSubPr>
          <m:e>
            <m:r>
              <w:rPr>
                <w:rFonts w:ascii="Cambria Math" w:hAnsi="Cambria Math" w:cstheme="minorHAnsi"/>
                <w:sz w:val="20"/>
                <w:szCs w:val="20"/>
              </w:rPr>
              <m:t>D</m:t>
            </m:r>
          </m:e>
          <m:sub>
            <m:r>
              <w:rPr>
                <w:rFonts w:ascii="Cambria Math" w:hAnsi="Cambria Math" w:cstheme="minorHAnsi"/>
                <w:sz w:val="20"/>
                <w:szCs w:val="20"/>
              </w:rPr>
              <m:t>Recur</m:t>
            </m:r>
          </m:sub>
        </m:sSub>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Recur</m:t>
            </m:r>
          </m:sub>
        </m:sSub>
        <m:r>
          <w:rPr>
            <w:rFonts w:ascii="Cambria Math" w:hAnsi="Cambria Math" w:cstheme="minorHAnsi"/>
            <w:sz w:val="20"/>
            <w:szCs w:val="20"/>
          </w:rPr>
          <m:t>+</m:t>
        </m:r>
      </m:oMath>
      <w:r w:rsidR="00C27275" w:rsidRPr="00124033">
        <w:rPr>
          <w:rFonts w:eastAsiaTheme="minorEastAsia"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Recur</m:t>
            </m:r>
          </m:sub>
        </m:sSub>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lang w:val="fr-FR"/>
                  </w:rPr>
                  <m:t>QAL</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Y</m:t>
                    </m:r>
                  </m:e>
                  <m:sub>
                    <m:r>
                      <w:rPr>
                        <w:rFonts w:ascii="Cambria Math" w:hAnsi="Cambria Math" w:cstheme="minorHAnsi"/>
                        <w:sz w:val="20"/>
                        <w:szCs w:val="20"/>
                        <w:lang w:val="fr-FR"/>
                      </w:rPr>
                      <m:t>PreGH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Recur</m:t>
                    </m:r>
                  </m:sub>
                </m:sSub>
              </m:e>
            </m:d>
          </m:num>
          <m:den>
            <m:r>
              <w:rPr>
                <w:rFonts w:ascii="Cambria Math" w:hAnsi="Cambria Math" w:cstheme="minorHAnsi"/>
                <w:sz w:val="20"/>
                <w:szCs w:val="20"/>
              </w:rPr>
              <m:t>365</m:t>
            </m:r>
          </m:den>
        </m:f>
        <m:sSub>
          <m:sSubPr>
            <m:ctrlPr>
              <w:rPr>
                <w:rFonts w:ascii="Cambria Math" w:hAnsi="Cambria Math" w:cstheme="minorHAnsi"/>
                <w:i/>
                <w:sz w:val="20"/>
                <w:szCs w:val="20"/>
              </w:rPr>
            </m:ctrlPr>
          </m:sSubPr>
          <m:e>
            <m:r>
              <w:rPr>
                <w:rFonts w:ascii="Cambria Math" w:hAnsi="Cambria Math" w:cstheme="minorHAnsi"/>
                <w:sz w:val="20"/>
                <w:szCs w:val="20"/>
              </w:rPr>
              <m:t>[365-(D</m:t>
            </m:r>
          </m:e>
          <m:sub>
            <m:r>
              <w:rPr>
                <w:rFonts w:ascii="Cambria Math" w:hAnsi="Cambria Math" w:cstheme="minorHAnsi"/>
                <w:sz w:val="20"/>
                <w:szCs w:val="20"/>
              </w:rPr>
              <m:t>Symp</m:t>
            </m:r>
          </m:sub>
        </m:sSub>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Freq</m:t>
            </m:r>
          </m:sub>
        </m:sSub>
        <m:r>
          <w:rPr>
            <w:rFonts w:ascii="Cambria Math" w:hAnsi="Cambria Math" w:cstheme="minorHAnsi"/>
            <w:sz w:val="20"/>
            <w:szCs w:val="20"/>
          </w:rPr>
          <m:t>)]</m:t>
        </m:r>
      </m:oMath>
      <w:r w:rsidR="00C27275" w:rsidRPr="00124033">
        <w:rPr>
          <w:rFonts w:eastAsiaTheme="minorEastAsia" w:cstheme="minorHAnsi"/>
          <w:sz w:val="20"/>
          <w:szCs w:val="20"/>
        </w:rPr>
        <w:t xml:space="preserve"> </w:t>
      </w:r>
    </w:p>
    <w:p w14:paraId="6A7D4842" w14:textId="77777777" w:rsidR="00476C4D" w:rsidRPr="00124033" w:rsidRDefault="00476C4D" w:rsidP="001C06F7">
      <w:pPr>
        <w:spacing w:line="276" w:lineRule="auto"/>
        <w:jc w:val="center"/>
        <w:rPr>
          <w:rFonts w:cstheme="minorHAnsi"/>
          <w:sz w:val="20"/>
          <w:szCs w:val="20"/>
        </w:rPr>
      </w:pPr>
    </w:p>
    <w:p w14:paraId="2FFEE71C" w14:textId="106E1737" w:rsidR="00C27275" w:rsidRPr="00124033" w:rsidRDefault="00000000" w:rsidP="001C06F7">
      <w:pPr>
        <w:spacing w:line="276" w:lineRule="auto"/>
        <w:jc w:val="center"/>
        <w:rPr>
          <w:rFonts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Freq</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Freq</m:t>
            </m:r>
          </m:sub>
        </m:sSub>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lang w:val="fr-FR"/>
                  </w:rPr>
                  <m:t>QAL</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Y</m:t>
                    </m:r>
                  </m:e>
                  <m:sub>
                    <m:r>
                      <w:rPr>
                        <w:rFonts w:ascii="Cambria Math" w:hAnsi="Cambria Math" w:cstheme="minorHAnsi"/>
                        <w:sz w:val="20"/>
                        <w:szCs w:val="20"/>
                        <w:lang w:val="fr-FR"/>
                      </w:rPr>
                      <m:t>PreGH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Freq</m:t>
                    </m:r>
                  </m:sub>
                </m:sSub>
              </m:e>
            </m:d>
          </m:num>
          <m:den>
            <m:r>
              <w:rPr>
                <w:rFonts w:ascii="Cambria Math" w:hAnsi="Cambria Math" w:cstheme="minorHAnsi"/>
                <w:sz w:val="20"/>
                <w:szCs w:val="20"/>
              </w:rPr>
              <m:t>365</m:t>
            </m:r>
          </m:den>
        </m:f>
        <m:sSub>
          <m:sSubPr>
            <m:ctrlPr>
              <w:rPr>
                <w:rFonts w:ascii="Cambria Math" w:hAnsi="Cambria Math" w:cstheme="minorHAnsi"/>
                <w:i/>
                <w:sz w:val="20"/>
                <w:szCs w:val="20"/>
              </w:rPr>
            </m:ctrlPr>
          </m:sSubPr>
          <m:e>
            <m:r>
              <w:rPr>
                <w:rFonts w:ascii="Cambria Math" w:hAnsi="Cambria Math" w:cstheme="minorHAnsi"/>
                <w:sz w:val="20"/>
                <w:szCs w:val="20"/>
              </w:rPr>
              <m:t>D</m:t>
            </m:r>
          </m:e>
          <m:sub>
            <m:r>
              <w:rPr>
                <w:rFonts w:ascii="Cambria Math" w:hAnsi="Cambria Math" w:cstheme="minorHAnsi"/>
                <w:sz w:val="20"/>
                <w:szCs w:val="20"/>
              </w:rPr>
              <m:t>Freq</m:t>
            </m:r>
          </m:sub>
        </m:sSub>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Freq</m:t>
            </m:r>
          </m:sub>
        </m:sSub>
        <m:r>
          <w:rPr>
            <w:rFonts w:ascii="Cambria Math" w:hAnsi="Cambria Math" w:cstheme="minorHAnsi"/>
            <w:sz w:val="20"/>
            <w:szCs w:val="20"/>
          </w:rPr>
          <m:t>+</m:t>
        </m:r>
      </m:oMath>
      <w:r w:rsidR="00C27275" w:rsidRPr="00124033">
        <w:rPr>
          <w:rFonts w:eastAsiaTheme="minorEastAsia"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Freq</m:t>
            </m:r>
          </m:sub>
        </m:sSub>
        <m:f>
          <m:fPr>
            <m:ctrlPr>
              <w:rPr>
                <w:rFonts w:ascii="Cambria Math" w:hAnsi="Cambria Math" w:cstheme="minorHAnsi"/>
                <w:i/>
                <w:sz w:val="20"/>
                <w:szCs w:val="20"/>
              </w:rPr>
            </m:ctrlPr>
          </m:fPr>
          <m:num>
            <m:d>
              <m:dPr>
                <m:ctrlPr>
                  <w:rPr>
                    <w:rFonts w:ascii="Cambria Math" w:hAnsi="Cambria Math" w:cstheme="minorHAnsi"/>
                    <w:i/>
                    <w:sz w:val="20"/>
                    <w:szCs w:val="20"/>
                  </w:rPr>
                </m:ctrlPr>
              </m:dPr>
              <m:e>
                <m:r>
                  <w:rPr>
                    <w:rFonts w:ascii="Cambria Math" w:hAnsi="Cambria Math" w:cstheme="minorHAnsi"/>
                    <w:sz w:val="20"/>
                    <w:szCs w:val="20"/>
                    <w:lang w:val="fr-FR"/>
                  </w:rPr>
                  <m:t>QAL</m:t>
                </m:r>
                <m:sSub>
                  <m:sSubPr>
                    <m:ctrlPr>
                      <w:rPr>
                        <w:rFonts w:ascii="Cambria Math" w:hAnsi="Cambria Math" w:cstheme="minorHAnsi"/>
                        <w:i/>
                        <w:sz w:val="20"/>
                        <w:szCs w:val="20"/>
                        <w:lang w:val="fr-FR"/>
                      </w:rPr>
                    </m:ctrlPr>
                  </m:sSubPr>
                  <m:e>
                    <m:r>
                      <w:rPr>
                        <w:rFonts w:ascii="Cambria Math" w:hAnsi="Cambria Math" w:cstheme="minorHAnsi"/>
                        <w:sz w:val="20"/>
                        <w:szCs w:val="20"/>
                        <w:lang w:val="fr-FR"/>
                      </w:rPr>
                      <m:t>Y</m:t>
                    </m:r>
                  </m:e>
                  <m:sub>
                    <m:r>
                      <w:rPr>
                        <w:rFonts w:ascii="Cambria Math" w:hAnsi="Cambria Math" w:cstheme="minorHAnsi"/>
                        <w:sz w:val="20"/>
                        <w:szCs w:val="20"/>
                        <w:lang w:val="fr-FR"/>
                      </w:rPr>
                      <m:t>PreGH</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QALY</m:t>
                    </m:r>
                  </m:e>
                  <m:sub>
                    <m:r>
                      <w:rPr>
                        <w:rFonts w:ascii="Cambria Math" w:hAnsi="Cambria Math" w:cstheme="minorHAnsi"/>
                        <w:sz w:val="20"/>
                        <w:szCs w:val="20"/>
                      </w:rPr>
                      <m:t>Freq</m:t>
                    </m:r>
                  </m:sub>
                </m:sSub>
              </m:e>
            </m:d>
          </m:num>
          <m:den>
            <m:r>
              <w:rPr>
                <w:rFonts w:ascii="Cambria Math" w:hAnsi="Cambria Math" w:cstheme="minorHAnsi"/>
                <w:sz w:val="20"/>
                <w:szCs w:val="20"/>
              </w:rPr>
              <m:t>365</m:t>
            </m:r>
          </m:den>
        </m:f>
        <m:sSub>
          <m:sSubPr>
            <m:ctrlPr>
              <w:rPr>
                <w:rFonts w:ascii="Cambria Math" w:hAnsi="Cambria Math" w:cstheme="minorHAnsi"/>
                <w:i/>
                <w:sz w:val="20"/>
                <w:szCs w:val="20"/>
              </w:rPr>
            </m:ctrlPr>
          </m:sSubPr>
          <m:e>
            <m:r>
              <w:rPr>
                <w:rFonts w:ascii="Cambria Math" w:hAnsi="Cambria Math" w:cstheme="minorHAnsi"/>
                <w:sz w:val="20"/>
                <w:szCs w:val="20"/>
              </w:rPr>
              <m:t>[365-(D</m:t>
            </m:r>
          </m:e>
          <m:sub>
            <m:r>
              <w:rPr>
                <w:rFonts w:ascii="Cambria Math" w:hAnsi="Cambria Math" w:cstheme="minorHAnsi"/>
                <w:sz w:val="20"/>
                <w:szCs w:val="20"/>
              </w:rPr>
              <m:t>Freq</m:t>
            </m:r>
          </m:sub>
        </m:sSub>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Freq</m:t>
            </m:r>
          </m:sub>
        </m:sSub>
        <m:r>
          <w:rPr>
            <w:rFonts w:ascii="Cambria Math" w:hAnsi="Cambria Math" w:cstheme="minorHAnsi"/>
            <w:sz w:val="20"/>
            <w:szCs w:val="20"/>
          </w:rPr>
          <m:t>)]</m:t>
        </m:r>
      </m:oMath>
    </w:p>
    <w:p w14:paraId="7F679DCB" w14:textId="451D6656" w:rsidR="00DF7F3A" w:rsidRDefault="00DF7F3A" w:rsidP="00EC4166">
      <w:pPr>
        <w:rPr>
          <w:rFonts w:ascii="Arial" w:hAnsi="Arial" w:cs="Arial"/>
          <w:sz w:val="22"/>
          <w:szCs w:val="22"/>
        </w:rPr>
      </w:pPr>
    </w:p>
    <w:p w14:paraId="13EBD92C" w14:textId="77777777" w:rsidR="00DF7F3A" w:rsidRDefault="00DF7F3A" w:rsidP="00EC4166">
      <w:pPr>
        <w:rPr>
          <w:rFonts w:ascii="Arial" w:hAnsi="Arial" w:cs="Arial"/>
          <w:sz w:val="22"/>
          <w:szCs w:val="22"/>
        </w:rPr>
      </w:pPr>
    </w:p>
    <w:p w14:paraId="4D69C39D" w14:textId="5E13B275" w:rsidR="00EC4166" w:rsidRPr="001F1C09" w:rsidRDefault="00EC4166" w:rsidP="001F1C09">
      <w:pPr>
        <w:pStyle w:val="Heading4"/>
        <w:numPr>
          <w:ilvl w:val="0"/>
          <w:numId w:val="15"/>
        </w:numPr>
        <w:ind w:left="1440"/>
        <w:rPr>
          <w:rFonts w:ascii="Arial" w:hAnsi="Arial" w:cs="Arial"/>
          <w:color w:val="000000" w:themeColor="text1"/>
          <w:sz w:val="22"/>
          <w:szCs w:val="22"/>
        </w:rPr>
      </w:pPr>
      <w:r w:rsidRPr="001F1C09">
        <w:rPr>
          <w:rFonts w:ascii="Arial" w:hAnsi="Arial" w:cs="Arial"/>
          <w:color w:val="000000" w:themeColor="text1"/>
          <w:sz w:val="22"/>
          <w:szCs w:val="22"/>
        </w:rPr>
        <w:t>Disutility Costs</w:t>
      </w:r>
    </w:p>
    <w:p w14:paraId="6D8239D2" w14:textId="77777777" w:rsidR="00EC4166" w:rsidRPr="00EC4166" w:rsidRDefault="00EC4166" w:rsidP="001F1C09">
      <w:pPr>
        <w:ind w:left="720"/>
        <w:rPr>
          <w:rFonts w:ascii="Arial" w:hAnsi="Arial" w:cs="Arial"/>
          <w:sz w:val="22"/>
          <w:szCs w:val="22"/>
        </w:rPr>
      </w:pPr>
    </w:p>
    <w:p w14:paraId="254E4341" w14:textId="27074CA2" w:rsidR="00C27275" w:rsidRDefault="00916413" w:rsidP="001F1C09">
      <w:pPr>
        <w:ind w:left="720"/>
        <w:jc w:val="both"/>
        <w:rPr>
          <w:rFonts w:ascii="Arial" w:hAnsi="Arial" w:cs="Arial"/>
          <w:sz w:val="22"/>
          <w:szCs w:val="22"/>
        </w:rPr>
      </w:pPr>
      <w:r w:rsidRPr="00916413">
        <w:rPr>
          <w:rFonts w:ascii="Arial" w:hAnsi="Arial" w:cs="Arial"/>
          <w:sz w:val="22"/>
          <w:szCs w:val="22"/>
        </w:rPr>
        <w:t xml:space="preserve">To estimate the </w:t>
      </w:r>
      <w:r w:rsidR="0079189B">
        <w:rPr>
          <w:rFonts w:ascii="Arial" w:hAnsi="Arial" w:cs="Arial"/>
          <w:sz w:val="22"/>
          <w:szCs w:val="22"/>
        </w:rPr>
        <w:t>consumption</w:t>
      </w:r>
      <w:r w:rsidRPr="00916413">
        <w:rPr>
          <w:rFonts w:ascii="Arial" w:hAnsi="Arial" w:cs="Arial"/>
          <w:sz w:val="22"/>
          <w:szCs w:val="22"/>
        </w:rPr>
        <w:t xml:space="preserve"> value of the previously estimated health losses, </w:t>
      </w:r>
      <w:r w:rsidR="002A4B4C">
        <w:rPr>
          <w:rFonts w:ascii="Arial" w:hAnsi="Arial" w:cs="Arial"/>
          <w:sz w:val="22"/>
          <w:szCs w:val="22"/>
        </w:rPr>
        <w:t>we</w:t>
      </w:r>
      <w:r w:rsidRPr="00916413">
        <w:rPr>
          <w:rFonts w:ascii="Arial" w:hAnsi="Arial" w:cs="Arial"/>
          <w:sz w:val="22"/>
          <w:szCs w:val="22"/>
        </w:rPr>
        <w:t xml:space="preserve"> multiplied the QALYs (</w:t>
      </w:r>
      <m:oMath>
        <m:sSubSup>
          <m:sSubSupPr>
            <m:ctrlPr>
              <w:rPr>
                <w:rFonts w:ascii="Cambria Math" w:hAnsi="Cambria Math" w:cs="Arial"/>
                <w:i/>
                <w:sz w:val="22"/>
                <w:szCs w:val="22"/>
              </w:rPr>
            </m:ctrlPr>
          </m:sSubSupPr>
          <m:e>
            <m:r>
              <w:rPr>
                <w:rFonts w:ascii="Cambria Math" w:hAnsi="Cambria Math" w:cs="Arial"/>
                <w:sz w:val="22"/>
                <w:szCs w:val="22"/>
              </w:rPr>
              <m:t>QALY</m:t>
            </m:r>
          </m:e>
          <m:sub>
            <m:r>
              <w:rPr>
                <w:rFonts w:ascii="Cambria Math" w:hAnsi="Cambria Math" w:cs="Arial"/>
                <w:sz w:val="22"/>
                <w:szCs w:val="22"/>
              </w:rPr>
              <m:t>i</m:t>
            </m:r>
          </m:sub>
          <m:sup>
            <m:r>
              <w:rPr>
                <w:rFonts w:ascii="Cambria Math" w:hAnsi="Cambria Math" w:cs="Arial"/>
                <w:sz w:val="22"/>
                <w:szCs w:val="22"/>
              </w:rPr>
              <m:t>j</m:t>
            </m:r>
          </m:sup>
        </m:sSubSup>
      </m:oMath>
      <w:r w:rsidRPr="00916413">
        <w:rPr>
          <w:rFonts w:ascii="Arial" w:hAnsi="Arial" w:cs="Arial"/>
          <w:sz w:val="22"/>
          <w:szCs w:val="22"/>
        </w:rPr>
        <w:t>) and DALYs (</w:t>
      </w:r>
      <m:oMath>
        <m:sSubSup>
          <m:sSubSupPr>
            <m:ctrlPr>
              <w:rPr>
                <w:rFonts w:ascii="Cambria Math" w:hAnsi="Cambria Math" w:cs="Arial"/>
                <w:i/>
                <w:sz w:val="22"/>
                <w:szCs w:val="22"/>
              </w:rPr>
            </m:ctrlPr>
          </m:sSubSupPr>
          <m:e>
            <m:r>
              <w:rPr>
                <w:rFonts w:ascii="Cambria Math" w:hAnsi="Cambria Math" w:cs="Arial"/>
                <w:sz w:val="22"/>
                <w:szCs w:val="22"/>
              </w:rPr>
              <m:t>DALY</m:t>
            </m:r>
          </m:e>
          <m:sub>
            <m:r>
              <w:rPr>
                <w:rFonts w:ascii="Cambria Math" w:hAnsi="Cambria Math" w:cs="Arial"/>
                <w:sz w:val="22"/>
                <w:szCs w:val="22"/>
              </w:rPr>
              <m:t>i</m:t>
            </m:r>
          </m:sub>
          <m:sup>
            <m:r>
              <w:rPr>
                <w:rFonts w:ascii="Cambria Math" w:hAnsi="Cambria Math" w:cs="Arial"/>
                <w:sz w:val="22"/>
                <w:szCs w:val="22"/>
              </w:rPr>
              <m:t>j</m:t>
            </m:r>
          </m:sup>
        </m:sSubSup>
      </m:oMath>
      <w:r w:rsidRPr="00916413">
        <w:rPr>
          <w:rFonts w:ascii="Arial" w:hAnsi="Arial" w:cs="Arial"/>
          <w:sz w:val="22"/>
          <w:szCs w:val="22"/>
        </w:rPr>
        <w:t xml:space="preserve">) that </w:t>
      </w:r>
      <w:r w:rsidR="002A4B4C">
        <w:rPr>
          <w:rFonts w:ascii="Arial" w:hAnsi="Arial" w:cs="Arial"/>
          <w:sz w:val="22"/>
          <w:szCs w:val="22"/>
        </w:rPr>
        <w:t>we</w:t>
      </w:r>
      <w:r w:rsidRPr="00916413">
        <w:rPr>
          <w:rFonts w:ascii="Arial" w:hAnsi="Arial" w:cs="Arial"/>
          <w:sz w:val="22"/>
          <w:szCs w:val="22"/>
        </w:rPr>
        <w:t xml:space="preserve"> estimated, by a country-specific value-of-a statistical-life-year (VSLY)</w:t>
      </w:r>
      <w:r w:rsidR="00526609">
        <w:rPr>
          <w:rFonts w:ascii="Arial" w:hAnsi="Arial" w:cs="Arial"/>
          <w:sz w:val="22"/>
          <w:szCs w:val="22"/>
        </w:rPr>
        <w:t xml:space="preserve"> which we calculated by </w:t>
      </w:r>
      <w:r w:rsidRPr="00916413">
        <w:rPr>
          <w:rFonts w:ascii="Arial" w:hAnsi="Arial" w:cs="Arial"/>
          <w:sz w:val="22"/>
          <w:szCs w:val="22"/>
        </w:rPr>
        <w:t>first estimat</w:t>
      </w:r>
      <w:r w:rsidR="00526609">
        <w:rPr>
          <w:rFonts w:ascii="Arial" w:hAnsi="Arial" w:cs="Arial"/>
          <w:sz w:val="22"/>
          <w:szCs w:val="22"/>
        </w:rPr>
        <w:t>ing</w:t>
      </w:r>
      <w:r w:rsidRPr="00916413">
        <w:rPr>
          <w:rFonts w:ascii="Arial" w:hAnsi="Arial" w:cs="Arial"/>
          <w:sz w:val="22"/>
          <w:szCs w:val="22"/>
        </w:rPr>
        <w:t xml:space="preserve"> the value of a statistical life (</w:t>
      </w:r>
      <m:oMath>
        <m:r>
          <w:rPr>
            <w:rFonts w:ascii="Cambria Math" w:hAnsi="Cambria Math" w:cs="Arial"/>
            <w:sz w:val="22"/>
            <w:szCs w:val="22"/>
          </w:rPr>
          <m:t>VS</m:t>
        </m:r>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i</m:t>
            </m:r>
          </m:sub>
        </m:sSub>
      </m:oMath>
      <w:r w:rsidRPr="00916413">
        <w:rPr>
          <w:rFonts w:ascii="Arial" w:hAnsi="Arial" w:cs="Arial"/>
          <w:sz w:val="22"/>
          <w:szCs w:val="22"/>
        </w:rPr>
        <w:t>) in each country based on the value of the VSL in the United States</w:t>
      </w:r>
      <w:r w:rsidR="00A73800">
        <w:rPr>
          <w:rFonts w:ascii="Arial" w:hAnsi="Arial" w:cs="Arial"/>
          <w:sz w:val="22"/>
          <w:szCs w:val="22"/>
        </w:rPr>
        <w:t xml:space="preserve">, </w:t>
      </w:r>
      <w:r w:rsidRPr="00916413">
        <w:rPr>
          <w:rFonts w:ascii="Arial" w:hAnsi="Arial" w:cs="Arial"/>
          <w:sz w:val="22"/>
          <w:szCs w:val="22"/>
        </w:rPr>
        <w:t>US$</w:t>
      </w:r>
      <w:r w:rsidR="00526609" w:rsidRPr="00526609">
        <w:rPr>
          <w:rFonts w:ascii="Arial" w:hAnsi="Arial" w:cs="Arial"/>
          <w:sz w:val="22"/>
          <w:szCs w:val="22"/>
        </w:rPr>
        <w:t>10</w:t>
      </w:r>
      <w:r w:rsidR="00526609">
        <w:rPr>
          <w:rFonts w:ascii="Arial" w:hAnsi="Arial" w:cs="Arial"/>
          <w:sz w:val="22"/>
          <w:szCs w:val="22"/>
        </w:rPr>
        <w:t>,</w:t>
      </w:r>
      <w:r w:rsidR="00526609" w:rsidRPr="00526609">
        <w:rPr>
          <w:rFonts w:ascii="Arial" w:hAnsi="Arial" w:cs="Arial"/>
          <w:sz w:val="22"/>
          <w:szCs w:val="22"/>
        </w:rPr>
        <w:t>951</w:t>
      </w:r>
      <w:r w:rsidR="00526609">
        <w:rPr>
          <w:rFonts w:ascii="Arial" w:hAnsi="Arial" w:cs="Arial"/>
          <w:sz w:val="22"/>
          <w:szCs w:val="22"/>
        </w:rPr>
        <w:t>,</w:t>
      </w:r>
      <w:r w:rsidR="00526609" w:rsidRPr="00526609">
        <w:rPr>
          <w:rFonts w:ascii="Arial" w:hAnsi="Arial" w:cs="Arial"/>
          <w:sz w:val="22"/>
          <w:szCs w:val="22"/>
        </w:rPr>
        <w:t>609</w:t>
      </w:r>
      <w:r w:rsidR="002A4B4C">
        <w:rPr>
          <w:rFonts w:ascii="Arial" w:hAnsi="Arial" w:cs="Arial"/>
          <w:sz w:val="22"/>
          <w:szCs w:val="22"/>
        </w:rPr>
        <w:t xml:space="preserve"> million in 20</w:t>
      </w:r>
      <w:r w:rsidR="00526609">
        <w:rPr>
          <w:rFonts w:ascii="Arial" w:hAnsi="Arial" w:cs="Arial"/>
          <w:sz w:val="22"/>
          <w:szCs w:val="22"/>
        </w:rPr>
        <w:t>20 in 2019US$</w:t>
      </w:r>
      <w:r w:rsidR="00A73800">
        <w:rPr>
          <w:rFonts w:ascii="Arial" w:hAnsi="Arial" w:cs="Arial"/>
          <w:sz w:val="22"/>
          <w:szCs w:val="22"/>
        </w:rPr>
        <w:t>, available from the US Health and Human Services Guidelines</w:t>
      </w:r>
      <w:r w:rsidR="00A73800">
        <w:rPr>
          <w:rFonts w:ascii="Arial" w:hAnsi="Arial" w:cs="Arial"/>
          <w:sz w:val="22"/>
          <w:szCs w:val="22"/>
        </w:rPr>
        <w:fldChar w:fldCharType="begin"/>
      </w:r>
      <w:r w:rsidR="0081559F">
        <w:rPr>
          <w:rFonts w:ascii="Arial" w:hAnsi="Arial" w:cs="Arial"/>
          <w:sz w:val="22"/>
          <w:szCs w:val="22"/>
        </w:rPr>
        <w:instrText xml:space="preserve"> ADDIN ZOTERO_ITEM CSL_CITATION {"citationID":"bpeVBBx3","properties":{"formattedCitation":"[21]","plainCitation":"[21]","noteIndex":0},"citationItems":[{"id":29054,"uris":["http://zotero.org/users/local/p8g0WsVO/items/MP3NMEVF"],"itemData":{"id":29054,"type":"webpage","abstract":"Regulatory impact analyses (RIAs) apply a well-established and widely-used framework for collecting, organizing, and evaluating data on the anticipated consequences of alternative policies. They help ensure that regulatory actions are justified and necessary to achieve social goals, and that these actions are implemented in the most efficient, least burdensome, and most cost-effective manner possible (OMB 2011a). To support these aims, RIAs include an assessment of the benefits and costs anticipated to result from a proposed regulatory action and from alternative policy options.","container-title":"ASPE","language":"en","title":"Guidelines For Regulatory Impact Analysis","URL":"https://aspe.hhs.gov/pdf-report/guidelines-regulatory-impact-analysis","accessed":{"date-parts":[["2020",12,28]]},"issued":{"date-parts":[["2016",11,29]]}}}],"schema":"https://github.com/citation-style-language/schema/raw/master/csl-citation.json"} </w:instrText>
      </w:r>
      <w:r w:rsidR="00A73800">
        <w:rPr>
          <w:rFonts w:ascii="Arial" w:hAnsi="Arial" w:cs="Arial"/>
          <w:sz w:val="22"/>
          <w:szCs w:val="22"/>
        </w:rPr>
        <w:fldChar w:fldCharType="separate"/>
      </w:r>
      <w:r w:rsidR="0081559F">
        <w:rPr>
          <w:rFonts w:ascii="Arial" w:hAnsi="Arial" w:cs="Arial"/>
          <w:sz w:val="22"/>
        </w:rPr>
        <w:t>[21]</w:t>
      </w:r>
      <w:r w:rsidR="00A73800">
        <w:rPr>
          <w:rFonts w:ascii="Arial" w:hAnsi="Arial" w:cs="Arial"/>
          <w:sz w:val="22"/>
          <w:szCs w:val="22"/>
        </w:rPr>
        <w:fldChar w:fldCharType="end"/>
      </w:r>
      <w:r w:rsidRPr="00916413">
        <w:rPr>
          <w:rFonts w:ascii="Arial" w:hAnsi="Arial" w:cs="Arial"/>
          <w:sz w:val="22"/>
          <w:szCs w:val="22"/>
        </w:rPr>
        <w:t xml:space="preserve"> at a</w:t>
      </w:r>
      <w:r w:rsidR="00526609">
        <w:rPr>
          <w:rFonts w:ascii="Arial" w:hAnsi="Arial" w:cs="Arial"/>
          <w:sz w:val="22"/>
          <w:szCs w:val="22"/>
        </w:rPr>
        <w:t xml:space="preserve"> GNI/capita of </w:t>
      </w:r>
      <w:r w:rsidRPr="00916413">
        <w:rPr>
          <w:rFonts w:ascii="Arial" w:hAnsi="Arial" w:cs="Arial"/>
          <w:sz w:val="22"/>
          <w:szCs w:val="22"/>
        </w:rPr>
        <w:t>US$</w:t>
      </w:r>
      <w:r w:rsidR="00526609" w:rsidRPr="00526609">
        <w:rPr>
          <w:rFonts w:ascii="Arial" w:hAnsi="Arial" w:cs="Arial"/>
          <w:sz w:val="22"/>
          <w:szCs w:val="22"/>
        </w:rPr>
        <w:t>65</w:t>
      </w:r>
      <w:r w:rsidR="00526609">
        <w:rPr>
          <w:rFonts w:ascii="Arial" w:hAnsi="Arial" w:cs="Arial"/>
          <w:sz w:val="22"/>
          <w:szCs w:val="22"/>
        </w:rPr>
        <w:t xml:space="preserve">, </w:t>
      </w:r>
      <w:r w:rsidR="00526609" w:rsidRPr="00526609">
        <w:rPr>
          <w:rFonts w:ascii="Arial" w:hAnsi="Arial" w:cs="Arial"/>
          <w:sz w:val="22"/>
          <w:szCs w:val="22"/>
        </w:rPr>
        <w:t>850</w:t>
      </w:r>
      <w:r w:rsidR="00526609">
        <w:rPr>
          <w:rFonts w:ascii="Arial" w:hAnsi="Arial" w:cs="Arial"/>
          <w:sz w:val="22"/>
          <w:szCs w:val="22"/>
        </w:rPr>
        <w:t xml:space="preserve"> (in 2019 US$)</w:t>
      </w:r>
      <w:r w:rsidR="00A73800">
        <w:rPr>
          <w:rFonts w:ascii="Arial" w:hAnsi="Arial" w:cs="Arial"/>
          <w:sz w:val="22"/>
          <w:szCs w:val="22"/>
        </w:rPr>
        <w:t xml:space="preserve"> (available from the World Bank)</w:t>
      </w:r>
      <w:r w:rsidRPr="00916413">
        <w:rPr>
          <w:rFonts w:ascii="Arial" w:hAnsi="Arial" w:cs="Arial"/>
          <w:sz w:val="22"/>
          <w:szCs w:val="22"/>
        </w:rPr>
        <w:t>, and an income elasticity of 1.</w:t>
      </w:r>
      <w:r w:rsidR="004B345A">
        <w:rPr>
          <w:rFonts w:ascii="Arial" w:hAnsi="Arial" w:cs="Arial"/>
          <w:sz w:val="22"/>
          <w:szCs w:val="22"/>
        </w:rPr>
        <w:t>0</w:t>
      </w:r>
      <w:r w:rsidRPr="00916413">
        <w:rPr>
          <w:rFonts w:ascii="Arial" w:hAnsi="Arial" w:cs="Arial"/>
          <w:sz w:val="22"/>
          <w:szCs w:val="22"/>
        </w:rPr>
        <w:t xml:space="preserve">, assuming benefits transfer as </w:t>
      </w:r>
      <w:r w:rsidRPr="00916413">
        <w:rPr>
          <w:rFonts w:ascii="Arial" w:hAnsi="Arial" w:cs="Arial"/>
          <w:sz w:val="22"/>
          <w:szCs w:val="22"/>
        </w:rPr>
        <w:lastRenderedPageBreak/>
        <w:t>recommended by Hammitt and Robinson</w:t>
      </w:r>
      <w:r w:rsidRPr="00916413">
        <w:rPr>
          <w:rFonts w:ascii="Arial" w:hAnsi="Arial" w:cs="Arial"/>
          <w:sz w:val="22"/>
          <w:szCs w:val="22"/>
        </w:rPr>
        <w:fldChar w:fldCharType="begin"/>
      </w:r>
      <w:r w:rsidR="0081559F">
        <w:rPr>
          <w:rFonts w:ascii="Arial" w:hAnsi="Arial" w:cs="Arial"/>
          <w:sz w:val="22"/>
          <w:szCs w:val="22"/>
        </w:rPr>
        <w:instrText xml:space="preserve"> ADDIN ZOTERO_ITEM CSL_CITATION {"citationID":"a1pfuirtu2f","properties":{"formattedCitation":"[22]","plainCitation":"[22]","noteIndex":0},"citationItems":[{"id":26938,"uris":["http://zotero.org/users/local/p8g0WsVO/items/NDCWEDRG"],"itemData":{"id":26938,"type":"article-journal","abstract":"The income elasticity of the value per statistical life (VSL) is an important parameter for policy analysis. Mortality risk reductions often dominate the quantified benefits of environmental and other policies, and estimates of their value are frequently transferred across countries with significantly different income levels. U.S. regulatory agencies typically assume that a 1.0 percent change in real income over time will lead to a 0.4 to 0.6 percent change in the VSL. While elasticities within this range are supported by substantial research, they appear nonsensical if applied to populations with significantly smaller incomes. When transferring values between high and lower income countries, analysts often instead assume an elasticity of 1.0, but the resulting VSL estimates appear large in comparison to income. Elasticities greater than 1.0 are supported by research on the relationship between long-term economic growth and the VSL, by cross-country comparisons, and by new research that estimates the VSL by income quantile. Caution is needed when applying these higher elasticities, however, because the resulting VSLs appear smaller than expected future earnings or consumption in some cases, contrary to theory. In addition to indicating the need for more research, this comparison suggests that, in the interim, VSL estimates should be bounded below by estimates of future income or consumption.","container-title":"Journal of Benefit-Cost Analysis","DOI":"10.2202/2152-2812.1009","ISSN":"2194-5888, 2152-2812","issue":"1","language":"en","page":"1-29","source":"Cambridge Core","title":"The Income Elasticity of the Value per Statistical Life: Transferring Estimates between High and Low Income Populations","title-short":"The Income Elasticity of the Value per Statistical Life","URL":"https://www.cambridge.org/core/journals/journal-of-benefit-cost-analysis/article/income-elasticity-of-the-value-per-statistical-life-transferring-estimates-between-high-and-low-income-populations/3AE5B0BB1034B7D898E2C9B3C1507794#","volume":"2","author":[{"family":"Hammitt","given":"James K."},{"family":"Robinson","given":"Lisa A."}],"accessed":{"date-parts":[["2019",3,1]]},"issued":{"date-parts":[["2011",1]]}}}],"schema":"https://github.com/citation-style-language/schema/raw/master/csl-citation.json"} </w:instrText>
      </w:r>
      <w:r w:rsidRPr="00916413">
        <w:rPr>
          <w:rFonts w:ascii="Arial" w:hAnsi="Arial" w:cs="Arial"/>
          <w:sz w:val="22"/>
          <w:szCs w:val="22"/>
        </w:rPr>
        <w:fldChar w:fldCharType="separate"/>
      </w:r>
      <w:r w:rsidR="0081559F">
        <w:rPr>
          <w:rFonts w:ascii="Arial" w:hAnsi="Arial" w:cs="Arial"/>
          <w:sz w:val="22"/>
        </w:rPr>
        <w:t>[22]</w:t>
      </w:r>
      <w:r w:rsidRPr="00916413">
        <w:rPr>
          <w:rFonts w:ascii="Arial" w:hAnsi="Arial" w:cs="Arial"/>
          <w:sz w:val="22"/>
          <w:szCs w:val="22"/>
        </w:rPr>
        <w:fldChar w:fldCharType="end"/>
      </w:r>
      <w:r w:rsidRPr="00916413">
        <w:rPr>
          <w:rFonts w:ascii="Arial" w:hAnsi="Arial" w:cs="Arial"/>
          <w:sz w:val="22"/>
          <w:szCs w:val="22"/>
        </w:rPr>
        <w:t xml:space="preserve">. </w:t>
      </w:r>
      <w:r w:rsidR="00526609">
        <w:rPr>
          <w:rFonts w:ascii="Arial" w:hAnsi="Arial" w:cs="Arial"/>
          <w:sz w:val="22"/>
          <w:szCs w:val="22"/>
        </w:rPr>
        <w:t>T</w:t>
      </w:r>
      <w:r w:rsidRPr="00916413">
        <w:rPr>
          <w:rFonts w:ascii="Arial" w:hAnsi="Arial" w:cs="Arial"/>
          <w:sz w:val="22"/>
          <w:szCs w:val="22"/>
        </w:rPr>
        <w:t>he GNI/capita</w:t>
      </w:r>
      <w:r w:rsidR="00526609">
        <w:rPr>
          <w:rFonts w:ascii="Arial" w:hAnsi="Arial" w:cs="Arial"/>
          <w:sz w:val="22"/>
          <w:szCs w:val="22"/>
        </w:rPr>
        <w:t xml:space="preserve"> for each country was </w:t>
      </w:r>
      <w:r w:rsidRPr="00916413">
        <w:rPr>
          <w:rFonts w:ascii="Arial" w:hAnsi="Arial" w:cs="Arial"/>
          <w:sz w:val="22"/>
          <w:szCs w:val="22"/>
        </w:rPr>
        <w:t>gathered from the World Bank data tables (in 201</w:t>
      </w:r>
      <w:r w:rsidR="00526609">
        <w:rPr>
          <w:rFonts w:ascii="Arial" w:hAnsi="Arial" w:cs="Arial"/>
          <w:sz w:val="22"/>
          <w:szCs w:val="22"/>
        </w:rPr>
        <w:t>9</w:t>
      </w:r>
      <w:r w:rsidRPr="00916413">
        <w:rPr>
          <w:rFonts w:ascii="Arial" w:hAnsi="Arial" w:cs="Arial"/>
          <w:sz w:val="22"/>
          <w:szCs w:val="22"/>
        </w:rPr>
        <w:t xml:space="preserve"> international $, adjusted for purchasing power parity</w:t>
      </w:r>
      <w:r w:rsidRPr="00916413">
        <w:rPr>
          <w:rFonts w:ascii="Arial" w:hAnsi="Arial" w:cs="Arial"/>
          <w:sz w:val="22"/>
          <w:szCs w:val="22"/>
        </w:rPr>
        <w:fldChar w:fldCharType="begin"/>
      </w:r>
      <w:r w:rsidR="0081559F">
        <w:rPr>
          <w:rFonts w:ascii="Arial" w:hAnsi="Arial" w:cs="Arial"/>
          <w:sz w:val="22"/>
          <w:szCs w:val="22"/>
        </w:rPr>
        <w:instrText xml:space="preserve"> ADDIN ZOTERO_ITEM CSL_CITATION {"citationID":"a2md22us8so","properties":{"formattedCitation":"[23]","plainCitation":"[23]","noteIndex":0},"citationItems":[{"id":28670,"uris":["http://zotero.org/users/local/p8g0WsVO/items/PU9SNM7I"],"itemData":{"id":28670,"type":"webpage","title":"World Bank Open Data | Data","URL":"https://data.worldbank.org/","accessed":{"date-parts":[["2020",7,28]]}}}],"schema":"https://github.com/citation-style-language/schema/raw/master/csl-citation.json"} </w:instrText>
      </w:r>
      <w:r w:rsidRPr="00916413">
        <w:rPr>
          <w:rFonts w:ascii="Arial" w:hAnsi="Arial" w:cs="Arial"/>
          <w:sz w:val="22"/>
          <w:szCs w:val="22"/>
        </w:rPr>
        <w:fldChar w:fldCharType="separate"/>
      </w:r>
      <w:r w:rsidR="0081559F">
        <w:rPr>
          <w:rFonts w:ascii="Arial" w:hAnsi="Arial" w:cs="Arial"/>
          <w:sz w:val="22"/>
        </w:rPr>
        <w:t>[23]</w:t>
      </w:r>
      <w:r w:rsidRPr="00916413">
        <w:rPr>
          <w:rFonts w:ascii="Arial" w:hAnsi="Arial" w:cs="Arial"/>
          <w:sz w:val="22"/>
          <w:szCs w:val="22"/>
        </w:rPr>
        <w:fldChar w:fldCharType="end"/>
      </w:r>
      <w:r w:rsidRPr="00916413">
        <w:rPr>
          <w:rFonts w:ascii="Arial" w:hAnsi="Arial" w:cs="Arial"/>
          <w:sz w:val="22"/>
          <w:szCs w:val="22"/>
        </w:rPr>
        <w:t>).</w:t>
      </w:r>
      <w:r w:rsidR="00A9051C">
        <w:rPr>
          <w:rFonts w:ascii="Arial" w:hAnsi="Arial" w:cs="Arial"/>
          <w:sz w:val="22"/>
          <w:szCs w:val="22"/>
        </w:rPr>
        <w:t xml:space="preserve"> </w:t>
      </w:r>
      <w:r w:rsidR="00A9051C" w:rsidRPr="00A9051C">
        <w:rPr>
          <w:rFonts w:ascii="Arial" w:hAnsi="Arial" w:cs="Arial"/>
          <w:sz w:val="22"/>
          <w:szCs w:val="22"/>
        </w:rPr>
        <w:t xml:space="preserve">The country VSL value represents the societal willingness-to-pay (WTP) for marginal risk reductions. </w:t>
      </w:r>
      <w:r w:rsidR="00A9051C">
        <w:rPr>
          <w:rFonts w:ascii="Arial" w:hAnsi="Arial" w:cs="Arial"/>
          <w:sz w:val="22"/>
          <w:szCs w:val="22"/>
        </w:rPr>
        <w:t xml:space="preserve">A </w:t>
      </w:r>
      <w:r w:rsidR="00A9051C" w:rsidRPr="00A9051C">
        <w:rPr>
          <w:rFonts w:ascii="Arial" w:hAnsi="Arial" w:cs="Arial"/>
          <w:sz w:val="22"/>
          <w:szCs w:val="22"/>
        </w:rPr>
        <w:t>population</w:t>
      </w:r>
      <w:r w:rsidR="00A9051C" w:rsidRPr="00A9051C">
        <w:rPr>
          <w:rFonts w:ascii="Cambria Math" w:hAnsi="Cambria Math" w:cs="Cambria Math"/>
          <w:sz w:val="22"/>
          <w:szCs w:val="22"/>
        </w:rPr>
        <w:t>‐</w:t>
      </w:r>
      <w:r w:rsidR="00A9051C" w:rsidRPr="00A9051C">
        <w:rPr>
          <w:rFonts w:ascii="Arial" w:hAnsi="Arial" w:cs="Arial"/>
          <w:sz w:val="22"/>
          <w:szCs w:val="22"/>
        </w:rPr>
        <w:t xml:space="preserve">average VSL of $10 million </w:t>
      </w:r>
      <w:r w:rsidR="00A9051C">
        <w:rPr>
          <w:rFonts w:ascii="Arial" w:hAnsi="Arial" w:cs="Arial"/>
          <w:sz w:val="22"/>
          <w:szCs w:val="22"/>
        </w:rPr>
        <w:t xml:space="preserve">for example, </w:t>
      </w:r>
      <w:r w:rsidR="00A9051C" w:rsidRPr="00A9051C">
        <w:rPr>
          <w:rFonts w:ascii="Arial" w:hAnsi="Arial" w:cs="Arial"/>
          <w:sz w:val="22"/>
          <w:szCs w:val="22"/>
        </w:rPr>
        <w:t xml:space="preserve">indicates that the typical individual is willing to pay $1,000 to decrease his or her chance of dying in a given year by 1 in 10,000. Individual WTP can be summed across those affected. </w:t>
      </w:r>
    </w:p>
    <w:p w14:paraId="6EDE1FDD" w14:textId="77777777" w:rsidR="00A9051C" w:rsidRPr="00EC4166" w:rsidRDefault="00A9051C" w:rsidP="001F1C09">
      <w:pPr>
        <w:ind w:left="720"/>
        <w:jc w:val="both"/>
        <w:rPr>
          <w:rFonts w:ascii="Arial" w:hAnsi="Arial" w:cs="Arial"/>
          <w:sz w:val="22"/>
          <w:szCs w:val="22"/>
        </w:rPr>
      </w:pPr>
    </w:p>
    <w:p w14:paraId="386A3263" w14:textId="411D1634" w:rsidR="00916413" w:rsidRPr="00EC4166" w:rsidRDefault="0057249B" w:rsidP="00916413">
      <w:pPr>
        <w:rPr>
          <w:rFonts w:ascii="Arial" w:eastAsiaTheme="minorEastAsia" w:hAnsi="Arial" w:cs="Arial"/>
          <w:sz w:val="22"/>
          <w:szCs w:val="22"/>
        </w:rPr>
      </w:pPr>
      <m:oMathPara>
        <m:oMathParaPr>
          <m:jc m:val="center"/>
        </m:oMathParaPr>
        <m:oMath>
          <m:r>
            <w:rPr>
              <w:rFonts w:ascii="Cambria Math" w:hAnsi="Cambria Math" w:cstheme="minorHAnsi"/>
            </w:rPr>
            <m:t>VS</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Target</m:t>
              </m:r>
            </m:sub>
          </m:sSub>
          <m:r>
            <w:rPr>
              <w:rFonts w:ascii="Cambria Math" w:hAnsi="Cambria Math" w:cstheme="minorHAnsi"/>
            </w:rPr>
            <m:t>=VS</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US</m:t>
              </m:r>
            </m:sub>
          </m:sSub>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Target</m:t>
                          </m:r>
                        </m:sub>
                      </m:sSub>
                    </m:num>
                    <m:den>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US</m:t>
                          </m:r>
                        </m:sub>
                      </m:sSub>
                    </m:den>
                  </m:f>
                </m:e>
              </m:d>
            </m:e>
            <m:sup>
              <m:r>
                <w:rPr>
                  <w:rFonts w:ascii="Cambria Math" w:hAnsi="Cambria Math" w:cstheme="minorHAnsi"/>
                </w:rPr>
                <m:t>Elasticity</m:t>
              </m:r>
            </m:sup>
          </m:sSup>
        </m:oMath>
      </m:oMathPara>
    </w:p>
    <w:p w14:paraId="3966F438" w14:textId="77777777" w:rsidR="00A8686C" w:rsidRDefault="00A8686C" w:rsidP="0073612B">
      <w:pPr>
        <w:jc w:val="both"/>
        <w:rPr>
          <w:rFonts w:ascii="Arial" w:hAnsi="Arial" w:cs="Arial"/>
          <w:sz w:val="22"/>
          <w:szCs w:val="22"/>
        </w:rPr>
      </w:pPr>
    </w:p>
    <w:p w14:paraId="632F0B6D" w14:textId="24C4B693" w:rsidR="00916413" w:rsidRPr="00916413" w:rsidRDefault="00CB2942" w:rsidP="001F1C09">
      <w:pPr>
        <w:ind w:left="720"/>
        <w:jc w:val="both"/>
        <w:rPr>
          <w:rFonts w:ascii="Arial" w:hAnsi="Arial" w:cs="Arial"/>
          <w:sz w:val="22"/>
          <w:szCs w:val="22"/>
        </w:rPr>
      </w:pPr>
      <w:r>
        <w:rPr>
          <w:rFonts w:ascii="Arial" w:hAnsi="Arial" w:cs="Arial"/>
          <w:sz w:val="22"/>
          <w:szCs w:val="22"/>
        </w:rPr>
        <w:t>We</w:t>
      </w:r>
      <w:r w:rsidRPr="00916413">
        <w:rPr>
          <w:rFonts w:ascii="Arial" w:hAnsi="Arial" w:cs="Arial"/>
          <w:sz w:val="22"/>
          <w:szCs w:val="22"/>
        </w:rPr>
        <w:t xml:space="preserve"> </w:t>
      </w:r>
      <w:r w:rsidR="00916413" w:rsidRPr="00916413">
        <w:rPr>
          <w:rFonts w:ascii="Arial" w:hAnsi="Arial" w:cs="Arial"/>
          <w:sz w:val="22"/>
          <w:szCs w:val="22"/>
        </w:rPr>
        <w:t xml:space="preserve">then converted the country VSLs </w:t>
      </w:r>
      <m:oMath>
        <m:r>
          <w:rPr>
            <w:rFonts w:ascii="Cambria Math" w:hAnsi="Cambria Math" w:cs="Arial"/>
            <w:sz w:val="22"/>
            <w:szCs w:val="22"/>
          </w:rPr>
          <m:t>(VS</m:t>
        </m:r>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i</m:t>
            </m:r>
          </m:sub>
        </m:sSub>
        <m:r>
          <w:rPr>
            <w:rFonts w:ascii="Cambria Math" w:hAnsi="Cambria Math" w:cs="Arial"/>
            <w:sz w:val="22"/>
            <w:szCs w:val="22"/>
          </w:rPr>
          <m:t>)</m:t>
        </m:r>
      </m:oMath>
      <w:r w:rsidR="00916413" w:rsidRPr="00916413">
        <w:rPr>
          <w:rFonts w:ascii="Arial" w:hAnsi="Arial" w:cs="Arial"/>
          <w:sz w:val="22"/>
          <w:szCs w:val="22"/>
        </w:rPr>
        <w:t xml:space="preserve"> to values per statistical life year (VSLYs), by dividing by the discounted expected life years remaining for an individual </w:t>
      </w:r>
      <w:r w:rsidR="008648AC">
        <w:rPr>
          <w:rFonts w:ascii="Arial" w:hAnsi="Arial" w:cs="Arial"/>
          <w:sz w:val="22"/>
          <w:szCs w:val="22"/>
        </w:rPr>
        <w:t xml:space="preserve">assuming </w:t>
      </w:r>
      <w:r w:rsidR="00916413" w:rsidRPr="00916413">
        <w:rPr>
          <w:rFonts w:ascii="Arial" w:hAnsi="Arial" w:cs="Arial"/>
          <w:sz w:val="22"/>
          <w:szCs w:val="22"/>
        </w:rPr>
        <w:t>the median age of the population (</w:t>
      </w:r>
      <m:oMath>
        <m:r>
          <w:rPr>
            <w:rFonts w:ascii="Cambria Math" w:hAnsi="Cambria Math" w:cs="Arial"/>
            <w:color w:val="000000" w:themeColor="text1"/>
            <w:sz w:val="22"/>
            <w:szCs w:val="22"/>
          </w:rPr>
          <m:t>L</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E</m:t>
            </m:r>
          </m:e>
          <m:sub>
            <m:r>
              <w:rPr>
                <w:rFonts w:ascii="Cambria Math" w:hAnsi="Cambria Math" w:cs="Arial"/>
                <w:color w:val="000000" w:themeColor="text1"/>
                <w:sz w:val="22"/>
                <w:szCs w:val="22"/>
              </w:rPr>
              <m:t xml:space="preserve">i </m:t>
            </m:r>
          </m:sub>
        </m:sSub>
        <m:r>
          <w:rPr>
            <w:rFonts w:ascii="Cambria Math" w:hAnsi="Cambria Math" w:cs="Arial"/>
            <w:color w:val="000000" w:themeColor="text1"/>
            <w:sz w:val="22"/>
            <w:szCs w:val="22"/>
          </w:rPr>
          <m:t>)</m:t>
        </m:r>
      </m:oMath>
      <w:r w:rsidR="008648AC">
        <w:rPr>
          <w:rFonts w:ascii="Arial" w:eastAsiaTheme="minorEastAsia" w:hAnsi="Arial" w:cs="Arial"/>
          <w:color w:val="000000" w:themeColor="text1"/>
          <w:sz w:val="22"/>
          <w:szCs w:val="22"/>
        </w:rPr>
        <w:t>.</w:t>
      </w:r>
      <w:r w:rsidR="00526609">
        <w:rPr>
          <w:rFonts w:ascii="Arial" w:hAnsi="Arial" w:cs="Arial"/>
          <w:sz w:val="22"/>
          <w:szCs w:val="22"/>
        </w:rPr>
        <w:t xml:space="preserve"> </w:t>
      </w:r>
      <w:r w:rsidR="008648AC">
        <w:rPr>
          <w:rFonts w:ascii="Arial" w:hAnsi="Arial" w:cs="Arial"/>
          <w:sz w:val="22"/>
          <w:szCs w:val="22"/>
        </w:rPr>
        <w:t xml:space="preserve">We used </w:t>
      </w:r>
      <w:r w:rsidR="00916413" w:rsidRPr="00916413">
        <w:rPr>
          <w:rFonts w:ascii="Arial" w:hAnsi="Arial" w:cs="Arial"/>
          <w:sz w:val="22"/>
          <w:szCs w:val="22"/>
        </w:rPr>
        <w:t>the abridged life tables available from WPP</w:t>
      </w:r>
      <w:r w:rsidR="00916413" w:rsidRPr="00916413">
        <w:rPr>
          <w:rFonts w:ascii="Arial" w:hAnsi="Arial" w:cs="Arial"/>
          <w:sz w:val="22"/>
          <w:szCs w:val="22"/>
        </w:rPr>
        <w:fldChar w:fldCharType="begin"/>
      </w:r>
      <w:r w:rsidR="0081559F">
        <w:rPr>
          <w:rFonts w:ascii="Arial" w:hAnsi="Arial" w:cs="Arial"/>
          <w:sz w:val="22"/>
          <w:szCs w:val="22"/>
        </w:rPr>
        <w:instrText xml:space="preserve"> ADDIN ZOTERO_ITEM CSL_CITATION {"citationID":"ajccmpvfrm","properties":{"formattedCitation":"[3]","plainCitation":"[3]","noteIndex":0},"citationItems":[{"id":26881,"uris":["http://zotero.org/users/local/p8g0WsVO/items/AHQA8GZA"],"itemData":{"id":26881,"type":"webpage","title":"World Population Prospects - Population Division - United Nations","URL":"https://population.un.org/wpp/","accessed":{"date-parts":[["2019",2,17]]}}}],"schema":"https://github.com/citation-style-language/schema/raw/master/csl-citation.json"} </w:instrText>
      </w:r>
      <w:r w:rsidR="00916413" w:rsidRPr="00916413">
        <w:rPr>
          <w:rFonts w:ascii="Arial" w:hAnsi="Arial" w:cs="Arial"/>
          <w:sz w:val="22"/>
          <w:szCs w:val="22"/>
        </w:rPr>
        <w:fldChar w:fldCharType="separate"/>
      </w:r>
      <w:r w:rsidR="0081559F">
        <w:rPr>
          <w:rFonts w:ascii="Arial" w:hAnsi="Arial" w:cs="Arial"/>
          <w:sz w:val="22"/>
        </w:rPr>
        <w:t>[3]</w:t>
      </w:r>
      <w:r w:rsidR="00916413" w:rsidRPr="00916413">
        <w:rPr>
          <w:rFonts w:ascii="Arial" w:hAnsi="Arial" w:cs="Arial"/>
          <w:sz w:val="22"/>
          <w:szCs w:val="22"/>
        </w:rPr>
        <w:fldChar w:fldCharType="end"/>
      </w:r>
      <w:r w:rsidR="008648AC">
        <w:rPr>
          <w:rFonts w:ascii="Arial" w:hAnsi="Arial" w:cs="Arial"/>
          <w:sz w:val="22"/>
          <w:szCs w:val="22"/>
        </w:rPr>
        <w:t>. When using the life table, we used the midpoint of the age interval and i</w:t>
      </w:r>
      <w:r w:rsidR="008648AC" w:rsidRPr="00916413">
        <w:rPr>
          <w:rFonts w:ascii="Arial" w:hAnsi="Arial" w:cs="Arial"/>
          <w:sz w:val="22"/>
          <w:szCs w:val="22"/>
        </w:rPr>
        <w:t xml:space="preserve">n cases where the median age fell in the middle of the age interval, </w:t>
      </w:r>
      <w:r w:rsidR="008648AC">
        <w:rPr>
          <w:rFonts w:ascii="Arial" w:hAnsi="Arial" w:cs="Arial"/>
          <w:sz w:val="22"/>
          <w:szCs w:val="22"/>
        </w:rPr>
        <w:t>we</w:t>
      </w:r>
      <w:r w:rsidR="008648AC" w:rsidRPr="00916413">
        <w:rPr>
          <w:rFonts w:ascii="Arial" w:hAnsi="Arial" w:cs="Arial"/>
          <w:sz w:val="22"/>
          <w:szCs w:val="22"/>
        </w:rPr>
        <w:t xml:space="preserve"> assumed the upper bound</w:t>
      </w:r>
      <w:r w:rsidR="008648AC">
        <w:rPr>
          <w:rFonts w:ascii="Arial" w:hAnsi="Arial" w:cs="Arial"/>
          <w:sz w:val="22"/>
          <w:szCs w:val="22"/>
        </w:rPr>
        <w:t xml:space="preserve">. We </w:t>
      </w:r>
      <w:r w:rsidR="00916413" w:rsidRPr="00916413">
        <w:rPr>
          <w:rFonts w:ascii="Arial" w:hAnsi="Arial" w:cs="Arial"/>
          <w:sz w:val="22"/>
          <w:szCs w:val="22"/>
        </w:rPr>
        <w:t>discounted assuming a discount rate (</w:t>
      </w:r>
      <m:oMath>
        <m:r>
          <w:rPr>
            <w:rFonts w:ascii="Cambria Math" w:hAnsi="Cambria Math" w:cs="Arial"/>
            <w:color w:val="000000" w:themeColor="text1"/>
            <w:sz w:val="22"/>
            <w:szCs w:val="22"/>
          </w:rPr>
          <m:t>r</m:t>
        </m:r>
      </m:oMath>
      <w:r w:rsidR="00916413" w:rsidRPr="00916413">
        <w:rPr>
          <w:rFonts w:ascii="Arial" w:hAnsi="Arial" w:cs="Arial"/>
          <w:sz w:val="22"/>
          <w:szCs w:val="22"/>
        </w:rPr>
        <w:t xml:space="preserve">) of three percent. </w:t>
      </w:r>
    </w:p>
    <w:p w14:paraId="1494FAF3" w14:textId="77777777" w:rsidR="00EC4166" w:rsidRPr="00EC4166" w:rsidRDefault="00EC4166" w:rsidP="00EC4166">
      <w:pPr>
        <w:rPr>
          <w:rFonts w:ascii="Arial" w:hAnsi="Arial" w:cs="Arial"/>
          <w:sz w:val="22"/>
          <w:szCs w:val="22"/>
        </w:rPr>
      </w:pPr>
    </w:p>
    <w:p w14:paraId="747472C7" w14:textId="327E9C4E" w:rsidR="00EC4166" w:rsidRPr="00EC4166" w:rsidRDefault="00916413" w:rsidP="00EC4166">
      <w:pPr>
        <w:rPr>
          <w:rFonts w:ascii="Arial" w:hAnsi="Arial" w:cs="Arial"/>
          <w:sz w:val="22"/>
          <w:szCs w:val="22"/>
        </w:rPr>
      </w:pPr>
      <w:bookmarkStart w:id="23" w:name="_Toc2379546"/>
      <m:oMathPara>
        <m:oMath>
          <m:r>
            <w:rPr>
              <w:rFonts w:ascii="Cambria Math" w:hAnsi="Cambria Math" w:cstheme="minorHAnsi"/>
            </w:rPr>
            <m:t>Value of health loss=</m:t>
          </m:r>
          <m:sSubSup>
            <m:sSubSupPr>
              <m:ctrlPr>
                <w:rPr>
                  <w:rFonts w:ascii="Cambria Math" w:hAnsi="Cambria Math" w:cstheme="minorHAnsi"/>
                  <w:i/>
                </w:rPr>
              </m:ctrlPr>
            </m:sSubSupPr>
            <m:e>
              <m:r>
                <w:rPr>
                  <w:rFonts w:ascii="Cambria Math" w:hAnsi="Cambria Math" w:cstheme="minorHAnsi"/>
                </w:rPr>
                <m:t>QALY</m:t>
              </m:r>
            </m:e>
            <m:sub>
              <m:r>
                <w:rPr>
                  <w:rFonts w:ascii="Cambria Math" w:hAnsi="Cambria Math" w:cstheme="minorHAnsi"/>
                </w:rPr>
                <m:t>i</m:t>
              </m:r>
            </m:sub>
            <m:sup>
              <m:r>
                <w:rPr>
                  <w:rFonts w:ascii="Cambria Math" w:hAnsi="Cambria Math" w:cstheme="minorHAnsi"/>
                </w:rPr>
                <m:t>j</m:t>
              </m:r>
            </m:sup>
          </m:sSub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VS</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i</m:t>
                  </m:r>
                </m:sub>
              </m:sSub>
            </m:num>
            <m:den>
              <m:nary>
                <m:naryPr>
                  <m:chr m:val="∑"/>
                  <m:limLoc m:val="undOvr"/>
                  <m:subHide m:val="1"/>
                  <m:supHide m:val="1"/>
                  <m:ctrlPr>
                    <w:rPr>
                      <w:rFonts w:ascii="Cambria Math" w:hAnsi="Cambria Math" w:cstheme="minorHAnsi"/>
                      <w:i/>
                      <w:color w:val="000000" w:themeColor="text1"/>
                      <w:sz w:val="22"/>
                      <w:szCs w:val="22"/>
                    </w:rPr>
                  </m:ctrlPr>
                </m:naryPr>
                <m:sub/>
                <m:sup/>
                <m:e>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sSup>
                        <m:sSupPr>
                          <m:ctrlPr>
                            <w:rPr>
                              <w:rFonts w:ascii="Cambria Math" w:hAnsi="Cambria Math" w:cstheme="minorHAnsi"/>
                              <w:i/>
                              <w:color w:val="000000" w:themeColor="text1"/>
                              <w:sz w:val="22"/>
                              <w:szCs w:val="22"/>
                            </w:rPr>
                          </m:ctrlPr>
                        </m:sSupPr>
                        <m:e>
                          <m:d>
                            <m:dPr>
                              <m:ctrlPr>
                                <w:rPr>
                                  <w:rFonts w:ascii="Cambria Math" w:hAnsi="Cambria Math" w:cstheme="minorHAnsi"/>
                                  <w:i/>
                                  <w:color w:val="000000" w:themeColor="text1"/>
                                  <w:sz w:val="22"/>
                                  <w:szCs w:val="22"/>
                                </w:rPr>
                              </m:ctrlPr>
                            </m:dPr>
                            <m:e>
                              <m:r>
                                <w:rPr>
                                  <w:rFonts w:ascii="Cambria Math" w:hAnsi="Cambria Math" w:cstheme="minorHAnsi"/>
                                  <w:color w:val="000000" w:themeColor="text1"/>
                                  <w:sz w:val="22"/>
                                  <w:szCs w:val="22"/>
                                </w:rPr>
                                <m:t>1+r</m:t>
                              </m:r>
                            </m:e>
                          </m:d>
                        </m:e>
                        <m:sup>
                          <m:r>
                            <w:rPr>
                              <w:rFonts w:ascii="Cambria Math" w:hAnsi="Cambria Math" w:cstheme="minorHAnsi"/>
                              <w:color w:val="000000" w:themeColor="text1"/>
                              <w:sz w:val="22"/>
                              <w:szCs w:val="22"/>
                            </w:rPr>
                            <m:t>t</m:t>
                          </m:r>
                        </m:sup>
                      </m:sSup>
                    </m:den>
                  </m:f>
                  <m:r>
                    <w:rPr>
                      <w:rFonts w:ascii="Cambria Math" w:hAnsi="Cambria Math" w:cstheme="minorHAnsi"/>
                      <w:color w:val="000000" w:themeColor="text1"/>
                      <w:sz w:val="22"/>
                      <w:szCs w:val="22"/>
                    </w:rPr>
                    <m:t>L</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E</m:t>
                      </m:r>
                    </m:e>
                    <m:sub>
                      <m:r>
                        <w:rPr>
                          <w:rFonts w:ascii="Cambria Math" w:hAnsi="Cambria Math" w:cstheme="minorHAnsi"/>
                          <w:color w:val="000000" w:themeColor="text1"/>
                          <w:sz w:val="22"/>
                          <w:szCs w:val="22"/>
                        </w:rPr>
                        <m:t xml:space="preserve">i </m:t>
                      </m:r>
                    </m:sub>
                  </m:sSub>
                </m:e>
              </m:nary>
            </m:den>
          </m:f>
          <m:r>
            <w:rPr>
              <w:rFonts w:ascii="Cambria Math" w:hAnsi="Cambria Math" w:cstheme="minorHAnsi"/>
              <w:sz w:val="22"/>
              <w:szCs w:val="22"/>
            </w:rPr>
            <m:t xml:space="preserve"> </m:t>
          </m:r>
        </m:oMath>
      </m:oMathPara>
    </w:p>
    <w:p w14:paraId="247ABC1F" w14:textId="3F97CA61" w:rsidR="004C153F" w:rsidRDefault="004C153F"/>
    <w:p w14:paraId="38EA49B2" w14:textId="77777777" w:rsidR="00282469" w:rsidRDefault="00282469"/>
    <w:p w14:paraId="4BE6E8CE" w14:textId="3D9D539E" w:rsidR="00EC4166" w:rsidRPr="00D548A6" w:rsidRDefault="00AA2EB9" w:rsidP="0041570D">
      <w:pPr>
        <w:pStyle w:val="Heading2"/>
      </w:pPr>
      <w:bookmarkStart w:id="24" w:name="_Toc2379547"/>
      <w:bookmarkStart w:id="25" w:name="_Toc64459917"/>
      <w:bookmarkStart w:id="26" w:name="_Toc81857623"/>
      <w:bookmarkEnd w:id="23"/>
      <w:r w:rsidRPr="00D548A6">
        <w:t xml:space="preserve">Section 4. </w:t>
      </w:r>
      <w:r w:rsidR="00EC4166" w:rsidRPr="00D548A6">
        <w:t>HIV Attributable to HSV</w:t>
      </w:r>
      <w:bookmarkEnd w:id="24"/>
      <w:bookmarkEnd w:id="25"/>
      <w:r w:rsidR="00221DB1">
        <w:t>-2</w:t>
      </w:r>
      <w:bookmarkEnd w:id="26"/>
    </w:p>
    <w:p w14:paraId="61F7F1F9" w14:textId="77777777" w:rsidR="00A31A5F" w:rsidRPr="00EC4166" w:rsidRDefault="00A31A5F" w:rsidP="00EC4166">
      <w:pPr>
        <w:jc w:val="both"/>
        <w:rPr>
          <w:rFonts w:ascii="Arial" w:hAnsi="Arial" w:cs="Arial"/>
          <w:sz w:val="22"/>
          <w:szCs w:val="22"/>
        </w:rPr>
      </w:pPr>
    </w:p>
    <w:p w14:paraId="22AD2A59" w14:textId="2E4BC358" w:rsidR="00EC4166" w:rsidRPr="001F1C09" w:rsidRDefault="00EC4166" w:rsidP="001F1C09">
      <w:pPr>
        <w:pStyle w:val="Heading3"/>
        <w:numPr>
          <w:ilvl w:val="0"/>
          <w:numId w:val="16"/>
        </w:numPr>
        <w:ind w:left="1440"/>
        <w:rPr>
          <w:rFonts w:ascii="Arial" w:hAnsi="Arial" w:cs="Arial"/>
          <w:sz w:val="22"/>
          <w:szCs w:val="22"/>
        </w:rPr>
      </w:pPr>
      <w:bookmarkStart w:id="27" w:name="_Toc2379548"/>
      <w:bookmarkStart w:id="28" w:name="_Toc64459918"/>
      <w:bookmarkStart w:id="29" w:name="_Toc81857624"/>
      <w:r w:rsidRPr="001F1C09">
        <w:rPr>
          <w:rFonts w:ascii="Arial" w:hAnsi="Arial" w:cs="Arial"/>
          <w:sz w:val="22"/>
          <w:szCs w:val="22"/>
        </w:rPr>
        <w:t>Disease Burden</w:t>
      </w:r>
      <w:bookmarkEnd w:id="27"/>
      <w:bookmarkEnd w:id="28"/>
      <w:bookmarkEnd w:id="29"/>
    </w:p>
    <w:p w14:paraId="683E54CC" w14:textId="77777777" w:rsidR="00EC4166" w:rsidRPr="00EC4166" w:rsidRDefault="00EC4166" w:rsidP="001F1C09">
      <w:pPr>
        <w:ind w:left="720"/>
        <w:jc w:val="both"/>
        <w:rPr>
          <w:rFonts w:ascii="Arial" w:hAnsi="Arial" w:cs="Arial"/>
          <w:sz w:val="22"/>
          <w:szCs w:val="22"/>
        </w:rPr>
      </w:pPr>
    </w:p>
    <w:p w14:paraId="34B73526" w14:textId="345004AA" w:rsidR="00F8418A" w:rsidRPr="00F8418A" w:rsidRDefault="00001FCE" w:rsidP="001F1C09">
      <w:pPr>
        <w:ind w:left="720"/>
        <w:jc w:val="both"/>
        <w:rPr>
          <w:rFonts w:ascii="Arial" w:hAnsi="Arial" w:cs="Arial"/>
          <w:i/>
        </w:rPr>
      </w:pPr>
      <w:r>
        <w:rPr>
          <w:rFonts w:ascii="Arial" w:hAnsi="Arial" w:cs="Arial"/>
          <w:sz w:val="22"/>
          <w:szCs w:val="22"/>
        </w:rPr>
        <w:t>We estimated the incident HIV cases in 20</w:t>
      </w:r>
      <w:r w:rsidR="00586314">
        <w:rPr>
          <w:rFonts w:ascii="Arial" w:hAnsi="Arial" w:cs="Arial"/>
          <w:sz w:val="22"/>
          <w:szCs w:val="22"/>
        </w:rPr>
        <w:t>20</w:t>
      </w:r>
      <w:r>
        <w:rPr>
          <w:rFonts w:ascii="Arial" w:hAnsi="Arial" w:cs="Arial"/>
          <w:sz w:val="22"/>
          <w:szCs w:val="22"/>
        </w:rPr>
        <w:t xml:space="preserve"> attributable to incident HSV-2 cases in 20</w:t>
      </w:r>
      <w:r w:rsidR="00586314">
        <w:rPr>
          <w:rFonts w:ascii="Arial" w:hAnsi="Arial" w:cs="Arial"/>
          <w:sz w:val="22"/>
          <w:szCs w:val="22"/>
        </w:rPr>
        <w:t>19</w:t>
      </w:r>
      <w:r w:rsidR="000E5675">
        <w:rPr>
          <w:rFonts w:ascii="Arial" w:hAnsi="Arial" w:cs="Arial"/>
          <w:sz w:val="22"/>
          <w:szCs w:val="22"/>
        </w:rPr>
        <w:t xml:space="preserve"> (</w:t>
      </w:r>
      <w:r>
        <w:rPr>
          <w:rFonts w:ascii="Arial" w:hAnsi="Arial" w:cs="Arial"/>
          <w:sz w:val="22"/>
          <w:szCs w:val="22"/>
        </w:rPr>
        <w:t>recent infections</w:t>
      </w:r>
      <w:r w:rsidR="000E5675">
        <w:rPr>
          <w:rFonts w:ascii="Arial" w:hAnsi="Arial" w:cs="Arial"/>
          <w:sz w:val="22"/>
          <w:szCs w:val="22"/>
        </w:rPr>
        <w:t>)</w:t>
      </w:r>
      <w:r>
        <w:rPr>
          <w:rFonts w:ascii="Arial" w:hAnsi="Arial" w:cs="Arial"/>
          <w:sz w:val="22"/>
          <w:szCs w:val="22"/>
        </w:rPr>
        <w:t>, and prevalent HSV-2 cases in 201</w:t>
      </w:r>
      <w:r w:rsidR="00586314">
        <w:rPr>
          <w:rFonts w:ascii="Arial" w:hAnsi="Arial" w:cs="Arial"/>
          <w:sz w:val="22"/>
          <w:szCs w:val="22"/>
        </w:rPr>
        <w:t>9</w:t>
      </w:r>
      <w:r>
        <w:rPr>
          <w:rFonts w:ascii="Arial" w:hAnsi="Arial" w:cs="Arial"/>
          <w:sz w:val="22"/>
          <w:szCs w:val="22"/>
        </w:rPr>
        <w:t xml:space="preserve"> </w:t>
      </w:r>
      <w:r w:rsidR="000E5675">
        <w:rPr>
          <w:rFonts w:ascii="Arial" w:hAnsi="Arial" w:cs="Arial"/>
          <w:sz w:val="22"/>
          <w:szCs w:val="22"/>
        </w:rPr>
        <w:t>(</w:t>
      </w:r>
      <w:r>
        <w:rPr>
          <w:rFonts w:ascii="Arial" w:hAnsi="Arial" w:cs="Arial"/>
          <w:sz w:val="22"/>
          <w:szCs w:val="22"/>
        </w:rPr>
        <w:t>established infections</w:t>
      </w:r>
      <w:r w:rsidR="000E5675">
        <w:rPr>
          <w:rFonts w:ascii="Arial" w:hAnsi="Arial" w:cs="Arial"/>
          <w:sz w:val="22"/>
          <w:szCs w:val="22"/>
        </w:rPr>
        <w:t>)</w:t>
      </w:r>
      <w:r>
        <w:rPr>
          <w:rFonts w:ascii="Arial" w:hAnsi="Arial" w:cs="Arial"/>
          <w:sz w:val="22"/>
          <w:szCs w:val="22"/>
        </w:rPr>
        <w:t xml:space="preserve">. </w:t>
      </w:r>
      <w:r w:rsidR="00586314">
        <w:rPr>
          <w:rFonts w:ascii="Arial" w:hAnsi="Arial" w:cs="Arial"/>
          <w:sz w:val="22"/>
          <w:szCs w:val="22"/>
        </w:rPr>
        <w:t>W</w:t>
      </w:r>
      <w:r>
        <w:rPr>
          <w:rFonts w:ascii="Arial" w:hAnsi="Arial" w:cs="Arial"/>
          <w:sz w:val="22"/>
          <w:szCs w:val="22"/>
        </w:rPr>
        <w:t xml:space="preserve">e </w:t>
      </w:r>
      <w:r w:rsidR="00586314">
        <w:rPr>
          <w:rFonts w:ascii="Arial" w:hAnsi="Arial" w:cs="Arial"/>
          <w:sz w:val="22"/>
          <w:szCs w:val="22"/>
        </w:rPr>
        <w:t xml:space="preserve">first estimated the respective population attributable fractions </w:t>
      </w:r>
      <m:oMath>
        <m:r>
          <w:rPr>
            <w:rFonts w:ascii="Cambria Math" w:hAnsi="Cambria Math" w:cs="Arial"/>
            <w:sz w:val="22"/>
            <w:szCs w:val="22"/>
          </w:rPr>
          <m:t>(</m:t>
        </m:r>
        <m:r>
          <w:rPr>
            <w:rFonts w:ascii="Cambria Math" w:hAnsi="Cambria Math" w:cstheme="minorHAnsi"/>
            <w:sz w:val="22"/>
            <w:szCs w:val="22"/>
          </w:rPr>
          <m:t>PA</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P</m:t>
            </m:r>
          </m:sub>
        </m:sSub>
      </m:oMath>
      <w:r w:rsidR="00586314">
        <w:rPr>
          <w:rFonts w:ascii="Arial" w:eastAsiaTheme="minorEastAsia" w:hAnsi="Arial" w:cs="Arial"/>
          <w:sz w:val="22"/>
          <w:szCs w:val="22"/>
        </w:rPr>
        <w:t xml:space="preserve"> and </w:t>
      </w:r>
      <m:oMath>
        <m:r>
          <w:rPr>
            <w:rFonts w:ascii="Cambria Math" w:hAnsi="Cambria Math" w:cstheme="minorHAnsi"/>
            <w:sz w:val="22"/>
            <w:szCs w:val="22"/>
          </w:rPr>
          <m:t>PA</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i</m:t>
            </m:r>
          </m:sub>
        </m:sSub>
        <m:r>
          <w:rPr>
            <w:rFonts w:ascii="Cambria Math" w:eastAsiaTheme="minorEastAsia" w:hAnsi="Cambria Math" w:cs="Arial"/>
            <w:sz w:val="22"/>
            <w:szCs w:val="22"/>
          </w:rPr>
          <m:t>)</m:t>
        </m:r>
      </m:oMath>
      <w:r w:rsidR="00586314">
        <w:rPr>
          <w:rFonts w:ascii="Arial" w:hAnsi="Arial" w:cs="Arial"/>
          <w:sz w:val="22"/>
          <w:szCs w:val="22"/>
        </w:rPr>
        <w:t xml:space="preserve">, </w:t>
      </w:r>
      <w:r>
        <w:rPr>
          <w:rFonts w:ascii="Arial" w:hAnsi="Arial" w:cs="Arial"/>
          <w:sz w:val="22"/>
          <w:szCs w:val="22"/>
        </w:rPr>
        <w:t>us</w:t>
      </w:r>
      <w:r w:rsidR="00586314">
        <w:rPr>
          <w:rFonts w:ascii="Arial" w:hAnsi="Arial" w:cs="Arial"/>
          <w:sz w:val="22"/>
          <w:szCs w:val="22"/>
        </w:rPr>
        <w:t>ing</w:t>
      </w:r>
      <w:r>
        <w:rPr>
          <w:rFonts w:ascii="Arial" w:hAnsi="Arial" w:cs="Arial"/>
          <w:sz w:val="22"/>
          <w:szCs w:val="22"/>
        </w:rPr>
        <w:t xml:space="preserve"> </w:t>
      </w:r>
      <w:r w:rsidR="00586314">
        <w:rPr>
          <w:rFonts w:ascii="Arial" w:hAnsi="Arial" w:cs="Arial"/>
          <w:sz w:val="22"/>
          <w:szCs w:val="22"/>
        </w:rPr>
        <w:t xml:space="preserve">the </w:t>
      </w:r>
      <w:r w:rsidRPr="00001FCE">
        <w:rPr>
          <w:rFonts w:ascii="Arial" w:hAnsi="Arial" w:cs="Arial"/>
          <w:sz w:val="22"/>
          <w:szCs w:val="22"/>
        </w:rPr>
        <w:t>classic</w:t>
      </w:r>
      <w:r w:rsidR="00586314">
        <w:rPr>
          <w:rFonts w:ascii="Arial" w:hAnsi="Arial" w:cs="Arial"/>
          <w:sz w:val="22"/>
          <w:szCs w:val="22"/>
        </w:rPr>
        <w:t>al</w:t>
      </w:r>
      <w:r w:rsidRPr="00001FCE">
        <w:rPr>
          <w:rFonts w:ascii="Arial" w:hAnsi="Arial" w:cs="Arial"/>
          <w:sz w:val="22"/>
          <w:szCs w:val="22"/>
        </w:rPr>
        <w:t xml:space="preserve"> (Levin</w:t>
      </w:r>
      <w:r w:rsidR="00586314">
        <w:rPr>
          <w:rFonts w:ascii="Arial" w:hAnsi="Arial" w:cs="Arial"/>
          <w:sz w:val="22"/>
          <w:szCs w:val="22"/>
        </w:rPr>
        <w:t>’s</w:t>
      </w:r>
      <w:r w:rsidRPr="00001FCE">
        <w:rPr>
          <w:rFonts w:ascii="Arial" w:hAnsi="Arial" w:cs="Arial"/>
          <w:sz w:val="22"/>
          <w:szCs w:val="22"/>
        </w:rPr>
        <w:t>) epidemiological formula for polytomous exposure</w:t>
      </w:r>
      <w:r>
        <w:rPr>
          <w:rFonts w:ascii="Arial" w:hAnsi="Arial" w:cs="Arial"/>
          <w:sz w:val="22"/>
          <w:szCs w:val="22"/>
        </w:rPr>
        <w:t>s</w:t>
      </w:r>
      <w:r w:rsidR="00F8418A" w:rsidRPr="00F8418A">
        <w:rPr>
          <w:rFonts w:ascii="Arial" w:hAnsi="Arial" w:cs="Arial"/>
          <w:sz w:val="22"/>
          <w:szCs w:val="22"/>
        </w:rPr>
        <w:fldChar w:fldCharType="begin"/>
      </w:r>
      <w:r w:rsidR="0081559F">
        <w:rPr>
          <w:rFonts w:ascii="Arial" w:hAnsi="Arial" w:cs="Arial"/>
          <w:sz w:val="22"/>
          <w:szCs w:val="22"/>
        </w:rPr>
        <w:instrText xml:space="preserve"> ADDIN ZOTERO_ITEM CSL_CITATION {"citationID":"5ug0JQon","properties":{"formattedCitation":"[24]","plainCitation":"[24]","noteIndex":0},"citationItems":[{"id":26719,"uris":["http://zotero.org/users/local/p8g0WsVO/items/49T4EBV9"],"itemData":{"id":26719,"type":"article-journal","abstract":"BACKGROUND: As the definitional formula for population attributable fraction is not usually directly usable in applications, separate estimation formulas are required. However, most epidemiology textbooks limit their coverage to Levin's formula, based on the (dichotomous) distribution of the exposure of interest in the population. Few present or explain Miettinen's formula, based on the distribution of the exposure in the cases; and even fewer present the corresponding formulas for situations with more than two levels of exposure. Thus, many health researchers and public health practitioners are unaware of, or are not confident in their use of, these formulas, particularly when they involve several exposure levels, or confounding factors.\nMETHODS/RESULTS: A heuristic approach, coupled with pictorial representations, is offered to help understand and interconnect the structures behind the Levin and Miettinen formulas. The pictorial representation shows how to deal correctly with several exposure levels, and why a commonly used approach is incorrect. Correct and incorrect approaches are also presented for situations where estimates must be aggregated over strata of a confounding factor.","container-title":"Journal of Epidemiology and Community Health","ISSN":"0143-005X","issue":"7","journalAbbreviation":"J Epidemiol Community Health","language":"eng","note":"PMID: 11413183\nPMCID: PMC1731931","page":"508-514","source":"PubMed","title":"A heuristic approach to the formulas for population attributable fraction","volume":"55","author":[{"family":"Hanley","given":"J. A."}],"issued":{"date-parts":[["2001",7]]}}}],"schema":"https://github.com/citation-style-language/schema/raw/master/csl-citation.json"} </w:instrText>
      </w:r>
      <w:r w:rsidR="00F8418A" w:rsidRPr="00F8418A">
        <w:rPr>
          <w:rFonts w:ascii="Arial" w:hAnsi="Arial" w:cs="Arial"/>
          <w:sz w:val="22"/>
          <w:szCs w:val="22"/>
        </w:rPr>
        <w:fldChar w:fldCharType="separate"/>
      </w:r>
      <w:r w:rsidR="0081559F">
        <w:rPr>
          <w:rFonts w:ascii="Arial" w:hAnsi="Arial" w:cs="Arial"/>
          <w:sz w:val="22"/>
        </w:rPr>
        <w:t>[24]</w:t>
      </w:r>
      <w:r w:rsidR="00F8418A" w:rsidRPr="00F8418A">
        <w:rPr>
          <w:rFonts w:ascii="Arial" w:hAnsi="Arial" w:cs="Arial"/>
          <w:sz w:val="22"/>
          <w:szCs w:val="22"/>
        </w:rPr>
        <w:fldChar w:fldCharType="end"/>
      </w:r>
      <w:r w:rsidR="00586314">
        <w:rPr>
          <w:rFonts w:ascii="Arial" w:hAnsi="Arial" w:cs="Arial"/>
          <w:sz w:val="22"/>
          <w:szCs w:val="22"/>
        </w:rPr>
        <w:t>, along with the pooled adjusted relative risks (</w:t>
      </w:r>
      <m:oMath>
        <m:r>
          <w:rPr>
            <w:rFonts w:ascii="Cambria Math" w:hAnsi="Cambria Math" w:cstheme="minorHAnsi"/>
            <w:sz w:val="22"/>
            <w:szCs w:val="22"/>
          </w:rPr>
          <m:t>R</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P</m:t>
            </m:r>
          </m:sub>
        </m:sSub>
      </m:oMath>
      <w:r w:rsidR="00586314">
        <w:rPr>
          <w:rFonts w:ascii="Arial" w:hAnsi="Arial" w:cs="Arial"/>
          <w:sz w:val="22"/>
          <w:szCs w:val="22"/>
        </w:rPr>
        <w:t xml:space="preserve"> and </w:t>
      </w:r>
      <m:oMath>
        <m:r>
          <w:rPr>
            <w:rFonts w:ascii="Cambria Math" w:hAnsi="Cambria Math" w:cstheme="minorHAnsi"/>
            <w:sz w:val="22"/>
            <w:szCs w:val="22"/>
          </w:rPr>
          <m:t>R</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oMath>
      <w:r w:rsidR="00586314">
        <w:rPr>
          <w:rFonts w:ascii="Arial" w:eastAsiaTheme="minorEastAsia" w:hAnsi="Arial" w:cs="Arial"/>
          <w:sz w:val="22"/>
          <w:szCs w:val="22"/>
        </w:rPr>
        <w:t xml:space="preserve">) </w:t>
      </w:r>
      <w:r w:rsidR="00586314">
        <w:rPr>
          <w:rFonts w:ascii="Arial" w:hAnsi="Arial" w:cs="Arial"/>
          <w:sz w:val="22"/>
          <w:szCs w:val="22"/>
        </w:rPr>
        <w:t>estimated by Looker and colleagues for the general population for recent and established infections (</w:t>
      </w:r>
      <w:r w:rsidR="00586314" w:rsidRPr="00001FCE">
        <w:rPr>
          <w:rFonts w:ascii="Arial" w:hAnsi="Arial" w:cs="Arial"/>
          <w:sz w:val="22"/>
          <w:szCs w:val="22"/>
        </w:rPr>
        <w:t>2·7</w:t>
      </w:r>
      <w:r w:rsidR="00586314">
        <w:rPr>
          <w:rFonts w:ascii="Arial" w:hAnsi="Arial" w:cs="Arial"/>
          <w:sz w:val="22"/>
          <w:szCs w:val="22"/>
        </w:rPr>
        <w:t>;</w:t>
      </w:r>
      <w:r w:rsidR="00586314" w:rsidRPr="00001FCE">
        <w:rPr>
          <w:rFonts w:ascii="Arial" w:hAnsi="Arial" w:cs="Arial"/>
          <w:sz w:val="22"/>
          <w:szCs w:val="22"/>
        </w:rPr>
        <w:t xml:space="preserve"> </w:t>
      </w:r>
      <w:r w:rsidR="00586314">
        <w:rPr>
          <w:rFonts w:ascii="Arial" w:hAnsi="Arial" w:cs="Arial"/>
          <w:sz w:val="22"/>
          <w:szCs w:val="22"/>
        </w:rPr>
        <w:t xml:space="preserve">95% CI: </w:t>
      </w:r>
      <w:r w:rsidR="00586314" w:rsidRPr="00001FCE">
        <w:rPr>
          <w:rFonts w:ascii="Arial" w:hAnsi="Arial" w:cs="Arial"/>
          <w:sz w:val="22"/>
          <w:szCs w:val="22"/>
        </w:rPr>
        <w:t>2·2–3·4</w:t>
      </w:r>
      <w:r w:rsidR="00586314">
        <w:rPr>
          <w:rFonts w:ascii="Arial" w:hAnsi="Arial" w:cs="Arial"/>
          <w:sz w:val="22"/>
          <w:szCs w:val="22"/>
        </w:rPr>
        <w:t xml:space="preserve"> and </w:t>
      </w:r>
      <w:r w:rsidR="00586314" w:rsidRPr="00001FCE">
        <w:rPr>
          <w:rFonts w:ascii="Arial" w:hAnsi="Arial" w:cs="Arial"/>
          <w:sz w:val="22"/>
          <w:szCs w:val="22"/>
        </w:rPr>
        <w:t>4·7</w:t>
      </w:r>
      <w:r w:rsidR="00586314">
        <w:rPr>
          <w:rFonts w:ascii="Arial" w:hAnsi="Arial" w:cs="Arial"/>
          <w:sz w:val="22"/>
          <w:szCs w:val="22"/>
        </w:rPr>
        <w:t>;</w:t>
      </w:r>
      <w:r w:rsidR="00586314" w:rsidRPr="00001FCE">
        <w:rPr>
          <w:rFonts w:ascii="Arial" w:hAnsi="Arial" w:cs="Arial"/>
          <w:sz w:val="22"/>
          <w:szCs w:val="22"/>
        </w:rPr>
        <w:t xml:space="preserve"> </w:t>
      </w:r>
      <w:r w:rsidR="00586314">
        <w:rPr>
          <w:rFonts w:ascii="Arial" w:hAnsi="Arial" w:cs="Arial"/>
          <w:sz w:val="22"/>
          <w:szCs w:val="22"/>
        </w:rPr>
        <w:t xml:space="preserve">95% CI: </w:t>
      </w:r>
      <w:r w:rsidR="00586314" w:rsidRPr="00001FCE">
        <w:rPr>
          <w:rFonts w:ascii="Arial" w:hAnsi="Arial" w:cs="Arial"/>
          <w:sz w:val="22"/>
          <w:szCs w:val="22"/>
        </w:rPr>
        <w:t>2·2–10·1</w:t>
      </w:r>
      <w:r w:rsidR="00586314">
        <w:rPr>
          <w:rFonts w:ascii="Arial" w:hAnsi="Arial" w:cs="Arial"/>
          <w:sz w:val="22"/>
          <w:szCs w:val="22"/>
        </w:rPr>
        <w:t xml:space="preserve"> respectively)</w:t>
      </w:r>
      <w:r w:rsidR="00F8418A" w:rsidRPr="00F8418A">
        <w:rPr>
          <w:rFonts w:ascii="Arial" w:hAnsi="Arial" w:cs="Arial"/>
          <w:sz w:val="22"/>
          <w:szCs w:val="22"/>
        </w:rPr>
        <w:fldChar w:fldCharType="begin"/>
      </w:r>
      <w:r w:rsidR="0081559F">
        <w:rPr>
          <w:rFonts w:ascii="Arial" w:hAnsi="Arial" w:cs="Arial"/>
          <w:sz w:val="22"/>
          <w:szCs w:val="22"/>
        </w:rPr>
        <w:instrText xml:space="preserve"> ADDIN ZOTERO_ITEM CSL_CITATION {"citationID":"EYOQQa1u","properties":{"formattedCitation":"[25]","plainCitation":"[25]","noteIndex":0},"citationItems":[{"id":1916,"uris":["http://zotero.org/users/local/p8g0WsVO/items/FKQB4V2R"],"itemData":{"id":1916,"type":"article-journal","abstract":"&lt;h2&gt;Summary&lt;/h2&gt;&lt;h3&gt;Background&lt;/h3&gt;&lt;p&gt;HIV and herpes simplex virus type 2 (HSV-2) infections cause a substantial global disease burden and are epidemiologically correlated. Two previous systematic reviews of the association between HSV-2 and HIV found evidence that HSV-2 infection increases the risk of HIV acquisition, but these reviews are now more than a decade old.&lt;/p&gt;&lt;h3&gt;Methods&lt;/h3&gt;&lt;p&gt;For this systematic review and meta-analysis, we searched PubMed, MEDLINE, and Embase (from Jan 1, 2003, to May 25, 2017) to identify studies investigating the risk of HIV acquisition after exposure to HSV-2 infection, either at baseline (prevalent HSV-2 infection) or during follow-up (incident HSV-2 infection). Studies were included if they were a cohort study, controlled trial, or case-control study (including case-control studies nested within a cohort study or clinical trial); if they assessed the effect of pre-existing HSV-2 infection on HIV acquisition; and if they determined the HSV-2 infection status of study participants with a type-specific assay. We calculated pooled random-effect estimates of the association between prevalent or incident HSV-2 infection and HIV seroconversion. We also extended previous investigations through detailed meta-regression and subgroup analyses. In particular, we investigated the effect of sex and risk group (general population &lt;i&gt;vs&lt;/i&gt; higher-risk populations) on the relative risk (RR) of HIV acquisition after prevalent or incident HSV-2 infection. Higher-risk populations included female sex workers and their clients, men who have sex with men, serodiscordant couples, and attendees of sexually transmitted infection clinics.&lt;/p&gt;&lt;h3&gt;Findings&lt;/h3&gt;&lt;p&gt;We identified 57 longitudinal studies exploring the association between HSV-2 and HIV. HIV acquisition was almost tripled in the presence of prevalent HSV-2 infection among general populations (adjusted RR 2·7, 95% CI 2·2–3·4; number of estimates [N&lt;sub&gt;e&lt;/sub&gt;]=22) and was roughly doubled among higher-risk populations (1·7, 1·4–2·1; N&lt;sub&gt;e&lt;/sub&gt;=25). Incident HSV-2 infection in general populations was associated with the highest risk of acquisition of HIV (4·7, 2·2–10·1; N&lt;sub&gt;e&lt;/sub&gt;=6). Adjustment for confounders at the study level was often incomplete but did not significantly affect the results. We found moderate heterogeneity across study estimates, which was explained by risk group, world region, and HSV-2 exposure type (prevalent &lt;i&gt;vs&lt;/i&gt; incident).&lt;/p&gt;&lt;h3&gt;Interpretation&lt;/h3&gt;&lt;p&gt;We found evidence that HSV-2 infection increases the risk of HIV acquisition. This finding has important implications for management of individuals diagnosed with HSV-2 infection, particularly for those who are newly infected. Interventions targeting HSV-2, such as new HSV vaccines, have the potential for additional benefit against HIV, which could be particularly powerful in regions with a high incidence of co-infection.&lt;/p&gt;&lt;h3&gt;Funding&lt;/h3&gt;&lt;p&gt;World Health Organization.&lt;/p&gt;","container-title":"The Lancet Infectious Diseases","DOI":"10.1016/S1473-3099(17)30405-X","ISSN":"1473-3099, 1474-4457","issue":"12","journalAbbreviation":"The Lancet Infectious Diseases","language":"English","note":"PMID: 28843576, 28843576","page":"1303-1316","source":"www.thelancet.com","title":"Effect of HSV-2 infection on subsequent HIV acquisition: an updated systematic review and meta-analysis","title-short":"Effect of HSV-2 infection on subsequent HIV acquisition","URL":"https://www.thelancet.com/journals/laninf/article/PIIS1473-3099(17)30405-X/abstract","volume":"17","author":[{"family":"Looker","given":"Katharine J."},{"family":"Elmes","given":"Jocelyn A. R."},{"family":"Gottlieb","given":"Sami L."},{"family":"Schiffer","given":"Joshua T."},{"family":"Vickerman","given":"Peter"},{"family":"Turner","given":"Katherine M. E."},{"family":"Boily","given":"Marie-Claude"}],"accessed":{"date-parts":[["2018",7,28]]},"issued":{"date-parts":[["2017",12,1]]}}}],"schema":"https://github.com/citation-style-language/schema/raw/master/csl-citation.json"} </w:instrText>
      </w:r>
      <w:r w:rsidR="00F8418A" w:rsidRPr="00F8418A">
        <w:rPr>
          <w:rFonts w:ascii="Arial" w:hAnsi="Arial" w:cs="Arial"/>
          <w:sz w:val="22"/>
          <w:szCs w:val="22"/>
        </w:rPr>
        <w:fldChar w:fldCharType="separate"/>
      </w:r>
      <w:r w:rsidR="0081559F">
        <w:rPr>
          <w:rFonts w:ascii="Arial" w:hAnsi="Arial" w:cs="Arial"/>
          <w:sz w:val="22"/>
        </w:rPr>
        <w:t>[25]</w:t>
      </w:r>
      <w:r w:rsidR="00F8418A" w:rsidRPr="00F8418A">
        <w:rPr>
          <w:rFonts w:ascii="Arial" w:hAnsi="Arial" w:cs="Arial"/>
          <w:sz w:val="22"/>
          <w:szCs w:val="22"/>
        </w:rPr>
        <w:fldChar w:fldCharType="end"/>
      </w:r>
      <w:r w:rsidR="00F8418A" w:rsidRPr="00F8418A">
        <w:rPr>
          <w:rFonts w:ascii="Arial" w:hAnsi="Arial" w:cs="Arial"/>
          <w:sz w:val="22"/>
          <w:szCs w:val="22"/>
        </w:rPr>
        <w:t xml:space="preserve">. </w:t>
      </w:r>
      <w:r>
        <w:rPr>
          <w:rFonts w:ascii="Arial" w:hAnsi="Arial" w:cs="Arial"/>
          <w:sz w:val="22"/>
          <w:szCs w:val="22"/>
        </w:rPr>
        <w:t>We then</w:t>
      </w:r>
      <w:r w:rsidR="00F8418A" w:rsidRPr="00F8418A">
        <w:rPr>
          <w:rFonts w:ascii="Arial" w:hAnsi="Arial" w:cs="Arial"/>
          <w:sz w:val="22"/>
          <w:szCs w:val="22"/>
        </w:rPr>
        <w:t xml:space="preserve"> applied th</w:t>
      </w:r>
      <w:r>
        <w:rPr>
          <w:rFonts w:ascii="Arial" w:hAnsi="Arial" w:cs="Arial"/>
          <w:sz w:val="22"/>
          <w:szCs w:val="22"/>
        </w:rPr>
        <w:t>e</w:t>
      </w:r>
      <w:r w:rsidR="00F8418A" w:rsidRPr="00F8418A">
        <w:rPr>
          <w:rFonts w:ascii="Arial" w:hAnsi="Arial" w:cs="Arial"/>
          <w:sz w:val="22"/>
          <w:szCs w:val="22"/>
        </w:rPr>
        <w:t xml:space="preserve"> </w:t>
      </w:r>
      <w:r>
        <w:rPr>
          <w:rFonts w:ascii="Arial" w:hAnsi="Arial" w:cs="Arial"/>
          <w:sz w:val="22"/>
          <w:szCs w:val="22"/>
        </w:rPr>
        <w:t>PAFs</w:t>
      </w:r>
      <w:r w:rsidR="00F8418A" w:rsidRPr="00F8418A">
        <w:rPr>
          <w:rFonts w:ascii="Arial" w:hAnsi="Arial" w:cs="Arial"/>
          <w:sz w:val="22"/>
          <w:szCs w:val="22"/>
        </w:rPr>
        <w:t xml:space="preserve"> to country-level HIV </w:t>
      </w:r>
      <w:r>
        <w:rPr>
          <w:rFonts w:ascii="Arial" w:hAnsi="Arial" w:cs="Arial"/>
          <w:sz w:val="22"/>
          <w:szCs w:val="22"/>
        </w:rPr>
        <w:t xml:space="preserve">incidence and </w:t>
      </w:r>
      <w:r w:rsidR="00F8418A" w:rsidRPr="00F8418A">
        <w:rPr>
          <w:rFonts w:ascii="Arial" w:hAnsi="Arial" w:cs="Arial"/>
          <w:sz w:val="22"/>
          <w:szCs w:val="22"/>
        </w:rPr>
        <w:t xml:space="preserve">prevalence </w:t>
      </w:r>
      <w:r w:rsidR="00586314">
        <w:rPr>
          <w:rFonts w:ascii="Arial" w:hAnsi="Arial" w:cs="Arial"/>
          <w:sz w:val="22"/>
          <w:szCs w:val="22"/>
        </w:rPr>
        <w:t xml:space="preserve">estimates </w:t>
      </w:r>
      <w:r w:rsidR="00F8418A" w:rsidRPr="00F8418A">
        <w:rPr>
          <w:rFonts w:ascii="Arial" w:hAnsi="Arial" w:cs="Arial"/>
          <w:sz w:val="22"/>
          <w:szCs w:val="22"/>
        </w:rPr>
        <w:t>from UNAIDS</w:t>
      </w:r>
      <w:r w:rsidR="00F8418A" w:rsidRPr="00F8418A">
        <w:rPr>
          <w:rFonts w:ascii="Arial" w:hAnsi="Arial" w:cs="Arial"/>
          <w:sz w:val="22"/>
          <w:szCs w:val="22"/>
        </w:rPr>
        <w:fldChar w:fldCharType="begin"/>
      </w:r>
      <w:r w:rsidR="0081559F">
        <w:rPr>
          <w:rFonts w:ascii="Arial" w:hAnsi="Arial" w:cs="Arial"/>
          <w:sz w:val="22"/>
          <w:szCs w:val="22"/>
        </w:rPr>
        <w:instrText xml:space="preserve"> ADDIN ZOTERO_ITEM CSL_CITATION {"citationID":"SrQFrlEQ","properties":{"formattedCitation":"[26]","plainCitation":"[26]","noteIndex":0},"citationItems":[{"id":1193,"uris":["http://zotero.org/users/local/p8g0WsVO/items/QPT4R2T3"],"itemData":{"id":1193,"type":"webpage","title":"UNAIDS - KEY POPULATIONS ATLAS","URL":"http://www.aidsinfoonline.org/kpatlas/#/home","accessed":{"date-parts":[["2018",3,4]]}}}],"schema":"https://github.com/citation-style-language/schema/raw/master/csl-citation.json"} </w:instrText>
      </w:r>
      <w:r w:rsidR="00F8418A" w:rsidRPr="00F8418A">
        <w:rPr>
          <w:rFonts w:ascii="Arial" w:hAnsi="Arial" w:cs="Arial"/>
          <w:sz w:val="22"/>
          <w:szCs w:val="22"/>
        </w:rPr>
        <w:fldChar w:fldCharType="separate"/>
      </w:r>
      <w:r w:rsidR="0081559F">
        <w:rPr>
          <w:rFonts w:ascii="Arial" w:hAnsi="Arial" w:cs="Arial"/>
          <w:sz w:val="22"/>
        </w:rPr>
        <w:t>[26]</w:t>
      </w:r>
      <w:r w:rsidR="00F8418A" w:rsidRPr="00F8418A">
        <w:rPr>
          <w:rFonts w:ascii="Arial" w:hAnsi="Arial" w:cs="Arial"/>
          <w:sz w:val="22"/>
          <w:szCs w:val="22"/>
        </w:rPr>
        <w:fldChar w:fldCharType="end"/>
      </w:r>
      <w:r w:rsidR="00F8418A" w:rsidRPr="00F8418A">
        <w:rPr>
          <w:rFonts w:ascii="Arial" w:hAnsi="Arial" w:cs="Arial"/>
          <w:sz w:val="22"/>
          <w:szCs w:val="22"/>
        </w:rPr>
        <w:t xml:space="preserve">. </w:t>
      </w:r>
      <w:r>
        <w:rPr>
          <w:rFonts w:ascii="Arial" w:hAnsi="Arial" w:cs="Arial"/>
          <w:sz w:val="22"/>
          <w:szCs w:val="22"/>
        </w:rPr>
        <w:t>We</w:t>
      </w:r>
      <w:r w:rsidR="00F8418A" w:rsidRPr="00F8418A">
        <w:rPr>
          <w:rFonts w:ascii="Arial" w:hAnsi="Arial" w:cs="Arial"/>
          <w:sz w:val="22"/>
          <w:szCs w:val="22"/>
        </w:rPr>
        <w:t xml:space="preserve"> did not distinguish </w:t>
      </w:r>
      <w:r w:rsidR="00586314">
        <w:rPr>
          <w:rFonts w:ascii="Arial" w:hAnsi="Arial" w:cs="Arial"/>
          <w:sz w:val="22"/>
          <w:szCs w:val="22"/>
        </w:rPr>
        <w:t>by gender or risk group</w:t>
      </w:r>
      <w:r w:rsidR="00F8418A" w:rsidRPr="00F8418A">
        <w:rPr>
          <w:rFonts w:ascii="Arial" w:hAnsi="Arial" w:cs="Arial"/>
          <w:sz w:val="22"/>
          <w:szCs w:val="22"/>
        </w:rPr>
        <w:t>.</w:t>
      </w:r>
      <w:r w:rsidR="00A1254F">
        <w:rPr>
          <w:rFonts w:ascii="Arial" w:hAnsi="Arial" w:cs="Arial"/>
          <w:sz w:val="22"/>
          <w:szCs w:val="22"/>
        </w:rPr>
        <w:t xml:space="preserve"> </w:t>
      </w:r>
      <w:r w:rsidR="000E5675">
        <w:rPr>
          <w:rFonts w:ascii="Arial" w:hAnsi="Arial" w:cs="Arial"/>
          <w:sz w:val="22"/>
          <w:szCs w:val="22"/>
        </w:rPr>
        <w:t>W</w:t>
      </w:r>
      <w:r w:rsidR="00A1254F">
        <w:rPr>
          <w:rFonts w:ascii="Arial" w:hAnsi="Arial" w:cs="Arial"/>
          <w:sz w:val="22"/>
          <w:szCs w:val="22"/>
        </w:rPr>
        <w:t>e assumed that the temporal and lag effects of incident HSV-2 infections giving rise to incident HIV cases is reflected in the relative risks.</w:t>
      </w:r>
    </w:p>
    <w:p w14:paraId="78288847" w14:textId="7EF783FE" w:rsidR="00EC4166" w:rsidRDefault="00EC4166" w:rsidP="001F1C09">
      <w:pPr>
        <w:ind w:left="720"/>
        <w:jc w:val="both"/>
        <w:rPr>
          <w:rFonts w:ascii="Arial" w:hAnsi="Arial" w:cs="Arial"/>
          <w:sz w:val="22"/>
          <w:szCs w:val="22"/>
        </w:rPr>
      </w:pPr>
    </w:p>
    <w:p w14:paraId="76562FC8" w14:textId="7F6775BF" w:rsidR="00F8418A" w:rsidRPr="0051547B" w:rsidRDefault="00F8418A" w:rsidP="001F1C09">
      <w:pPr>
        <w:spacing w:line="360" w:lineRule="auto"/>
        <w:ind w:left="720"/>
        <w:jc w:val="both"/>
        <w:rPr>
          <w:rFonts w:eastAsiaTheme="minorEastAsia" w:cstheme="minorHAnsi"/>
          <w:sz w:val="22"/>
          <w:szCs w:val="22"/>
        </w:rPr>
      </w:pPr>
      <m:oMathPara>
        <m:oMath>
          <m:r>
            <w:rPr>
              <w:rFonts w:ascii="Cambria Math" w:hAnsi="Cambria Math" w:cstheme="minorHAnsi"/>
              <w:sz w:val="22"/>
              <w:szCs w:val="22"/>
            </w:rPr>
            <m:t>PA</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P</m:t>
              </m:r>
            </m:sub>
          </m:sSub>
          <m:r>
            <w:rPr>
              <w:rFonts w:ascii="Cambria Math" w:hAnsi="Cambria Math" w:cstheme="minorHAnsi"/>
              <w:sz w:val="22"/>
              <w:szCs w:val="22"/>
            </w:rPr>
            <m:t xml:space="preserve"> =</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d>
                <m:dPr>
                  <m:ctrlPr>
                    <w:rPr>
                      <w:rFonts w:ascii="Cambria Math" w:hAnsi="Cambria Math" w:cstheme="minorHAnsi"/>
                      <w:i/>
                      <w:sz w:val="22"/>
                      <w:szCs w:val="22"/>
                    </w:rPr>
                  </m:ctrlPr>
                </m:dPr>
                <m:e>
                  <m:r>
                    <w:rPr>
                      <w:rFonts w:ascii="Cambria Math" w:hAnsi="Cambria Math" w:cstheme="minorHAnsi"/>
                      <w:sz w:val="22"/>
                      <w:szCs w:val="22"/>
                    </w:rPr>
                    <m:t>R</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P</m:t>
                      </m:r>
                    </m:sub>
                  </m:sSub>
                  <m:r>
                    <w:rPr>
                      <w:rFonts w:ascii="Cambria Math" w:hAnsi="Cambria Math" w:cstheme="minorHAnsi"/>
                      <w:sz w:val="22"/>
                      <w:szCs w:val="22"/>
                    </w:rPr>
                    <m:t>-1</m:t>
                  </m:r>
                </m:e>
              </m:d>
            </m:num>
            <m:den>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 xml:space="preserve"> </m:t>
              </m:r>
              <m:d>
                <m:dPr>
                  <m:ctrlPr>
                    <w:rPr>
                      <w:rFonts w:ascii="Cambria Math" w:hAnsi="Cambria Math" w:cstheme="minorHAnsi"/>
                      <w:i/>
                      <w:sz w:val="22"/>
                      <w:szCs w:val="22"/>
                    </w:rPr>
                  </m:ctrlPr>
                </m:dPr>
                <m:e>
                  <m:r>
                    <w:rPr>
                      <w:rFonts w:ascii="Cambria Math" w:hAnsi="Cambria Math" w:cstheme="minorHAnsi"/>
                      <w:sz w:val="22"/>
                      <w:szCs w:val="22"/>
                    </w:rPr>
                    <m:t>R</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P</m:t>
                      </m:r>
                    </m:sub>
                  </m:sSub>
                  <m:r>
                    <w:rPr>
                      <w:rFonts w:ascii="Cambria Math" w:hAnsi="Cambria Math" w:cstheme="minorHAnsi"/>
                      <w:sz w:val="22"/>
                      <w:szCs w:val="22"/>
                    </w:rPr>
                    <m:t>-1</m:t>
                  </m:r>
                </m:e>
              </m:d>
              <m:r>
                <w:rPr>
                  <w:rFonts w:ascii="Cambria Math" w:hAnsi="Cambria Math" w:cstheme="minorHAnsi"/>
                  <w:sz w:val="22"/>
                  <w:szCs w:val="22"/>
                </w:rPr>
                <m:t>+1</m:t>
              </m:r>
            </m:den>
          </m:f>
          <m:r>
            <w:rPr>
              <w:rFonts w:ascii="Cambria Math" w:hAnsi="Cambria Math" w:cstheme="minorHAnsi"/>
              <w:sz w:val="22"/>
              <w:szCs w:val="22"/>
            </w:rPr>
            <m:t xml:space="preserve">                                   </m:t>
          </m:r>
        </m:oMath>
      </m:oMathPara>
    </w:p>
    <w:p w14:paraId="6373F3BB" w14:textId="77777777" w:rsidR="00F8418A" w:rsidRPr="0051547B" w:rsidRDefault="00F8418A" w:rsidP="001F1C09">
      <w:pPr>
        <w:spacing w:line="360" w:lineRule="auto"/>
        <w:ind w:left="720"/>
        <w:jc w:val="both"/>
        <w:rPr>
          <w:rFonts w:cstheme="minorHAnsi"/>
          <w:sz w:val="22"/>
          <w:szCs w:val="22"/>
        </w:rPr>
      </w:pPr>
    </w:p>
    <w:p w14:paraId="725A324F" w14:textId="77777777" w:rsidR="00F8418A" w:rsidRPr="0051547B" w:rsidRDefault="00F8418A" w:rsidP="001F1C09">
      <w:pPr>
        <w:spacing w:line="360" w:lineRule="auto"/>
        <w:ind w:left="720"/>
        <w:jc w:val="both"/>
        <w:rPr>
          <w:rFonts w:cstheme="minorHAnsi"/>
          <w:sz w:val="22"/>
          <w:szCs w:val="22"/>
        </w:rPr>
      </w:pPr>
      <m:oMathPara>
        <m:oMath>
          <m:r>
            <w:rPr>
              <w:rFonts w:ascii="Cambria Math" w:hAnsi="Cambria Math" w:cstheme="minorHAnsi"/>
              <w:sz w:val="22"/>
              <w:szCs w:val="22"/>
            </w:rPr>
            <m:t xml:space="preserve">  PA</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I</m:t>
              </m:r>
            </m:sub>
          </m:sSub>
          <m:r>
            <w:rPr>
              <w:rFonts w:ascii="Cambria Math" w:hAnsi="Cambria Math" w:cstheme="minorHAnsi"/>
              <w:sz w:val="22"/>
              <w:szCs w:val="22"/>
            </w:rPr>
            <m:t xml:space="preserve"> =</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i</m:t>
                  </m:r>
                </m:sub>
              </m:sSub>
              <m:d>
                <m:dPr>
                  <m:ctrlPr>
                    <w:rPr>
                      <w:rFonts w:ascii="Cambria Math" w:hAnsi="Cambria Math" w:cstheme="minorHAnsi"/>
                      <w:i/>
                      <w:sz w:val="22"/>
                      <w:szCs w:val="22"/>
                    </w:rPr>
                  </m:ctrlPr>
                </m:dPr>
                <m:e>
                  <m:r>
                    <w:rPr>
                      <w:rFonts w:ascii="Cambria Math" w:hAnsi="Cambria Math" w:cstheme="minorHAnsi"/>
                      <w:sz w:val="22"/>
                      <w:szCs w:val="22"/>
                    </w:rPr>
                    <m:t>R</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r>
                    <w:rPr>
                      <w:rFonts w:ascii="Cambria Math" w:hAnsi="Cambria Math" w:cstheme="minorHAnsi"/>
                      <w:sz w:val="22"/>
                      <w:szCs w:val="22"/>
                    </w:rPr>
                    <m:t>-1</m:t>
                  </m:r>
                </m:e>
              </m:d>
            </m:num>
            <m:den>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i</m:t>
                  </m:r>
                </m:sub>
              </m:sSub>
              <m:r>
                <w:rPr>
                  <w:rFonts w:ascii="Cambria Math" w:hAnsi="Cambria Math" w:cstheme="minorHAnsi"/>
                  <w:sz w:val="22"/>
                  <w:szCs w:val="22"/>
                </w:rPr>
                <m:t xml:space="preserve"> </m:t>
              </m:r>
              <m:d>
                <m:dPr>
                  <m:ctrlPr>
                    <w:rPr>
                      <w:rFonts w:ascii="Cambria Math" w:hAnsi="Cambria Math" w:cstheme="minorHAnsi"/>
                      <w:i/>
                      <w:sz w:val="22"/>
                      <w:szCs w:val="22"/>
                    </w:rPr>
                  </m:ctrlPr>
                </m:dPr>
                <m:e>
                  <m:r>
                    <w:rPr>
                      <w:rFonts w:ascii="Cambria Math" w:hAnsi="Cambria Math" w:cstheme="minorHAnsi"/>
                      <w:sz w:val="22"/>
                      <w:szCs w:val="22"/>
                    </w:rPr>
                    <m:t>R</m:t>
                  </m:r>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r>
                    <w:rPr>
                      <w:rFonts w:ascii="Cambria Math" w:hAnsi="Cambria Math" w:cstheme="minorHAnsi"/>
                      <w:sz w:val="22"/>
                      <w:szCs w:val="22"/>
                    </w:rPr>
                    <m:t>-1</m:t>
                  </m:r>
                </m:e>
              </m:d>
              <m:r>
                <w:rPr>
                  <w:rFonts w:ascii="Cambria Math" w:hAnsi="Cambria Math" w:cstheme="minorHAnsi"/>
                  <w:sz w:val="22"/>
                  <w:szCs w:val="22"/>
                </w:rPr>
                <m:t>+1</m:t>
              </m:r>
            </m:den>
          </m:f>
          <m:r>
            <w:rPr>
              <w:rFonts w:ascii="Cambria Math" w:hAnsi="Cambria Math" w:cstheme="minorHAnsi"/>
              <w:sz w:val="22"/>
              <w:szCs w:val="22"/>
            </w:rPr>
            <m:t xml:space="preserve">                                       </m:t>
          </m:r>
        </m:oMath>
      </m:oMathPara>
    </w:p>
    <w:p w14:paraId="788F933E" w14:textId="77777777" w:rsidR="00F8418A" w:rsidRPr="00EC4166" w:rsidRDefault="00F8418A" w:rsidP="001F1C09">
      <w:pPr>
        <w:ind w:left="720"/>
        <w:jc w:val="both"/>
        <w:rPr>
          <w:rFonts w:ascii="Arial" w:hAnsi="Arial" w:cs="Arial"/>
          <w:sz w:val="22"/>
          <w:szCs w:val="22"/>
        </w:rPr>
      </w:pPr>
    </w:p>
    <w:p w14:paraId="5E4A5528" w14:textId="54975729" w:rsidR="00EC4166" w:rsidRPr="001F1C09" w:rsidRDefault="00AA2EB9" w:rsidP="001F1C09">
      <w:pPr>
        <w:pStyle w:val="Heading3"/>
        <w:numPr>
          <w:ilvl w:val="0"/>
          <w:numId w:val="16"/>
        </w:numPr>
        <w:ind w:left="1440"/>
        <w:rPr>
          <w:rFonts w:ascii="Arial" w:hAnsi="Arial" w:cs="Arial"/>
          <w:sz w:val="22"/>
          <w:szCs w:val="22"/>
        </w:rPr>
      </w:pPr>
      <w:bookmarkStart w:id="30" w:name="_Toc64459919"/>
      <w:bookmarkStart w:id="31" w:name="_Toc81857625"/>
      <w:r w:rsidRPr="001F1C09">
        <w:rPr>
          <w:rFonts w:ascii="Arial" w:hAnsi="Arial" w:cs="Arial"/>
          <w:sz w:val="22"/>
          <w:szCs w:val="22"/>
        </w:rPr>
        <w:t>Treatment Costs</w:t>
      </w:r>
      <w:bookmarkEnd w:id="30"/>
      <w:bookmarkEnd w:id="31"/>
    </w:p>
    <w:p w14:paraId="64B1D158" w14:textId="77777777" w:rsidR="00EC4166" w:rsidRPr="00EC4166" w:rsidRDefault="00EC4166" w:rsidP="001F1C09">
      <w:pPr>
        <w:ind w:left="720"/>
        <w:jc w:val="both"/>
        <w:rPr>
          <w:rFonts w:ascii="Arial" w:hAnsi="Arial" w:cs="Arial"/>
          <w:sz w:val="22"/>
          <w:szCs w:val="22"/>
        </w:rPr>
      </w:pPr>
    </w:p>
    <w:p w14:paraId="434EA49D" w14:textId="68DB6D66" w:rsidR="00E856B2" w:rsidRPr="001F1C09" w:rsidRDefault="00EC727C" w:rsidP="001F1C09">
      <w:pPr>
        <w:ind w:left="720"/>
        <w:jc w:val="both"/>
        <w:rPr>
          <w:rFonts w:ascii="Arial" w:hAnsi="Arial" w:cs="Arial"/>
          <w:sz w:val="22"/>
          <w:szCs w:val="22"/>
        </w:rPr>
      </w:pPr>
      <w:bookmarkStart w:id="32" w:name="_Toc2379550"/>
      <w:r>
        <w:rPr>
          <w:rFonts w:ascii="Arial" w:hAnsi="Arial" w:cs="Arial"/>
          <w:sz w:val="22"/>
          <w:szCs w:val="22"/>
        </w:rPr>
        <w:lastRenderedPageBreak/>
        <w:t xml:space="preserve">As our </w:t>
      </w:r>
      <w:r w:rsidR="00E60D94">
        <w:rPr>
          <w:rFonts w:ascii="Arial" w:hAnsi="Arial" w:cs="Arial"/>
          <w:sz w:val="22"/>
          <w:szCs w:val="22"/>
        </w:rPr>
        <w:t xml:space="preserve">focus was on costs associated with </w:t>
      </w:r>
      <w:r>
        <w:rPr>
          <w:rFonts w:ascii="Arial" w:hAnsi="Arial" w:cs="Arial"/>
          <w:sz w:val="22"/>
          <w:szCs w:val="22"/>
        </w:rPr>
        <w:t>incident HIV cases</w:t>
      </w:r>
      <w:r w:rsidR="008648AC">
        <w:rPr>
          <w:rFonts w:ascii="Arial"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Costs</m:t>
            </m:r>
          </m:e>
          <m:sub>
            <m:r>
              <w:rPr>
                <w:rFonts w:ascii="Cambria Math" w:hAnsi="Cambria Math" w:cs="Arial"/>
                <w:sz w:val="22"/>
                <w:szCs w:val="22"/>
              </w:rPr>
              <m:t>i</m:t>
            </m:r>
          </m:sub>
          <m:sup>
            <m:r>
              <w:rPr>
                <w:rFonts w:ascii="Cambria Math" w:hAnsi="Cambria Math" w:cs="Arial"/>
                <w:sz w:val="22"/>
                <w:szCs w:val="22"/>
              </w:rPr>
              <m:t>ART</m:t>
            </m:r>
          </m:sup>
        </m:sSubSup>
        <m:r>
          <w:rPr>
            <w:rFonts w:ascii="Cambria Math" w:hAnsi="Cambria Math" w:cs="Arial"/>
            <w:sz w:val="22"/>
            <w:szCs w:val="22"/>
          </w:rPr>
          <m:t>)</m:t>
        </m:r>
      </m:oMath>
      <w:r w:rsidR="008648AC">
        <w:rPr>
          <w:rFonts w:ascii="Arial" w:eastAsiaTheme="minorEastAsia" w:hAnsi="Arial" w:cs="Arial"/>
          <w:sz w:val="22"/>
          <w:szCs w:val="22"/>
        </w:rPr>
        <w:t xml:space="preserve"> in each country (</w:t>
      </w:r>
      <m:oMath>
        <m:r>
          <w:rPr>
            <w:rFonts w:ascii="Cambria Math" w:hAnsi="Cambria Math" w:cs="Arial"/>
            <w:sz w:val="22"/>
            <w:szCs w:val="22"/>
          </w:rPr>
          <m:t>i</m:t>
        </m:r>
      </m:oMath>
      <w:r w:rsidR="008648AC">
        <w:rPr>
          <w:rFonts w:ascii="Arial" w:eastAsiaTheme="minorEastAsia" w:hAnsi="Arial" w:cs="Arial"/>
          <w:sz w:val="22"/>
          <w:szCs w:val="22"/>
        </w:rPr>
        <w:t>)</w:t>
      </w:r>
      <w:r>
        <w:rPr>
          <w:rFonts w:ascii="Arial" w:hAnsi="Arial" w:cs="Arial"/>
          <w:sz w:val="22"/>
          <w:szCs w:val="22"/>
        </w:rPr>
        <w:t>, we used the</w:t>
      </w:r>
      <w:r w:rsidRPr="005C6A9F">
        <w:rPr>
          <w:rFonts w:ascii="Arial" w:hAnsi="Arial" w:cs="Arial"/>
          <w:sz w:val="22"/>
          <w:szCs w:val="22"/>
        </w:rPr>
        <w:t xml:space="preserve"> regional per-patient-per-year unit cost of ART </w:t>
      </w:r>
      <w:r>
        <w:rPr>
          <w:rFonts w:ascii="Arial" w:hAnsi="Arial" w:cs="Arial"/>
          <w:sz w:val="22"/>
          <w:szCs w:val="22"/>
        </w:rPr>
        <w:t xml:space="preserve">for new patients </w:t>
      </w:r>
      <w:r w:rsidR="00E60D94">
        <w:rPr>
          <w:rFonts w:ascii="Arial" w:hAnsi="Arial" w:cs="Arial"/>
          <w:sz w:val="22"/>
          <w:szCs w:val="22"/>
        </w:rPr>
        <w:t>from</w:t>
      </w:r>
      <w:r w:rsidRPr="005C6A9F">
        <w:rPr>
          <w:rFonts w:ascii="Arial" w:hAnsi="Arial" w:cs="Arial"/>
          <w:sz w:val="22"/>
          <w:szCs w:val="22"/>
        </w:rPr>
        <w:t xml:space="preserve"> Stover and colleagues (</w:t>
      </w:r>
      <m:oMath>
        <m:sSubSup>
          <m:sSubSupPr>
            <m:ctrlPr>
              <w:rPr>
                <w:rFonts w:ascii="Cambria Math" w:hAnsi="Cambria Math" w:cs="Arial"/>
                <w:i/>
                <w:sz w:val="22"/>
                <w:szCs w:val="22"/>
              </w:rPr>
            </m:ctrlPr>
          </m:sSubSupPr>
          <m:e>
            <m:r>
              <w:rPr>
                <w:rFonts w:ascii="Cambria Math" w:hAnsi="Cambria Math" w:cs="Arial"/>
                <w:sz w:val="22"/>
                <w:szCs w:val="22"/>
              </w:rPr>
              <m:t>U</m:t>
            </m:r>
          </m:e>
          <m:sub>
            <m:r>
              <w:rPr>
                <w:rFonts w:ascii="Cambria Math" w:hAnsi="Cambria Math" w:cs="Arial"/>
                <w:sz w:val="22"/>
                <w:szCs w:val="22"/>
              </w:rPr>
              <m:t>i</m:t>
            </m:r>
          </m:sub>
          <m:sup>
            <m:r>
              <w:rPr>
                <w:rFonts w:ascii="Cambria Math" w:hAnsi="Cambria Math" w:cs="Arial"/>
                <w:sz w:val="22"/>
                <w:szCs w:val="22"/>
              </w:rPr>
              <m:t>ART</m:t>
            </m:r>
          </m:sup>
        </m:sSubSup>
      </m:oMath>
      <w:r w:rsidRPr="005C6A9F">
        <w:rPr>
          <w:rFonts w:ascii="Arial" w:hAnsi="Arial" w:cs="Arial"/>
          <w:sz w:val="22"/>
          <w:szCs w:val="22"/>
        </w:rPr>
        <w:t>)</w:t>
      </w:r>
      <w:r>
        <w:rPr>
          <w:rFonts w:ascii="Arial" w:hAnsi="Arial" w:cs="Arial"/>
          <w:sz w:val="22"/>
          <w:szCs w:val="22"/>
        </w:rPr>
        <w:t xml:space="preserve">, which we multiplied by </w:t>
      </w:r>
      <w:r w:rsidR="00783A8E">
        <w:rPr>
          <w:rFonts w:ascii="Arial" w:hAnsi="Arial" w:cs="Arial"/>
          <w:sz w:val="22"/>
          <w:szCs w:val="22"/>
        </w:rPr>
        <w:t xml:space="preserve">the </w:t>
      </w:r>
      <w:r>
        <w:rPr>
          <w:rFonts w:ascii="Arial" w:hAnsi="Arial" w:cs="Arial"/>
          <w:sz w:val="22"/>
          <w:szCs w:val="22"/>
        </w:rPr>
        <w:t xml:space="preserve">incident HIV cases </w:t>
      </w:r>
      <w:r w:rsidR="00783A8E">
        <w:rPr>
          <w:rFonts w:ascii="Arial" w:hAnsi="Arial" w:cs="Arial"/>
          <w:sz w:val="22"/>
          <w:szCs w:val="22"/>
        </w:rPr>
        <w:t>(</w:t>
      </w:r>
      <w:r>
        <w:rPr>
          <w:rFonts w:ascii="Arial" w:hAnsi="Arial" w:cs="Arial"/>
          <w:sz w:val="22"/>
          <w:szCs w:val="22"/>
        </w:rPr>
        <w:t>attributable to incident and prevalent HSV-2</w:t>
      </w:r>
      <w:r w:rsidR="00783A8E">
        <w:rPr>
          <w:rFonts w:ascii="Arial" w:hAnsi="Arial" w:cs="Arial"/>
          <w:sz w:val="22"/>
          <w:szCs w:val="22"/>
        </w:rPr>
        <w:t>)</w:t>
      </w:r>
      <w:r w:rsidR="00E60D94">
        <w:rPr>
          <w:rFonts w:ascii="Arial" w:hAnsi="Arial" w:cs="Arial"/>
          <w:sz w:val="22"/>
          <w:szCs w:val="22"/>
        </w:rPr>
        <w:t>,</w:t>
      </w:r>
      <w:r>
        <w:rPr>
          <w:rFonts w:ascii="Arial" w:hAnsi="Arial" w:cs="Arial"/>
          <w:sz w:val="22"/>
          <w:szCs w:val="22"/>
        </w:rPr>
        <w:t xml:space="preserve"> expected to survive through 2019 </w:t>
      </w:r>
      <w:r w:rsidR="00326785" w:rsidRPr="005C6A9F">
        <w:rPr>
          <w:rFonts w:ascii="Arial" w:hAnsi="Arial" w:cs="Arial"/>
          <w:sz w:val="22"/>
          <w:szCs w:val="22"/>
        </w:rPr>
        <w:t xml:space="preserve">(incident: </w:t>
      </w:r>
      <m:oMath>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i</m:t>
            </m:r>
          </m:sub>
          <m:sup>
            <m:r>
              <w:rPr>
                <w:rFonts w:ascii="Cambria Math" w:hAnsi="Cambria Math" w:cs="Arial"/>
                <w:sz w:val="22"/>
                <w:szCs w:val="22"/>
              </w:rPr>
              <m:t>I</m:t>
            </m:r>
          </m:sup>
        </m:sSubSup>
      </m:oMath>
      <w:r w:rsidR="00326785" w:rsidRPr="005C6A9F">
        <w:rPr>
          <w:rFonts w:ascii="Arial" w:hAnsi="Arial" w:cs="Arial"/>
          <w:sz w:val="22"/>
          <w:szCs w:val="22"/>
        </w:rPr>
        <w:t xml:space="preserve">; Prevalent </w:t>
      </w:r>
      <m:oMath>
        <m:sSubSup>
          <m:sSubSupPr>
            <m:ctrlPr>
              <w:rPr>
                <w:rFonts w:ascii="Cambria Math" w:hAnsi="Cambria Math" w:cs="Arial"/>
                <w:i/>
                <w:sz w:val="22"/>
                <w:szCs w:val="22"/>
              </w:rPr>
            </m:ctrlPr>
          </m:sSubSupPr>
          <m:e>
            <m:r>
              <w:rPr>
                <w:rFonts w:ascii="Cambria Math" w:hAnsi="Cambria Math" w:cs="Arial"/>
                <w:sz w:val="22"/>
                <w:szCs w:val="22"/>
              </w:rPr>
              <m:t>N</m:t>
            </m:r>
          </m:e>
          <m:sub>
            <m:r>
              <w:rPr>
                <w:rFonts w:ascii="Cambria Math" w:hAnsi="Cambria Math" w:cs="Arial"/>
                <w:sz w:val="22"/>
                <w:szCs w:val="22"/>
              </w:rPr>
              <m:t>i</m:t>
            </m:r>
          </m:sub>
          <m:sup>
            <m:r>
              <w:rPr>
                <w:rFonts w:ascii="Cambria Math" w:hAnsi="Cambria Math" w:cs="Arial"/>
                <w:sz w:val="22"/>
                <w:szCs w:val="22"/>
              </w:rPr>
              <m:t>P</m:t>
            </m:r>
          </m:sup>
        </m:sSubSup>
      </m:oMath>
      <w:r w:rsidR="00783A8E">
        <w:rPr>
          <w:rFonts w:ascii="Arial" w:hAnsi="Arial" w:cs="Arial"/>
          <w:sz w:val="22"/>
          <w:szCs w:val="22"/>
        </w:rPr>
        <w:t xml:space="preserve">, </w:t>
      </w:r>
      <w:r w:rsidR="00E60D94">
        <w:rPr>
          <w:rFonts w:ascii="Arial" w:hAnsi="Arial" w:cs="Arial"/>
          <w:sz w:val="22"/>
          <w:szCs w:val="22"/>
        </w:rPr>
        <w:t>which we calculated b</w:t>
      </w:r>
      <w:r w:rsidR="00E60D94" w:rsidRPr="005C6A9F">
        <w:rPr>
          <w:rFonts w:ascii="Arial" w:hAnsi="Arial" w:cs="Arial"/>
          <w:sz w:val="22"/>
          <w:szCs w:val="22"/>
        </w:rPr>
        <w:t>y applying the survival probability at median age in each country (available from WPP</w:t>
      </w:r>
      <w:r w:rsidR="00E60D94" w:rsidRPr="005C6A9F">
        <w:rPr>
          <w:rFonts w:ascii="Arial" w:hAnsi="Arial" w:cs="Arial"/>
          <w:sz w:val="22"/>
          <w:szCs w:val="22"/>
        </w:rPr>
        <w:fldChar w:fldCharType="begin"/>
      </w:r>
      <w:r w:rsidR="0081559F">
        <w:rPr>
          <w:rFonts w:ascii="Arial" w:hAnsi="Arial" w:cs="Arial"/>
          <w:sz w:val="22"/>
          <w:szCs w:val="22"/>
        </w:rPr>
        <w:instrText xml:space="preserve"> ADDIN ZOTERO_ITEM CSL_CITATION {"citationID":"0ppOzpbY","properties":{"formattedCitation":"[3]","plainCitation":"[3]","noteIndex":0},"citationItems":[{"id":26881,"uris":["http://zotero.org/users/local/p8g0WsVO/items/AHQA8GZA"],"itemData":{"id":26881,"type":"webpage","title":"World Population Prospects - Population Division - United Nations","URL":"https://population.un.org/wpp/","accessed":{"date-parts":[["2019",2,17]]}}}],"schema":"https://github.com/citation-style-language/schema/raw/master/csl-citation.json"} </w:instrText>
      </w:r>
      <w:r w:rsidR="00E60D94" w:rsidRPr="005C6A9F">
        <w:rPr>
          <w:rFonts w:ascii="Arial" w:hAnsi="Arial" w:cs="Arial"/>
          <w:sz w:val="22"/>
          <w:szCs w:val="22"/>
        </w:rPr>
        <w:fldChar w:fldCharType="separate"/>
      </w:r>
      <w:r w:rsidR="0081559F">
        <w:rPr>
          <w:rFonts w:ascii="Arial" w:hAnsi="Arial" w:cs="Arial"/>
          <w:sz w:val="22"/>
        </w:rPr>
        <w:t>[3]</w:t>
      </w:r>
      <w:r w:rsidR="00E60D94" w:rsidRPr="005C6A9F">
        <w:rPr>
          <w:rFonts w:ascii="Arial" w:hAnsi="Arial" w:cs="Arial"/>
          <w:sz w:val="22"/>
          <w:szCs w:val="22"/>
        </w:rPr>
        <w:fldChar w:fldCharType="end"/>
      </w:r>
      <w:r w:rsidR="00E60D94" w:rsidRPr="00A94BF6">
        <w:rPr>
          <w:rFonts w:ascii="Arial" w:hAnsi="Arial" w:cs="Arial"/>
          <w:sz w:val="22"/>
          <w:szCs w:val="22"/>
        </w:rPr>
        <w:t>) (</w:t>
      </w: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i</m:t>
            </m:r>
          </m:sub>
        </m:sSub>
      </m:oMath>
      <w:r w:rsidR="00E60D94" w:rsidRPr="00A94BF6">
        <w:rPr>
          <w:rFonts w:ascii="Arial" w:hAnsi="Arial" w:cs="Arial"/>
          <w:sz w:val="22"/>
          <w:szCs w:val="22"/>
        </w:rPr>
        <w:t>)</w:t>
      </w:r>
      <w:r w:rsidR="00E60D94">
        <w:rPr>
          <w:rFonts w:ascii="Arial" w:hAnsi="Arial" w:cs="Arial"/>
          <w:sz w:val="22"/>
          <w:szCs w:val="22"/>
        </w:rPr>
        <w:t>,</w:t>
      </w:r>
      <w:r w:rsidR="00326785" w:rsidRPr="005C6A9F">
        <w:rPr>
          <w:rFonts w:ascii="Arial" w:hAnsi="Arial" w:cs="Arial"/>
          <w:sz w:val="22"/>
          <w:szCs w:val="22"/>
        </w:rPr>
        <w:t xml:space="preserve"> </w:t>
      </w:r>
      <w:r>
        <w:rPr>
          <w:rFonts w:ascii="Arial" w:hAnsi="Arial" w:cs="Arial"/>
          <w:sz w:val="22"/>
          <w:szCs w:val="22"/>
        </w:rPr>
        <w:t>and the ART coverage rate</w:t>
      </w:r>
      <w:r w:rsidR="00E60D94">
        <w:rPr>
          <w:rFonts w:ascii="Arial" w:hAnsi="Arial" w:cs="Arial"/>
          <w:sz w:val="22"/>
          <w:szCs w:val="22"/>
        </w:rPr>
        <w:t>s</w:t>
      </w:r>
      <w:r>
        <w:rPr>
          <w:rFonts w:ascii="Arial" w:hAnsi="Arial" w:cs="Arial"/>
          <w:sz w:val="22"/>
          <w:szCs w:val="22"/>
        </w:rPr>
        <w:t xml:space="preserve"> </w:t>
      </w:r>
      <m:oMath>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A</m:t>
            </m:r>
          </m:e>
          <m:sub>
            <m:r>
              <w:rPr>
                <w:rFonts w:ascii="Cambria Math" w:hAnsi="Cambria Math" w:cs="Arial"/>
                <w:sz w:val="22"/>
                <w:szCs w:val="22"/>
              </w:rPr>
              <m:t>i</m:t>
            </m:r>
          </m:sub>
          <m:sup>
            <m:r>
              <w:rPr>
                <w:rFonts w:ascii="Cambria Math" w:hAnsi="Cambria Math" w:cs="Arial"/>
                <w:sz w:val="22"/>
                <w:szCs w:val="22"/>
              </w:rPr>
              <m:t xml:space="preserve"> </m:t>
            </m:r>
          </m:sup>
        </m:sSubSup>
        <m:r>
          <w:rPr>
            <w:rFonts w:ascii="Cambria Math" w:hAnsi="Cambria Math" w:cs="Arial"/>
            <w:sz w:val="22"/>
            <w:szCs w:val="22"/>
          </w:rPr>
          <m:t>)</m:t>
        </m:r>
      </m:oMath>
      <w:r w:rsidR="00783A8E">
        <w:rPr>
          <w:rFonts w:ascii="Arial" w:eastAsiaTheme="minorEastAsia" w:hAnsi="Arial" w:cs="Arial"/>
          <w:sz w:val="22"/>
          <w:szCs w:val="22"/>
        </w:rPr>
        <w:t>,</w:t>
      </w:r>
      <w:r w:rsidR="00E60D94">
        <w:rPr>
          <w:rFonts w:ascii="Arial" w:eastAsiaTheme="minorEastAsia" w:hAnsi="Arial" w:cs="Arial"/>
          <w:sz w:val="22"/>
          <w:szCs w:val="22"/>
        </w:rPr>
        <w:t xml:space="preserve"> available from UNAIDS</w:t>
      </w:r>
      <w:r w:rsidR="00E60D94" w:rsidRPr="005C6A9F">
        <w:rPr>
          <w:rFonts w:ascii="Arial" w:hAnsi="Arial" w:cs="Arial"/>
          <w:sz w:val="22"/>
          <w:szCs w:val="22"/>
        </w:rPr>
        <w:fldChar w:fldCharType="begin"/>
      </w:r>
      <w:r w:rsidR="0081559F">
        <w:rPr>
          <w:rFonts w:ascii="Arial" w:hAnsi="Arial" w:cs="Arial"/>
          <w:sz w:val="22"/>
          <w:szCs w:val="22"/>
        </w:rPr>
        <w:instrText xml:space="preserve"> ADDIN ZOTERO_ITEM CSL_CITATION {"citationID":"a94l4h25bb","properties":{"formattedCitation":"[27]","plainCitation":"[27]","noteIndex":0},"citationItems":[{"id":27070,"uris":["http://zotero.org/users/local/p8g0WsVO/items/VRDLJMW3"],"itemData":{"id":27070,"type":"webpage","title":"AIDSinfo | UNAIDS","URL":"http://aidsinfo.unaids.org/","accessed":{"date-parts":[["2019",5,12]]}}}],"schema":"https://github.com/citation-style-language/schema/raw/master/csl-citation.json"} </w:instrText>
      </w:r>
      <w:r w:rsidR="00E60D94" w:rsidRPr="005C6A9F">
        <w:rPr>
          <w:rFonts w:ascii="Arial" w:hAnsi="Arial" w:cs="Arial"/>
          <w:sz w:val="22"/>
          <w:szCs w:val="22"/>
        </w:rPr>
        <w:fldChar w:fldCharType="separate"/>
      </w:r>
      <w:r w:rsidR="0081559F">
        <w:rPr>
          <w:rFonts w:ascii="Arial" w:hAnsi="Arial" w:cs="Arial"/>
          <w:sz w:val="22"/>
        </w:rPr>
        <w:t>[27]</w:t>
      </w:r>
      <w:r w:rsidR="00E60D94" w:rsidRPr="005C6A9F">
        <w:rPr>
          <w:rFonts w:ascii="Arial" w:hAnsi="Arial" w:cs="Arial"/>
          <w:sz w:val="22"/>
          <w:szCs w:val="22"/>
        </w:rPr>
        <w:fldChar w:fldCharType="end"/>
      </w:r>
      <w:r>
        <w:rPr>
          <w:rFonts w:ascii="Arial" w:hAnsi="Arial" w:cs="Arial"/>
          <w:sz w:val="22"/>
          <w:szCs w:val="22"/>
        </w:rPr>
        <w:t xml:space="preserve">. We assumed that </w:t>
      </w:r>
      <w:r w:rsidR="00E60D94">
        <w:rPr>
          <w:rFonts w:ascii="Arial" w:hAnsi="Arial" w:cs="Arial"/>
          <w:sz w:val="22"/>
          <w:szCs w:val="22"/>
        </w:rPr>
        <w:t xml:space="preserve">HIV </w:t>
      </w:r>
      <w:r>
        <w:rPr>
          <w:rFonts w:ascii="Arial" w:hAnsi="Arial" w:cs="Arial"/>
          <w:sz w:val="22"/>
          <w:szCs w:val="22"/>
        </w:rPr>
        <w:t xml:space="preserve">incidence was </w:t>
      </w:r>
      <w:r w:rsidR="00E60D94">
        <w:rPr>
          <w:rFonts w:ascii="Arial" w:hAnsi="Arial" w:cs="Arial"/>
          <w:sz w:val="22"/>
          <w:szCs w:val="22"/>
        </w:rPr>
        <w:t xml:space="preserve">randomly </w:t>
      </w:r>
      <w:r>
        <w:rPr>
          <w:rFonts w:ascii="Arial" w:hAnsi="Arial" w:cs="Arial"/>
          <w:sz w:val="22"/>
          <w:szCs w:val="22"/>
        </w:rPr>
        <w:t xml:space="preserve">distributed throughout the year </w:t>
      </w:r>
      <w:r w:rsidR="00783A8E">
        <w:rPr>
          <w:rFonts w:ascii="Arial" w:hAnsi="Arial" w:cs="Arial"/>
          <w:sz w:val="22"/>
          <w:szCs w:val="22"/>
        </w:rPr>
        <w:t xml:space="preserve">in each country </w:t>
      </w:r>
      <w:r>
        <w:rPr>
          <w:rFonts w:ascii="Arial" w:hAnsi="Arial" w:cs="Arial"/>
          <w:sz w:val="22"/>
          <w:szCs w:val="22"/>
        </w:rPr>
        <w:t xml:space="preserve">and that patients were placed on ART immediately </w:t>
      </w:r>
      <w:r w:rsidR="00E60D94">
        <w:rPr>
          <w:rFonts w:ascii="Arial" w:hAnsi="Arial" w:cs="Arial"/>
          <w:sz w:val="22"/>
          <w:szCs w:val="22"/>
        </w:rPr>
        <w:t xml:space="preserve">following diagnosis </w:t>
      </w:r>
      <w:r>
        <w:rPr>
          <w:rFonts w:ascii="Arial" w:hAnsi="Arial" w:cs="Arial"/>
          <w:sz w:val="22"/>
          <w:szCs w:val="22"/>
        </w:rPr>
        <w:t xml:space="preserve">and remained on ART throughout the year. </w:t>
      </w:r>
      <w:r w:rsidR="00C647CF" w:rsidRPr="00A058AE">
        <w:rPr>
          <w:rFonts w:ascii="Arial" w:hAnsi="Arial" w:cs="Arial"/>
          <w:sz w:val="22"/>
          <w:szCs w:val="22"/>
        </w:rPr>
        <w:t xml:space="preserve">Where </w:t>
      </w:r>
      <w:r w:rsidR="00E60D94">
        <w:rPr>
          <w:rFonts w:ascii="Arial" w:hAnsi="Arial" w:cs="Arial"/>
          <w:sz w:val="22"/>
          <w:szCs w:val="22"/>
        </w:rPr>
        <w:t xml:space="preserve">ART </w:t>
      </w:r>
      <w:r w:rsidR="00C647CF" w:rsidRPr="00A058AE">
        <w:rPr>
          <w:rFonts w:ascii="Arial" w:hAnsi="Arial" w:cs="Arial"/>
          <w:sz w:val="22"/>
          <w:szCs w:val="22"/>
        </w:rPr>
        <w:t>coverage rates were not available (11 countries), we extract</w:t>
      </w:r>
      <w:r w:rsidR="00783A8E">
        <w:rPr>
          <w:rFonts w:ascii="Arial" w:hAnsi="Arial" w:cs="Arial"/>
          <w:sz w:val="22"/>
          <w:szCs w:val="22"/>
        </w:rPr>
        <w:t>ed</w:t>
      </w:r>
      <w:r w:rsidR="00C647CF" w:rsidRPr="00A058AE">
        <w:rPr>
          <w:rFonts w:ascii="Arial" w:hAnsi="Arial" w:cs="Arial"/>
          <w:sz w:val="22"/>
          <w:szCs w:val="22"/>
        </w:rPr>
        <w:t xml:space="preserve"> coverage rates from national reporting.</w:t>
      </w:r>
      <w:r w:rsidR="00211DC5" w:rsidRPr="00A058AE">
        <w:rPr>
          <w:rFonts w:ascii="Arial" w:hAnsi="Arial" w:cs="Arial"/>
          <w:sz w:val="22"/>
          <w:szCs w:val="22"/>
        </w:rPr>
        <w:t xml:space="preserve"> In estimating the unit cost of ART provision in </w:t>
      </w:r>
      <w:r w:rsidR="00A058AE" w:rsidRPr="00A058AE">
        <w:rPr>
          <w:rFonts w:ascii="Arial" w:hAnsi="Arial" w:cs="Arial"/>
          <w:sz w:val="22"/>
          <w:szCs w:val="22"/>
        </w:rPr>
        <w:t>2019</w:t>
      </w:r>
      <w:r w:rsidR="00211DC5" w:rsidRPr="00A058AE">
        <w:rPr>
          <w:rFonts w:ascii="Arial" w:hAnsi="Arial" w:cs="Arial"/>
          <w:sz w:val="22"/>
          <w:szCs w:val="22"/>
        </w:rPr>
        <w:t xml:space="preserve">, Stover et al. assumed that </w:t>
      </w:r>
      <w:r w:rsidR="00211DC5" w:rsidRPr="001F1C09">
        <w:rPr>
          <w:rFonts w:ascii="Arial" w:hAnsi="Arial" w:cs="Arial"/>
          <w:sz w:val="22"/>
          <w:szCs w:val="22"/>
        </w:rPr>
        <w:t xml:space="preserve">the cost of first line drugs would decline by 55% by </w:t>
      </w:r>
      <w:r w:rsidR="00A058AE" w:rsidRPr="001F1C09">
        <w:rPr>
          <w:rFonts w:ascii="Arial" w:hAnsi="Arial" w:cs="Arial"/>
          <w:sz w:val="22"/>
          <w:szCs w:val="22"/>
        </w:rPr>
        <w:t xml:space="preserve">2019 </w:t>
      </w:r>
      <w:r w:rsidR="00211DC5" w:rsidRPr="001F1C09">
        <w:rPr>
          <w:rFonts w:ascii="Arial" w:hAnsi="Arial" w:cs="Arial"/>
          <w:sz w:val="22"/>
          <w:szCs w:val="22"/>
        </w:rPr>
        <w:t xml:space="preserve">across all regions. The costs of service delivery and diagnostics were calculated based on an assumed visit schedule (per WHO guidelines and the recommendations of an expert panel) which reflected one CD4 test at initiation, two viral load tests, four medical consultations, and two drug delivery/adherence support visits in the first year for a patient initiating ART. </w:t>
      </w:r>
    </w:p>
    <w:p w14:paraId="4A2DDDF6" w14:textId="5CA8F74A" w:rsidR="00E856B2" w:rsidRDefault="00E856B2" w:rsidP="001F1C09">
      <w:pPr>
        <w:ind w:left="720"/>
        <w:jc w:val="both"/>
        <w:rPr>
          <w:rFonts w:ascii="Arial" w:hAnsi="Arial" w:cs="Arial"/>
          <w:sz w:val="22"/>
          <w:szCs w:val="22"/>
        </w:rPr>
      </w:pPr>
    </w:p>
    <w:p w14:paraId="5923B250" w14:textId="721855A0" w:rsidR="00E856B2" w:rsidRPr="00E856B2" w:rsidRDefault="00000000" w:rsidP="001F1C09">
      <w:pPr>
        <w:ind w:left="720"/>
        <w:jc w:val="both"/>
        <w:rPr>
          <w:rFonts w:ascii="Arial" w:hAnsi="Arial" w:cs="Arial"/>
          <w:sz w:val="22"/>
          <w:szCs w:val="22"/>
        </w:rPr>
      </w:pPr>
      <m:oMathPara>
        <m:oMath>
          <m:nary>
            <m:naryPr>
              <m:chr m:val="∑"/>
              <m:limLoc m:val="undOvr"/>
              <m:ctrlPr>
                <w:rPr>
                  <w:rFonts w:ascii="Cambria Math" w:eastAsiaTheme="minorHAnsi" w:hAnsi="Cambria Math" w:cstheme="minorHAnsi"/>
                  <w:i/>
                </w:rPr>
              </m:ctrlPr>
            </m:naryPr>
            <m:sub>
              <m:r>
                <w:rPr>
                  <w:rFonts w:ascii="Cambria Math" w:hAnsi="Cambria Math" w:cstheme="minorHAnsi"/>
                </w:rPr>
                <m:t>i</m:t>
              </m:r>
            </m:sub>
            <m:sup>
              <m:r>
                <w:rPr>
                  <w:rFonts w:ascii="Cambria Math" w:hAnsi="Cambria Math" w:cstheme="minorHAnsi"/>
                </w:rPr>
                <m:t>90</m:t>
              </m:r>
            </m:sup>
            <m:e>
              <m:sSubSup>
                <m:sSubSupPr>
                  <m:ctrlPr>
                    <w:rPr>
                      <w:rFonts w:ascii="Cambria Math" w:hAnsi="Cambria Math" w:cs="Arial"/>
                      <w:i/>
                      <w:sz w:val="22"/>
                      <w:szCs w:val="22"/>
                    </w:rPr>
                  </m:ctrlPr>
                </m:sSubSupPr>
                <m:e>
                  <m:r>
                    <w:rPr>
                      <w:rFonts w:ascii="Cambria Math" w:hAnsi="Cambria Math" w:cs="Arial"/>
                      <w:sz w:val="22"/>
                      <w:szCs w:val="22"/>
                    </w:rPr>
                    <m:t>Costs</m:t>
                  </m:r>
                </m:e>
                <m:sub>
                  <m:r>
                    <w:rPr>
                      <w:rFonts w:ascii="Cambria Math" w:hAnsi="Cambria Math" w:cs="Arial"/>
                      <w:sz w:val="22"/>
                      <w:szCs w:val="22"/>
                    </w:rPr>
                    <m:t>i</m:t>
                  </m:r>
                </m:sub>
                <m:sup>
                  <m:r>
                    <w:rPr>
                      <w:rFonts w:ascii="Cambria Math" w:hAnsi="Cambria Math" w:cs="Arial"/>
                      <w:sz w:val="22"/>
                      <w:szCs w:val="22"/>
                    </w:rPr>
                    <m:t>ART</m:t>
                  </m:r>
                </m:sup>
              </m:sSubSup>
            </m:e>
          </m:nary>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i</m:t>
              </m:r>
            </m:sub>
            <m:sup>
              <m:r>
                <w:rPr>
                  <w:rFonts w:ascii="Cambria Math" w:hAnsi="Cambria Math" w:cstheme="minorHAnsi"/>
                </w:rPr>
                <m:t>90</m:t>
              </m:r>
            </m:sup>
            <m:e>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i</m:t>
                  </m:r>
                </m:sub>
                <m:sup>
                  <m:r>
                    <w:rPr>
                      <w:rFonts w:ascii="Cambria Math" w:hAnsi="Cambria Math" w:cstheme="minorHAnsi"/>
                    </w:rPr>
                    <m:t>I</m:t>
                  </m:r>
                </m:sup>
              </m:sSubSup>
              <m:sSubSup>
                <m:sSubSupPr>
                  <m:ctrlPr>
                    <w:rPr>
                      <w:rFonts w:ascii="Cambria Math" w:hAnsi="Cambria Math" w:cstheme="minorHAnsi"/>
                      <w:i/>
                    </w:rPr>
                  </m:ctrlPr>
                </m:sSubSupPr>
                <m:e>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i</m:t>
                      </m:r>
                    </m:sub>
                  </m:sSub>
                  <m:r>
                    <w:rPr>
                      <w:rFonts w:ascii="Cambria Math" w:hAnsi="Cambria Math" w:cstheme="minorHAnsi"/>
                    </w:rPr>
                    <m:t>U</m:t>
                  </m:r>
                </m:e>
                <m:sub>
                  <m:r>
                    <w:rPr>
                      <w:rFonts w:ascii="Cambria Math" w:hAnsi="Cambria Math" w:cstheme="minorHAnsi"/>
                    </w:rPr>
                    <m:t>i</m:t>
                  </m:r>
                </m:sub>
                <m:sup>
                  <m:r>
                    <w:rPr>
                      <w:rFonts w:ascii="Cambria Math" w:hAnsi="Cambria Math" w:cstheme="minorHAnsi"/>
                    </w:rPr>
                    <m:t>ART</m:t>
                  </m:r>
                </m:sup>
              </m:sSubSup>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i</m:t>
                  </m:r>
                </m:sub>
                <m:sup>
                  <m:r>
                    <w:rPr>
                      <w:rFonts w:ascii="Cambria Math" w:hAnsi="Cambria Math" w:cstheme="minorHAnsi"/>
                    </w:rPr>
                    <m:t xml:space="preserve"> </m:t>
                  </m:r>
                </m:sup>
              </m:sSubSup>
              <m:r>
                <w:rPr>
                  <w:rFonts w:ascii="Cambria Math" w:hAnsi="Cambria Math" w:cstheme="minorHAnsi"/>
                </w:rPr>
                <m:t>+</m:t>
              </m:r>
            </m:e>
          </m:nary>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i</m:t>
              </m:r>
            </m:sub>
            <m:sup>
              <m:r>
                <w:rPr>
                  <w:rFonts w:ascii="Cambria Math" w:hAnsi="Cambria Math" w:cstheme="minorHAnsi"/>
                </w:rPr>
                <m:t>P</m:t>
              </m:r>
            </m:sup>
          </m:sSubSup>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i</m:t>
              </m:r>
            </m:sub>
          </m:sSub>
          <m:sSubSup>
            <m:sSubSupPr>
              <m:ctrlPr>
                <w:rPr>
                  <w:rFonts w:ascii="Cambria Math" w:hAnsi="Cambria Math" w:cstheme="minorHAnsi"/>
                  <w:i/>
                </w:rPr>
              </m:ctrlPr>
            </m:sSubSupPr>
            <m:e>
              <m:r>
                <w:rPr>
                  <w:rFonts w:ascii="Cambria Math" w:hAnsi="Cambria Math" w:cstheme="minorHAnsi"/>
                </w:rPr>
                <m:t>U</m:t>
              </m:r>
            </m:e>
            <m:sub>
              <m:r>
                <w:rPr>
                  <w:rFonts w:ascii="Cambria Math" w:hAnsi="Cambria Math" w:cstheme="minorHAnsi"/>
                </w:rPr>
                <m:t>i</m:t>
              </m:r>
            </m:sub>
            <m:sup>
              <m:r>
                <w:rPr>
                  <w:rFonts w:ascii="Cambria Math" w:hAnsi="Cambria Math" w:cstheme="minorHAnsi"/>
                </w:rPr>
                <m:t>ART</m:t>
              </m:r>
            </m:sup>
          </m:sSubSup>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i</m:t>
              </m:r>
            </m:sub>
            <m:sup>
              <m:r>
                <w:rPr>
                  <w:rFonts w:ascii="Cambria Math" w:hAnsi="Cambria Math" w:cstheme="minorHAnsi"/>
                </w:rPr>
                <m:t xml:space="preserve"> </m:t>
              </m:r>
            </m:sup>
          </m:sSubSup>
        </m:oMath>
      </m:oMathPara>
    </w:p>
    <w:p w14:paraId="1FE3B96F" w14:textId="77777777" w:rsidR="00E856B2" w:rsidRPr="00E856B2" w:rsidRDefault="00E856B2" w:rsidP="00E856B2"/>
    <w:p w14:paraId="64E273D3" w14:textId="569D7BD7" w:rsidR="00AA2EB9" w:rsidRDefault="00AA2EB9" w:rsidP="00AA2EB9">
      <w:pPr>
        <w:pStyle w:val="Heading3"/>
        <w:numPr>
          <w:ilvl w:val="0"/>
          <w:numId w:val="16"/>
        </w:numPr>
        <w:rPr>
          <w:rFonts w:ascii="Arial" w:hAnsi="Arial" w:cs="Arial"/>
        </w:rPr>
      </w:pPr>
      <w:bookmarkStart w:id="33" w:name="_Toc64459920"/>
      <w:bookmarkStart w:id="34" w:name="_Toc81857626"/>
      <w:bookmarkEnd w:id="32"/>
      <w:r>
        <w:rPr>
          <w:rFonts w:ascii="Arial" w:hAnsi="Arial" w:cs="Arial"/>
        </w:rPr>
        <w:t>Productivity Costs</w:t>
      </w:r>
      <w:bookmarkEnd w:id="33"/>
      <w:bookmarkEnd w:id="34"/>
    </w:p>
    <w:p w14:paraId="72A4CCEE" w14:textId="77777777" w:rsidR="00AA2EB9" w:rsidRPr="001F1C09" w:rsidRDefault="00AA2EB9" w:rsidP="001F1C09"/>
    <w:p w14:paraId="5511EC7C" w14:textId="4ACAA117" w:rsidR="00EC4166" w:rsidRPr="001F1C09" w:rsidRDefault="00942272" w:rsidP="001F1C09">
      <w:pPr>
        <w:pStyle w:val="Heading4"/>
        <w:numPr>
          <w:ilvl w:val="0"/>
          <w:numId w:val="17"/>
        </w:numPr>
        <w:ind w:left="1440"/>
        <w:rPr>
          <w:rFonts w:ascii="Arial" w:hAnsi="Arial" w:cs="Arial"/>
          <w:sz w:val="22"/>
          <w:szCs w:val="22"/>
        </w:rPr>
      </w:pPr>
      <w:r w:rsidRPr="001F1C09">
        <w:rPr>
          <w:rFonts w:ascii="Arial" w:hAnsi="Arial" w:cs="Arial"/>
          <w:color w:val="000000" w:themeColor="text1"/>
          <w:sz w:val="22"/>
          <w:szCs w:val="22"/>
        </w:rPr>
        <w:t xml:space="preserve">Lost </w:t>
      </w:r>
      <w:r w:rsidR="00EC4166" w:rsidRPr="001F1C09">
        <w:rPr>
          <w:rFonts w:ascii="Arial" w:hAnsi="Arial" w:cs="Arial"/>
          <w:color w:val="000000" w:themeColor="text1"/>
          <w:sz w:val="22"/>
          <w:szCs w:val="22"/>
        </w:rPr>
        <w:t>Wages</w:t>
      </w:r>
    </w:p>
    <w:p w14:paraId="2BAA4257" w14:textId="77777777" w:rsidR="00EC4166" w:rsidRPr="00EC4166" w:rsidRDefault="00EC4166" w:rsidP="001F1C09">
      <w:pPr>
        <w:ind w:left="720"/>
        <w:rPr>
          <w:rFonts w:ascii="Arial" w:hAnsi="Arial" w:cs="Arial"/>
          <w:b/>
          <w:sz w:val="22"/>
          <w:szCs w:val="22"/>
          <w:u w:val="single"/>
        </w:rPr>
      </w:pPr>
    </w:p>
    <w:p w14:paraId="2841F391" w14:textId="7244E9B1" w:rsidR="0032375A" w:rsidRPr="001F1C09" w:rsidRDefault="0032375A" w:rsidP="001F1C09">
      <w:pPr>
        <w:ind w:left="720"/>
        <w:jc w:val="both"/>
        <w:rPr>
          <w:rFonts w:ascii="Arial" w:hAnsi="Arial" w:cs="Arial"/>
          <w:sz w:val="22"/>
          <w:szCs w:val="22"/>
        </w:rPr>
      </w:pPr>
      <w:r w:rsidRPr="00A94BF6">
        <w:rPr>
          <w:rFonts w:ascii="Arial" w:hAnsi="Arial" w:cs="Arial"/>
          <w:sz w:val="22"/>
          <w:szCs w:val="22"/>
        </w:rPr>
        <w:t>U</w:t>
      </w:r>
      <w:r w:rsidRPr="002115D2">
        <w:rPr>
          <w:rFonts w:ascii="Arial" w:hAnsi="Arial" w:cs="Arial"/>
          <w:sz w:val="22"/>
          <w:szCs w:val="22"/>
        </w:rPr>
        <w:t xml:space="preserve">nlike with genital herpes, reductions in output can arise due to mortality during productive years, reduced labor force participation, absenteeism, presenteeism or premature retirement. To arrive at </w:t>
      </w:r>
      <w:r w:rsidR="004D3CE3" w:rsidRPr="002115D2">
        <w:rPr>
          <w:rFonts w:ascii="Arial" w:hAnsi="Arial" w:cs="Arial"/>
          <w:sz w:val="22"/>
          <w:szCs w:val="22"/>
        </w:rPr>
        <w:t xml:space="preserve">the share of </w:t>
      </w:r>
      <w:r w:rsidRPr="002115D2">
        <w:rPr>
          <w:rFonts w:ascii="Arial" w:hAnsi="Arial" w:cs="Arial"/>
          <w:sz w:val="22"/>
          <w:szCs w:val="22"/>
        </w:rPr>
        <w:t xml:space="preserve">wage losses due to </w:t>
      </w:r>
      <w:r w:rsidR="004D3CE3" w:rsidRPr="002115D2">
        <w:rPr>
          <w:rFonts w:ascii="Arial" w:hAnsi="Arial" w:cs="Arial"/>
          <w:sz w:val="22"/>
          <w:szCs w:val="22"/>
        </w:rPr>
        <w:t xml:space="preserve">HIV </w:t>
      </w:r>
      <w:r w:rsidRPr="002115D2">
        <w:rPr>
          <w:rFonts w:ascii="Arial" w:hAnsi="Arial" w:cs="Arial"/>
          <w:sz w:val="22"/>
          <w:szCs w:val="22"/>
        </w:rPr>
        <w:t>absenteeism</w:t>
      </w:r>
      <w:r w:rsidR="004D3CE3" w:rsidRPr="002115D2">
        <w:rPr>
          <w:rFonts w:ascii="Arial" w:hAnsi="Arial" w:cs="Arial"/>
          <w:sz w:val="22"/>
          <w:szCs w:val="22"/>
        </w:rPr>
        <w:t xml:space="preserve"> attributable to HSV-2</w:t>
      </w:r>
      <w:r w:rsidR="00D56ED5">
        <w:rPr>
          <w:rFonts w:ascii="Arial" w:hAnsi="Arial" w:cs="Arial"/>
          <w:sz w:val="22"/>
          <w:szCs w:val="22"/>
        </w:rPr>
        <w:t xml:space="preserve"> </w:t>
      </w:r>
      <w:r w:rsidR="00D56ED5">
        <w:rPr>
          <w:rFonts w:ascii="Arial" w:eastAsiaTheme="minorEastAsia" w:hAnsi="Arial" w:cs="Arial"/>
          <w:sz w:val="22"/>
          <w:szCs w:val="22"/>
        </w:rPr>
        <w:t>(</w:t>
      </w:r>
      <m:oMath>
        <m:sSubSup>
          <m:sSubSupPr>
            <m:ctrlPr>
              <w:rPr>
                <w:rFonts w:ascii="Cambria Math" w:hAnsi="Cambria Math" w:cs="Arial"/>
                <w:i/>
                <w:sz w:val="22"/>
                <w:szCs w:val="22"/>
              </w:rPr>
            </m:ctrlPr>
          </m:sSubSupPr>
          <m:e>
            <m:r>
              <w:rPr>
                <w:rFonts w:ascii="Cambria Math" w:hAnsi="Cambria Math" w:cs="Arial"/>
                <w:sz w:val="22"/>
                <w:szCs w:val="22"/>
              </w:rPr>
              <m:t>Costs</m:t>
            </m:r>
          </m:e>
          <m:sub>
            <m:r>
              <w:rPr>
                <w:rFonts w:ascii="Cambria Math" w:hAnsi="Cambria Math" w:cs="Arial"/>
                <w:sz w:val="22"/>
                <w:szCs w:val="22"/>
              </w:rPr>
              <m:t>i</m:t>
            </m:r>
          </m:sub>
          <m:sup>
            <m:r>
              <w:rPr>
                <w:rFonts w:ascii="Cambria Math" w:hAnsi="Cambria Math" w:cs="Arial"/>
                <w:sz w:val="22"/>
                <w:szCs w:val="22"/>
              </w:rPr>
              <m:t>Wages</m:t>
            </m:r>
          </m:sup>
        </m:sSubSup>
      </m:oMath>
      <w:r w:rsidR="00D56ED5">
        <w:rPr>
          <w:rFonts w:ascii="Arial" w:eastAsiaTheme="minorEastAsia" w:hAnsi="Arial" w:cs="Arial"/>
          <w:sz w:val="22"/>
          <w:szCs w:val="22"/>
        </w:rPr>
        <w:t>) in each country (</w:t>
      </w:r>
      <m:oMath>
        <m:r>
          <w:rPr>
            <w:rFonts w:ascii="Cambria Math" w:hAnsi="Cambria Math" w:cs="Arial"/>
            <w:sz w:val="22"/>
            <w:szCs w:val="22"/>
          </w:rPr>
          <m:t>i</m:t>
        </m:r>
      </m:oMath>
      <w:r w:rsidR="00D56ED5">
        <w:rPr>
          <w:rFonts w:ascii="Arial" w:eastAsiaTheme="minorEastAsia" w:hAnsi="Arial" w:cs="Arial"/>
          <w:sz w:val="22"/>
          <w:szCs w:val="22"/>
        </w:rPr>
        <w:t>)</w:t>
      </w:r>
      <w:r w:rsidRPr="002115D2">
        <w:rPr>
          <w:rFonts w:ascii="Arial" w:hAnsi="Arial" w:cs="Arial"/>
          <w:sz w:val="22"/>
          <w:szCs w:val="22"/>
        </w:rPr>
        <w:t xml:space="preserve">, </w:t>
      </w:r>
      <w:r w:rsidR="004D3CE3" w:rsidRPr="002115D2">
        <w:rPr>
          <w:rFonts w:ascii="Arial" w:hAnsi="Arial" w:cs="Arial"/>
          <w:sz w:val="22"/>
          <w:szCs w:val="22"/>
        </w:rPr>
        <w:t xml:space="preserve">we first </w:t>
      </w:r>
      <w:r w:rsidRPr="002115D2">
        <w:rPr>
          <w:rFonts w:ascii="Arial" w:hAnsi="Arial" w:cs="Arial"/>
          <w:sz w:val="22"/>
          <w:szCs w:val="22"/>
        </w:rPr>
        <w:t xml:space="preserve">conducted a rapid literature review to identify studies that have estimated the number of absent days due to HIV, pre and post ART initiation (see </w:t>
      </w:r>
      <w:r w:rsidR="00006DF8">
        <w:rPr>
          <w:rFonts w:ascii="Arial" w:hAnsi="Arial" w:cs="Arial"/>
          <w:sz w:val="22"/>
          <w:szCs w:val="22"/>
        </w:rPr>
        <w:t>Table 8</w:t>
      </w:r>
      <w:r w:rsidRPr="002115D2">
        <w:rPr>
          <w:rFonts w:ascii="Arial" w:hAnsi="Arial" w:cs="Arial"/>
          <w:sz w:val="22"/>
          <w:szCs w:val="22"/>
        </w:rPr>
        <w:t xml:space="preserve">). </w:t>
      </w:r>
      <w:r w:rsidR="004D3CE3" w:rsidRPr="002115D2">
        <w:rPr>
          <w:rFonts w:ascii="Arial" w:hAnsi="Arial" w:cs="Arial"/>
          <w:sz w:val="22"/>
          <w:szCs w:val="22"/>
        </w:rPr>
        <w:t>We then pooled the values for absent days when on ART (</w:t>
      </w:r>
      <m:oMath>
        <m:sSubSup>
          <m:sSubSupPr>
            <m:ctrlPr>
              <w:rPr>
                <w:rFonts w:ascii="Cambria Math" w:hAnsi="Cambria Math" w:cs="Arial"/>
                <w:i/>
                <w:sz w:val="22"/>
                <w:szCs w:val="22"/>
              </w:rPr>
            </m:ctrlPr>
          </m:sSubSupPr>
          <m:e>
            <m:r>
              <w:rPr>
                <w:rFonts w:ascii="Cambria Math" w:hAnsi="Cambria Math" w:cs="Arial"/>
                <w:sz w:val="22"/>
                <w:szCs w:val="22"/>
              </w:rPr>
              <m:t>d</m:t>
            </m:r>
          </m:e>
          <m:sub>
            <m:r>
              <w:rPr>
                <w:rFonts w:ascii="Cambria Math" w:hAnsi="Cambria Math" w:cs="Arial"/>
                <w:sz w:val="22"/>
                <w:szCs w:val="22"/>
              </w:rPr>
              <m:t>i</m:t>
            </m:r>
          </m:sub>
          <m:sup>
            <m:r>
              <w:rPr>
                <w:rFonts w:ascii="Cambria Math" w:hAnsi="Cambria Math" w:cs="Arial"/>
                <w:sz w:val="22"/>
                <w:szCs w:val="22"/>
              </w:rPr>
              <m:t>No ART</m:t>
            </m:r>
          </m:sup>
        </m:sSubSup>
      </m:oMath>
      <w:r w:rsidR="004D3CE3" w:rsidRPr="00A94BF6">
        <w:rPr>
          <w:rFonts w:ascii="Arial" w:hAnsi="Arial" w:cs="Arial"/>
          <w:sz w:val="22"/>
          <w:szCs w:val="22"/>
        </w:rPr>
        <w:t>) and when not on ART for six months (</w:t>
      </w:r>
      <m:oMath>
        <m:sSubSup>
          <m:sSubSupPr>
            <m:ctrlPr>
              <w:rPr>
                <w:rFonts w:ascii="Cambria Math" w:hAnsi="Cambria Math" w:cs="Arial"/>
                <w:i/>
                <w:sz w:val="22"/>
                <w:szCs w:val="22"/>
              </w:rPr>
            </m:ctrlPr>
          </m:sSubSupPr>
          <m:e>
            <m:r>
              <w:rPr>
                <w:rFonts w:ascii="Cambria Math" w:hAnsi="Cambria Math" w:cs="Arial"/>
                <w:sz w:val="22"/>
                <w:szCs w:val="22"/>
              </w:rPr>
              <m:t>d</m:t>
            </m:r>
          </m:e>
          <m:sub>
            <m:r>
              <w:rPr>
                <w:rFonts w:ascii="Cambria Math" w:hAnsi="Cambria Math" w:cs="Arial"/>
                <w:sz w:val="22"/>
                <w:szCs w:val="22"/>
              </w:rPr>
              <m:t>i</m:t>
            </m:r>
          </m:sub>
          <m:sup>
            <m:r>
              <w:rPr>
                <w:rFonts w:ascii="Cambria Math" w:hAnsi="Cambria Math" w:cs="Arial"/>
                <w:sz w:val="22"/>
                <w:szCs w:val="22"/>
              </w:rPr>
              <m:t>ART</m:t>
            </m:r>
          </m:sup>
        </m:sSubSup>
      </m:oMath>
      <w:r w:rsidR="004D3CE3" w:rsidRPr="00A94BF6">
        <w:rPr>
          <w:rFonts w:ascii="Arial" w:hAnsi="Arial" w:cs="Arial"/>
          <w:sz w:val="22"/>
          <w:szCs w:val="22"/>
        </w:rPr>
        <w:t>)</w:t>
      </w:r>
      <w:r w:rsidR="00F92895" w:rsidRPr="002115D2">
        <w:rPr>
          <w:rFonts w:ascii="Arial" w:hAnsi="Arial" w:cs="Arial"/>
          <w:sz w:val="22"/>
          <w:szCs w:val="22"/>
        </w:rPr>
        <w:t xml:space="preserve"> (see </w:t>
      </w:r>
      <w:r w:rsidR="00F92895" w:rsidRPr="001F1C09">
        <w:rPr>
          <w:rFonts w:ascii="Arial" w:hAnsi="Arial" w:cs="Arial"/>
          <w:sz w:val="22"/>
          <w:szCs w:val="22"/>
        </w:rPr>
        <w:t xml:space="preserve">section </w:t>
      </w:r>
      <w:r w:rsidR="00F97CEE">
        <w:rPr>
          <w:rFonts w:ascii="Arial" w:hAnsi="Arial" w:cs="Arial"/>
          <w:sz w:val="22"/>
          <w:szCs w:val="22"/>
        </w:rPr>
        <w:t>6</w:t>
      </w:r>
      <w:r w:rsidR="00F97CEE" w:rsidRPr="002115D2">
        <w:rPr>
          <w:rFonts w:ascii="Arial" w:hAnsi="Arial" w:cs="Arial"/>
          <w:sz w:val="22"/>
          <w:szCs w:val="22"/>
        </w:rPr>
        <w:t xml:space="preserve"> </w:t>
      </w:r>
      <w:r w:rsidR="00F92895" w:rsidRPr="002115D2">
        <w:rPr>
          <w:rFonts w:ascii="Arial" w:hAnsi="Arial" w:cs="Arial"/>
          <w:sz w:val="22"/>
          <w:szCs w:val="22"/>
        </w:rPr>
        <w:t>for a description of pooling)</w:t>
      </w:r>
      <w:r w:rsidR="004D3CE3" w:rsidRPr="002115D2">
        <w:rPr>
          <w:rFonts w:ascii="Arial" w:hAnsi="Arial" w:cs="Arial"/>
          <w:sz w:val="22"/>
          <w:szCs w:val="22"/>
        </w:rPr>
        <w:t xml:space="preserve">. We then </w:t>
      </w:r>
      <w:r w:rsidRPr="002115D2">
        <w:rPr>
          <w:rFonts w:ascii="Arial" w:hAnsi="Arial" w:cs="Arial"/>
          <w:sz w:val="22"/>
          <w:szCs w:val="22"/>
        </w:rPr>
        <w:t>computed the daily wages (</w:t>
      </w:r>
      <m:oMath>
        <m:sSubSup>
          <m:sSubSupPr>
            <m:ctrlPr>
              <w:rPr>
                <w:rFonts w:ascii="Cambria Math" w:hAnsi="Cambria Math" w:cs="Arial"/>
                <w:i/>
                <w:sz w:val="22"/>
                <w:szCs w:val="22"/>
              </w:rPr>
            </m:ctrlPr>
          </m:sSubSupPr>
          <m:e>
            <m:r>
              <w:rPr>
                <w:rFonts w:ascii="Cambria Math" w:hAnsi="Cambria Math" w:cs="Arial"/>
                <w:sz w:val="22"/>
                <w:szCs w:val="22"/>
              </w:rPr>
              <m:t>W</m:t>
            </m:r>
          </m:e>
          <m:sub>
            <m:r>
              <w:rPr>
                <w:rFonts w:ascii="Cambria Math" w:hAnsi="Cambria Math" w:cs="Arial"/>
                <w:sz w:val="22"/>
                <w:szCs w:val="22"/>
              </w:rPr>
              <m:t>i</m:t>
            </m:r>
          </m:sub>
          <m:sup>
            <m:r>
              <w:rPr>
                <w:rFonts w:ascii="Cambria Math" w:hAnsi="Cambria Math" w:cs="Arial"/>
                <w:sz w:val="22"/>
                <w:szCs w:val="22"/>
              </w:rPr>
              <m:t xml:space="preserve"> </m:t>
            </m:r>
          </m:sup>
        </m:sSubSup>
      </m:oMath>
      <w:r w:rsidRPr="00A94BF6">
        <w:rPr>
          <w:rFonts w:ascii="Arial" w:eastAsiaTheme="minorEastAsia" w:hAnsi="Arial" w:cs="Arial"/>
          <w:sz w:val="22"/>
          <w:szCs w:val="22"/>
        </w:rPr>
        <w:t xml:space="preserve">) </w:t>
      </w:r>
      <w:r w:rsidRPr="002115D2">
        <w:rPr>
          <w:rFonts w:ascii="Arial" w:hAnsi="Arial" w:cs="Arial"/>
          <w:sz w:val="22"/>
          <w:szCs w:val="22"/>
        </w:rPr>
        <w:t xml:space="preserve">as described in section </w:t>
      </w:r>
      <w:r w:rsidR="00F97CEE" w:rsidRPr="001F1C09">
        <w:rPr>
          <w:rFonts w:ascii="Arial" w:hAnsi="Arial" w:cs="Arial"/>
          <w:sz w:val="22"/>
          <w:szCs w:val="22"/>
        </w:rPr>
        <w:t>3</w:t>
      </w:r>
      <w:r w:rsidRPr="001F1C09">
        <w:rPr>
          <w:rFonts w:ascii="Arial" w:hAnsi="Arial" w:cs="Arial"/>
          <w:sz w:val="22"/>
          <w:szCs w:val="22"/>
        </w:rPr>
        <w:t>.</w:t>
      </w:r>
      <w:r w:rsidR="00F97CEE" w:rsidRPr="001F1C09">
        <w:rPr>
          <w:rFonts w:ascii="Arial" w:hAnsi="Arial" w:cs="Arial"/>
          <w:sz w:val="22"/>
          <w:szCs w:val="22"/>
        </w:rPr>
        <w:t>C</w:t>
      </w:r>
      <w:r w:rsidRPr="001F1C09">
        <w:rPr>
          <w:rFonts w:ascii="Arial" w:hAnsi="Arial" w:cs="Arial"/>
          <w:sz w:val="22"/>
          <w:szCs w:val="22"/>
        </w:rPr>
        <w:t>.</w:t>
      </w:r>
      <w:r w:rsidR="00F97CEE" w:rsidRPr="005577A2">
        <w:rPr>
          <w:rFonts w:ascii="Arial" w:hAnsi="Arial" w:cs="Arial"/>
          <w:sz w:val="22"/>
          <w:szCs w:val="22"/>
        </w:rPr>
        <w:t>1</w:t>
      </w:r>
      <w:r w:rsidR="004D3CE3" w:rsidRPr="002115D2">
        <w:rPr>
          <w:rFonts w:ascii="Arial" w:hAnsi="Arial" w:cs="Arial"/>
          <w:sz w:val="22"/>
          <w:szCs w:val="22"/>
        </w:rPr>
        <w:t xml:space="preserve">. </w:t>
      </w:r>
      <w:r w:rsidR="009947B3" w:rsidRPr="002115D2">
        <w:rPr>
          <w:rFonts w:ascii="Arial" w:hAnsi="Arial" w:cs="Arial"/>
          <w:sz w:val="22"/>
          <w:szCs w:val="22"/>
        </w:rPr>
        <w:t xml:space="preserve">We assumed that 90% of the HIV population in LMICs is </w:t>
      </w:r>
      <w:r w:rsidR="00F63347" w:rsidRPr="002115D2">
        <w:rPr>
          <w:rFonts w:ascii="Arial" w:hAnsi="Arial" w:cs="Arial"/>
          <w:sz w:val="22"/>
          <w:szCs w:val="22"/>
        </w:rPr>
        <w:t xml:space="preserve">of </w:t>
      </w:r>
      <w:r w:rsidR="009947B3" w:rsidRPr="002115D2">
        <w:rPr>
          <w:rFonts w:ascii="Arial" w:hAnsi="Arial" w:cs="Arial"/>
          <w:sz w:val="22"/>
          <w:szCs w:val="22"/>
        </w:rPr>
        <w:t>productive</w:t>
      </w:r>
      <w:r w:rsidR="00F63347" w:rsidRPr="002115D2">
        <w:rPr>
          <w:rFonts w:ascii="Arial" w:hAnsi="Arial" w:cs="Arial"/>
          <w:sz w:val="22"/>
          <w:szCs w:val="22"/>
        </w:rPr>
        <w:t xml:space="preserve"> age</w:t>
      </w:r>
      <w:r w:rsidR="00F63347" w:rsidRPr="00E85F4F">
        <w:rPr>
          <w:rFonts w:ascii="Arial" w:hAnsi="Arial" w:cs="Arial"/>
          <w:sz w:val="22"/>
          <w:szCs w:val="22"/>
        </w:rPr>
        <w:fldChar w:fldCharType="begin"/>
      </w:r>
      <w:r w:rsidR="0081559F">
        <w:rPr>
          <w:rFonts w:ascii="Arial" w:hAnsi="Arial" w:cs="Arial"/>
          <w:sz w:val="22"/>
          <w:szCs w:val="22"/>
        </w:rPr>
        <w:instrText xml:space="preserve"> ADDIN ZOTERO_ITEM CSL_CITATION {"citationID":"ziUnozYJ","properties":{"formattedCitation":"[28]","plainCitation":"[28]","noteIndex":0},"citationItems":[{"id":26715,"uris":["http://zotero.org/users/local/p8g0WsVO/items/WEXEFPJK"],"itemData":{"id":26715,"type":"webpage","language":"en","title":"Global AIDS Update 2016","URL":"http://www.unaids.org/en/resources/documents/2016/Global-AIDS-update-2016","accessed":{"date-parts":[["2019",1,1]]}}}],"schema":"https://github.com/citation-style-language/schema/raw/master/csl-citation.json"} </w:instrText>
      </w:r>
      <w:r w:rsidR="00F63347" w:rsidRPr="00E85F4F">
        <w:rPr>
          <w:rFonts w:ascii="Arial" w:hAnsi="Arial" w:cs="Arial"/>
          <w:sz w:val="22"/>
          <w:szCs w:val="22"/>
        </w:rPr>
        <w:fldChar w:fldCharType="separate"/>
      </w:r>
      <w:r w:rsidR="0081559F">
        <w:rPr>
          <w:rFonts w:ascii="Arial" w:hAnsi="Arial" w:cs="Arial"/>
          <w:sz w:val="22"/>
        </w:rPr>
        <w:t>[28]</w:t>
      </w:r>
      <w:r w:rsidR="00F63347" w:rsidRPr="00E85F4F">
        <w:rPr>
          <w:rFonts w:ascii="Arial" w:hAnsi="Arial" w:cs="Arial"/>
          <w:sz w:val="22"/>
          <w:szCs w:val="22"/>
        </w:rPr>
        <w:fldChar w:fldCharType="end"/>
      </w:r>
      <w:r w:rsidR="00F63347" w:rsidRPr="00A94BF6">
        <w:rPr>
          <w:rFonts w:ascii="Arial" w:hAnsi="Arial" w:cs="Arial"/>
          <w:sz w:val="22"/>
          <w:szCs w:val="22"/>
        </w:rPr>
        <w:t xml:space="preserve"> and </w:t>
      </w:r>
      <w:r w:rsidR="009947B3" w:rsidRPr="002115D2">
        <w:rPr>
          <w:rFonts w:ascii="Arial" w:hAnsi="Arial" w:cs="Arial"/>
          <w:sz w:val="22"/>
          <w:szCs w:val="22"/>
        </w:rPr>
        <w:t xml:space="preserve">that once on ART, productivity </w:t>
      </w:r>
      <w:r w:rsidR="00F63347" w:rsidRPr="002115D2">
        <w:rPr>
          <w:rFonts w:ascii="Arial" w:hAnsi="Arial" w:cs="Arial"/>
          <w:sz w:val="22"/>
          <w:szCs w:val="22"/>
        </w:rPr>
        <w:t>is</w:t>
      </w:r>
      <w:r w:rsidR="009947B3" w:rsidRPr="002115D2">
        <w:rPr>
          <w:rFonts w:ascii="Arial" w:hAnsi="Arial" w:cs="Arial"/>
          <w:sz w:val="22"/>
          <w:szCs w:val="22"/>
        </w:rPr>
        <w:t xml:space="preserve"> restored of 75% of pre-symptomatic levels</w:t>
      </w:r>
      <w:r w:rsidR="00F63347" w:rsidRPr="002115D2">
        <w:rPr>
          <w:rFonts w:ascii="Arial" w:hAnsi="Arial" w:cs="Arial"/>
          <w:sz w:val="22"/>
          <w:szCs w:val="22"/>
        </w:rPr>
        <w:t xml:space="preserve"> and if </w:t>
      </w:r>
      <w:r w:rsidR="009947B3" w:rsidRPr="002115D2">
        <w:rPr>
          <w:rFonts w:ascii="Arial" w:hAnsi="Arial" w:cs="Arial"/>
          <w:sz w:val="22"/>
          <w:szCs w:val="22"/>
        </w:rPr>
        <w:t xml:space="preserve">not on ART, productivity </w:t>
      </w:r>
      <w:r w:rsidR="00F63347" w:rsidRPr="002115D2">
        <w:rPr>
          <w:rFonts w:ascii="Arial" w:hAnsi="Arial" w:cs="Arial"/>
          <w:sz w:val="22"/>
          <w:szCs w:val="22"/>
        </w:rPr>
        <w:t xml:space="preserve">is </w:t>
      </w:r>
      <w:r w:rsidR="009947B3" w:rsidRPr="002115D2">
        <w:rPr>
          <w:rFonts w:ascii="Arial" w:hAnsi="Arial" w:cs="Arial"/>
          <w:sz w:val="22"/>
          <w:szCs w:val="22"/>
        </w:rPr>
        <w:t xml:space="preserve">reduced by 80% </w:t>
      </w:r>
      <w:r w:rsidR="00F63347" w:rsidRPr="002115D2">
        <w:rPr>
          <w:rFonts w:ascii="Arial" w:hAnsi="Arial" w:cs="Arial"/>
          <w:sz w:val="22"/>
          <w:szCs w:val="22"/>
        </w:rPr>
        <w:t>(</w:t>
      </w:r>
      <w:r w:rsidR="009947B3" w:rsidRPr="002115D2">
        <w:rPr>
          <w:rFonts w:ascii="Arial" w:hAnsi="Arial" w:cs="Arial"/>
          <w:sz w:val="22"/>
          <w:szCs w:val="22"/>
        </w:rPr>
        <w:t>compared to pre-symptomatic levels</w:t>
      </w:r>
      <w:r w:rsidR="00F63347" w:rsidRPr="002115D2">
        <w:rPr>
          <w:rFonts w:ascii="Arial" w:hAnsi="Arial" w:cs="Arial"/>
          <w:sz w:val="22"/>
          <w:szCs w:val="22"/>
        </w:rPr>
        <w:t>)</w:t>
      </w:r>
      <w:r w:rsidR="009947B3" w:rsidRPr="002115D2">
        <w:rPr>
          <w:rFonts w:ascii="Arial" w:hAnsi="Arial" w:cs="Arial"/>
          <w:sz w:val="22"/>
          <w:szCs w:val="22"/>
        </w:rPr>
        <w:t xml:space="preserve">. </w:t>
      </w:r>
      <w:r w:rsidR="00F63347" w:rsidRPr="002115D2">
        <w:rPr>
          <w:rFonts w:ascii="Arial" w:hAnsi="Arial" w:cs="Arial"/>
          <w:sz w:val="22"/>
          <w:szCs w:val="22"/>
        </w:rPr>
        <w:t xml:space="preserve">We </w:t>
      </w:r>
      <w:r w:rsidR="004D3CE3" w:rsidRPr="002115D2">
        <w:rPr>
          <w:rFonts w:ascii="Arial" w:hAnsi="Arial" w:cs="Arial"/>
          <w:sz w:val="22"/>
          <w:szCs w:val="22"/>
        </w:rPr>
        <w:t xml:space="preserve">calculated the wage losses due to </w:t>
      </w:r>
      <w:r w:rsidRPr="002115D2">
        <w:rPr>
          <w:rFonts w:ascii="Arial" w:hAnsi="Arial" w:cs="Arial"/>
          <w:sz w:val="22"/>
          <w:szCs w:val="22"/>
        </w:rPr>
        <w:t>absent days on the basis of whether an individual was receiving ART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oMath>
      <w:r w:rsidR="00F63347" w:rsidRPr="002115D2">
        <w:rPr>
          <w:rFonts w:ascii="Arial" w:eastAsiaTheme="minorEastAsia" w:hAnsi="Arial" w:cs="Arial"/>
          <w:sz w:val="22"/>
          <w:szCs w:val="22"/>
        </w:rPr>
        <w:t>, the number of absent days (</w:t>
      </w:r>
      <m:oMath>
        <m:sSubSup>
          <m:sSubSupPr>
            <m:ctrlPr>
              <w:rPr>
                <w:rFonts w:ascii="Cambria Math" w:hAnsi="Cambria Math" w:cstheme="minorHAnsi"/>
                <w:i/>
                <w:sz w:val="22"/>
                <w:szCs w:val="22"/>
              </w:rPr>
            </m:ctrlPr>
          </m:sSubSupPr>
          <m:e>
            <m:r>
              <w:rPr>
                <w:rFonts w:ascii="Cambria Math" w:hAnsi="Cambria Math" w:cstheme="minorHAnsi"/>
                <w:sz w:val="22"/>
                <w:szCs w:val="22"/>
              </w:rPr>
              <m:t>d</m:t>
            </m:r>
          </m:e>
          <m:sub>
            <m:r>
              <w:rPr>
                <w:rFonts w:ascii="Cambria Math" w:hAnsi="Cambria Math" w:cstheme="minorHAnsi"/>
                <w:sz w:val="22"/>
                <w:szCs w:val="22"/>
              </w:rPr>
              <m:t>i</m:t>
            </m:r>
          </m:sub>
          <m:sup>
            <m:r>
              <w:rPr>
                <w:rFonts w:ascii="Cambria Math" w:hAnsi="Cambria Math" w:cstheme="minorHAnsi"/>
                <w:sz w:val="22"/>
                <w:szCs w:val="22"/>
              </w:rPr>
              <m:t>No ART</m:t>
            </m:r>
          </m:sup>
        </m:sSubSup>
      </m:oMath>
      <w:r w:rsidR="00F63347" w:rsidRPr="001F1C09">
        <w:rPr>
          <w:rFonts w:ascii="Arial" w:eastAsiaTheme="minorEastAsia" w:hAnsi="Arial" w:cs="Arial"/>
          <w:sz w:val="22"/>
          <w:szCs w:val="22"/>
        </w:rPr>
        <w:t xml:space="preserve">, </w:t>
      </w:r>
      <m:oMath>
        <m:sSubSup>
          <m:sSubSupPr>
            <m:ctrlPr>
              <w:rPr>
                <w:rFonts w:ascii="Cambria Math" w:hAnsi="Cambria Math" w:cstheme="minorHAnsi"/>
                <w:i/>
                <w:sz w:val="22"/>
                <w:szCs w:val="22"/>
              </w:rPr>
            </m:ctrlPr>
          </m:sSubSupPr>
          <m:e>
            <m:r>
              <w:rPr>
                <w:rFonts w:ascii="Cambria Math" w:hAnsi="Cambria Math" w:cstheme="minorHAnsi"/>
                <w:sz w:val="22"/>
                <w:szCs w:val="22"/>
              </w:rPr>
              <m:t>d</m:t>
            </m:r>
          </m:e>
          <m:sub>
            <m:r>
              <w:rPr>
                <w:rFonts w:ascii="Cambria Math" w:hAnsi="Cambria Math" w:cstheme="minorHAnsi"/>
                <w:sz w:val="22"/>
                <w:szCs w:val="22"/>
              </w:rPr>
              <m:t>i</m:t>
            </m:r>
          </m:sub>
          <m:sup>
            <m:r>
              <w:rPr>
                <w:rFonts w:ascii="Cambria Math" w:hAnsi="Cambria Math" w:cstheme="minorHAnsi"/>
                <w:sz w:val="22"/>
                <w:szCs w:val="22"/>
              </w:rPr>
              <m:t>ART</m:t>
            </m:r>
          </m:sup>
        </m:sSubSup>
      </m:oMath>
      <w:r w:rsidR="00F63347" w:rsidRPr="001F1C09">
        <w:rPr>
          <w:rFonts w:ascii="Arial" w:eastAsiaTheme="minorEastAsia" w:hAnsi="Arial" w:cs="Arial"/>
          <w:sz w:val="22"/>
          <w:szCs w:val="22"/>
        </w:rPr>
        <w:t xml:space="preserve">) </w:t>
      </w:r>
      <w:r w:rsidR="00F17515">
        <w:rPr>
          <w:rFonts w:ascii="Arial" w:eastAsiaTheme="minorEastAsia" w:hAnsi="Arial" w:cs="Arial"/>
          <w:sz w:val="22"/>
          <w:szCs w:val="22"/>
        </w:rPr>
        <w:t xml:space="preserve">which we assumed was randomly distributed within the working days for the year (261 for 2019), </w:t>
      </w:r>
      <w:r w:rsidR="00F63347" w:rsidRPr="001F1C09">
        <w:rPr>
          <w:rFonts w:ascii="Arial" w:eastAsiaTheme="minorEastAsia" w:hAnsi="Arial" w:cs="Arial"/>
          <w:sz w:val="22"/>
          <w:szCs w:val="22"/>
        </w:rPr>
        <w:t>and the daily wages (</w:t>
      </w:r>
      <m:oMath>
        <m:sSubSup>
          <m:sSubSupPr>
            <m:ctrlPr>
              <w:rPr>
                <w:rFonts w:ascii="Cambria Math" w:hAnsi="Cambria Math" w:cstheme="minorHAnsi"/>
                <w:i/>
                <w:sz w:val="22"/>
                <w:szCs w:val="22"/>
              </w:rPr>
            </m:ctrlPr>
          </m:sSubSupPr>
          <m:e>
            <m:r>
              <w:rPr>
                <w:rFonts w:ascii="Cambria Math" w:hAnsi="Cambria Math" w:cstheme="minorHAnsi"/>
                <w:sz w:val="22"/>
                <w:szCs w:val="22"/>
              </w:rPr>
              <m:t>w</m:t>
            </m:r>
          </m:e>
          <m:sub>
            <m:r>
              <w:rPr>
                <w:rFonts w:ascii="Cambria Math" w:hAnsi="Cambria Math" w:cstheme="minorHAnsi"/>
                <w:sz w:val="22"/>
                <w:szCs w:val="22"/>
              </w:rPr>
              <m:t>i</m:t>
            </m:r>
          </m:sub>
          <m:sup>
            <m:r>
              <w:rPr>
                <w:rFonts w:ascii="Cambria Math" w:hAnsi="Cambria Math" w:cstheme="minorHAnsi"/>
                <w:sz w:val="22"/>
                <w:szCs w:val="22"/>
              </w:rPr>
              <m:t xml:space="preserve"> </m:t>
            </m:r>
          </m:sup>
        </m:sSubSup>
      </m:oMath>
      <w:r w:rsidR="00F63347" w:rsidRPr="001F1C09">
        <w:rPr>
          <w:rFonts w:ascii="Arial" w:eastAsiaTheme="minorEastAsia" w:hAnsi="Arial" w:cs="Arial"/>
          <w:sz w:val="22"/>
          <w:szCs w:val="22"/>
        </w:rPr>
        <w:t>)</w:t>
      </w:r>
      <w:r w:rsidRPr="00A94BF6">
        <w:rPr>
          <w:rFonts w:ascii="Arial" w:hAnsi="Arial" w:cs="Arial"/>
          <w:sz w:val="22"/>
          <w:szCs w:val="22"/>
        </w:rPr>
        <w:t xml:space="preserve">. </w:t>
      </w:r>
      <w:r w:rsidR="004D3CE3" w:rsidRPr="002115D2">
        <w:rPr>
          <w:rFonts w:ascii="Arial" w:hAnsi="Arial" w:cs="Arial"/>
          <w:sz w:val="22"/>
          <w:szCs w:val="22"/>
        </w:rPr>
        <w:t>We</w:t>
      </w:r>
      <w:r w:rsidRPr="002115D2">
        <w:rPr>
          <w:rFonts w:ascii="Arial" w:hAnsi="Arial" w:cs="Arial"/>
          <w:sz w:val="22"/>
          <w:szCs w:val="22"/>
        </w:rPr>
        <w:t xml:space="preserve"> assumed that individuals who are on ART</w:t>
      </w:r>
      <w:r w:rsidR="004D3CE3" w:rsidRPr="002115D2">
        <w:rPr>
          <w:rFonts w:ascii="Arial" w:hAnsi="Arial" w:cs="Arial"/>
          <w:sz w:val="22"/>
          <w:szCs w:val="22"/>
        </w:rPr>
        <w:t>,</w:t>
      </w:r>
      <w:r w:rsidRPr="002115D2">
        <w:rPr>
          <w:rFonts w:ascii="Arial" w:hAnsi="Arial" w:cs="Arial"/>
          <w:sz w:val="22"/>
          <w:szCs w:val="22"/>
        </w:rPr>
        <w:t xml:space="preserve"> remain</w:t>
      </w:r>
      <w:r w:rsidR="004D3CE3" w:rsidRPr="002115D2">
        <w:rPr>
          <w:rFonts w:ascii="Arial" w:hAnsi="Arial" w:cs="Arial"/>
          <w:sz w:val="22"/>
          <w:szCs w:val="22"/>
        </w:rPr>
        <w:t xml:space="preserve"> </w:t>
      </w:r>
      <w:r w:rsidRPr="002115D2">
        <w:rPr>
          <w:rFonts w:ascii="Arial" w:hAnsi="Arial" w:cs="Arial"/>
          <w:sz w:val="22"/>
          <w:szCs w:val="22"/>
        </w:rPr>
        <w:t xml:space="preserve">on ART </w:t>
      </w:r>
      <w:r w:rsidR="004D3CE3" w:rsidRPr="002115D2">
        <w:rPr>
          <w:rFonts w:ascii="Arial" w:hAnsi="Arial" w:cs="Arial"/>
          <w:sz w:val="22"/>
          <w:szCs w:val="22"/>
        </w:rPr>
        <w:t>through the remainder of the year</w:t>
      </w:r>
      <w:r w:rsidRPr="002115D2">
        <w:rPr>
          <w:rFonts w:ascii="Arial" w:hAnsi="Arial" w:cs="Arial"/>
          <w:sz w:val="22"/>
          <w:szCs w:val="22"/>
        </w:rPr>
        <w:t xml:space="preserve">.  </w:t>
      </w:r>
    </w:p>
    <w:p w14:paraId="3DBFCFA8" w14:textId="04D13078" w:rsidR="00EC4166" w:rsidRDefault="00EC4166" w:rsidP="001F1C09">
      <w:pPr>
        <w:ind w:left="720"/>
        <w:jc w:val="both"/>
        <w:rPr>
          <w:rFonts w:ascii="Arial" w:hAnsi="Arial" w:cs="Arial"/>
          <w:sz w:val="22"/>
          <w:szCs w:val="22"/>
        </w:rPr>
      </w:pPr>
    </w:p>
    <w:p w14:paraId="683D2FB4" w14:textId="32F0D3DE" w:rsidR="0032375A" w:rsidRPr="00EC4166" w:rsidRDefault="00000000" w:rsidP="001F1C09">
      <w:pPr>
        <w:ind w:left="720"/>
        <w:jc w:val="both"/>
        <w:rPr>
          <w:rFonts w:ascii="Arial" w:hAnsi="Arial" w:cs="Arial"/>
          <w:sz w:val="22"/>
          <w:szCs w:val="22"/>
        </w:rPr>
      </w:pPr>
      <m:oMathPara>
        <m:oMath>
          <m:nary>
            <m:naryPr>
              <m:chr m:val="∑"/>
              <m:limLoc m:val="undOvr"/>
              <m:ctrlPr>
                <w:rPr>
                  <w:rFonts w:ascii="Cambria Math" w:eastAsiaTheme="minorHAnsi" w:hAnsi="Cambria Math" w:cstheme="minorHAnsi"/>
                  <w:i/>
                </w:rPr>
              </m:ctrlPr>
            </m:naryPr>
            <m:sub>
              <m:r>
                <w:rPr>
                  <w:rFonts w:ascii="Cambria Math" w:hAnsi="Cambria Math" w:cstheme="minorHAnsi"/>
                </w:rPr>
                <m:t>i</m:t>
              </m:r>
            </m:sub>
            <m:sup>
              <m:r>
                <w:rPr>
                  <w:rFonts w:ascii="Cambria Math" w:hAnsi="Cambria Math" w:cstheme="minorHAnsi"/>
                </w:rPr>
                <m:t>90</m:t>
              </m:r>
            </m:sup>
            <m:e>
              <m:sSubSup>
                <m:sSubSupPr>
                  <m:ctrlPr>
                    <w:rPr>
                      <w:rFonts w:ascii="Cambria Math" w:hAnsi="Cambria Math" w:cs="Arial"/>
                      <w:i/>
                      <w:sz w:val="22"/>
                      <w:szCs w:val="22"/>
                    </w:rPr>
                  </m:ctrlPr>
                </m:sSubSupPr>
                <m:e>
                  <m:r>
                    <w:rPr>
                      <w:rFonts w:ascii="Cambria Math" w:hAnsi="Cambria Math" w:cs="Arial"/>
                      <w:sz w:val="22"/>
                      <w:szCs w:val="22"/>
                    </w:rPr>
                    <m:t>Costs</m:t>
                  </m:r>
                </m:e>
                <m:sub>
                  <m:r>
                    <w:rPr>
                      <w:rFonts w:ascii="Cambria Math" w:hAnsi="Cambria Math" w:cs="Arial"/>
                      <w:sz w:val="22"/>
                      <w:szCs w:val="22"/>
                    </w:rPr>
                    <m:t>i</m:t>
                  </m:r>
                </m:sub>
                <m:sup>
                  <m:r>
                    <w:rPr>
                      <w:rFonts w:ascii="Cambria Math" w:hAnsi="Cambria Math" w:cs="Arial"/>
                      <w:sz w:val="22"/>
                      <w:szCs w:val="22"/>
                    </w:rPr>
                    <m:t>Wages</m:t>
                  </m:r>
                </m:sup>
              </m:sSubSup>
            </m:e>
          </m:nary>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i</m:t>
              </m:r>
            </m:sub>
            <m:sup>
              <m:r>
                <w:rPr>
                  <w:rFonts w:ascii="Cambria Math" w:hAnsi="Cambria Math" w:cstheme="minorHAnsi"/>
                </w:rPr>
                <m:t>90</m:t>
              </m:r>
            </m:sup>
            <m:e>
              <m:sSubSup>
                <m:sSubSupPr>
                  <m:ctrlPr>
                    <w:rPr>
                      <w:rFonts w:ascii="Cambria Math" w:hAnsi="Cambria Math" w:cstheme="minorHAnsi"/>
                      <w:i/>
                    </w:rPr>
                  </m:ctrlPr>
                </m:sSubSupPr>
                <m:e>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i</m:t>
                      </m:r>
                    </m:sub>
                    <m:sup>
                      <m:r>
                        <w:rPr>
                          <w:rFonts w:ascii="Cambria Math" w:hAnsi="Cambria Math" w:cstheme="minorHAnsi"/>
                        </w:rPr>
                        <m:t xml:space="preserve"> </m:t>
                      </m:r>
                    </m:sup>
                  </m:sSubSup>
                  <m:r>
                    <w:rPr>
                      <w:rFonts w:ascii="Cambria Math" w:hAnsi="Cambria Math" w:cstheme="minorHAnsi"/>
                    </w:rPr>
                    <m:t>d</m:t>
                  </m:r>
                </m:e>
                <m:sub>
                  <m:r>
                    <w:rPr>
                      <w:rFonts w:ascii="Cambria Math" w:hAnsi="Cambria Math" w:cstheme="minorHAnsi"/>
                    </w:rPr>
                    <m:t>i</m:t>
                  </m:r>
                </m:sub>
                <m:sup>
                  <m:r>
                    <w:rPr>
                      <w:rFonts w:ascii="Cambria Math" w:hAnsi="Cambria Math" w:cstheme="minorHAnsi"/>
                    </w:rPr>
                    <m:t>ART</m:t>
                  </m:r>
                </m:sup>
              </m:sSubSup>
              <m:sSubSup>
                <m:sSubSupPr>
                  <m:ctrlPr>
                    <w:rPr>
                      <w:rFonts w:ascii="Cambria Math" w:hAnsi="Cambria Math" w:cstheme="minorHAnsi"/>
                      <w:i/>
                    </w:rPr>
                  </m:ctrlPr>
                </m:sSub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e>
                  </m:d>
                  <m:sSubSup>
                    <m:sSubSupPr>
                      <m:ctrlPr>
                        <w:rPr>
                          <w:rFonts w:ascii="Cambria Math" w:hAnsi="Cambria Math" w:cstheme="minorHAnsi"/>
                          <w:i/>
                        </w:rPr>
                      </m:ctrlPr>
                    </m:sSubSupPr>
                    <m:e>
                      <m:r>
                        <w:rPr>
                          <w:rFonts w:ascii="Cambria Math" w:hAnsi="Cambria Math" w:cstheme="minorHAnsi"/>
                        </w:rPr>
                        <m:t>w</m:t>
                      </m:r>
                    </m:e>
                    <m:sub>
                      <m:r>
                        <w:rPr>
                          <w:rFonts w:ascii="Cambria Math" w:hAnsi="Cambria Math" w:cstheme="minorHAnsi"/>
                        </w:rPr>
                        <m:t>i</m:t>
                      </m:r>
                    </m:sub>
                    <m:sup>
                      <m:r>
                        <w:rPr>
                          <w:rFonts w:ascii="Cambria Math" w:hAnsi="Cambria Math" w:cstheme="minorHAnsi"/>
                        </w:rPr>
                        <m:t xml:space="preserve"> </m:t>
                      </m:r>
                    </m:sup>
                  </m:sSubSup>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i</m:t>
                      </m:r>
                    </m:sub>
                    <m:sup>
                      <m:r>
                        <w:rPr>
                          <w:rFonts w:ascii="Cambria Math" w:hAnsi="Cambria Math" w:cstheme="minorHAnsi"/>
                        </w:rPr>
                        <m:t>No ART</m:t>
                      </m:r>
                    </m:sup>
                  </m:sSubSup>
                </m:e>
                <m:sub>
                  <m:r>
                    <w:rPr>
                      <w:rFonts w:ascii="Cambria Math" w:hAnsi="Cambria Math" w:cstheme="minorHAnsi"/>
                    </w:rPr>
                    <m:t xml:space="preserve"> </m:t>
                  </m:r>
                </m:sub>
                <m:sup>
                  <m:r>
                    <w:rPr>
                      <w:rFonts w:ascii="Cambria Math" w:hAnsi="Cambria Math" w:cstheme="minorHAnsi"/>
                    </w:rPr>
                    <m:t xml:space="preserve"> </m:t>
                  </m:r>
                </m:sup>
              </m:sSubSup>
            </m:e>
          </m:nary>
        </m:oMath>
      </m:oMathPara>
    </w:p>
    <w:p w14:paraId="0BF5838F" w14:textId="22D48112" w:rsidR="004D3CE3" w:rsidRDefault="004D3CE3" w:rsidP="00EC4166">
      <w:pPr>
        <w:rPr>
          <w:rFonts w:ascii="Arial" w:hAnsi="Arial" w:cs="Arial"/>
          <w:sz w:val="22"/>
          <w:szCs w:val="22"/>
        </w:rPr>
      </w:pPr>
    </w:p>
    <w:p w14:paraId="7DBD0036" w14:textId="77777777" w:rsidR="00EC75D8" w:rsidRDefault="00EC75D8" w:rsidP="001F1C09">
      <w:pPr>
        <w:pStyle w:val="Caption"/>
        <w:jc w:val="center"/>
        <w:rPr>
          <w:rFonts w:ascii="Arial" w:hAnsi="Arial" w:cs="Arial"/>
          <w:color w:val="000000" w:themeColor="text1"/>
          <w:sz w:val="22"/>
          <w:szCs w:val="22"/>
        </w:rPr>
      </w:pPr>
      <w:bookmarkStart w:id="35" w:name="_Toc64459942"/>
    </w:p>
    <w:p w14:paraId="4D684842" w14:textId="3F716F06" w:rsidR="006A46C7" w:rsidRPr="001F1C09" w:rsidRDefault="004C153F" w:rsidP="001F1C09">
      <w:pPr>
        <w:pStyle w:val="Caption"/>
        <w:jc w:val="center"/>
        <w:rPr>
          <w:rFonts w:ascii="Arial" w:hAnsi="Arial" w:cs="Arial"/>
          <w:color w:val="000000" w:themeColor="text1"/>
          <w:sz w:val="22"/>
          <w:szCs w:val="22"/>
        </w:rPr>
      </w:pPr>
      <w:bookmarkStart w:id="36" w:name="_Toc111481799"/>
      <w:r w:rsidRPr="001F1C09">
        <w:rPr>
          <w:rFonts w:ascii="Arial" w:hAnsi="Arial" w:cs="Arial"/>
          <w:color w:val="000000" w:themeColor="text1"/>
          <w:sz w:val="22"/>
          <w:szCs w:val="22"/>
        </w:rPr>
        <w:t xml:space="preserve">Table </w:t>
      </w:r>
      <w:r w:rsidRPr="001F1C09">
        <w:rPr>
          <w:rFonts w:ascii="Arial" w:hAnsi="Arial" w:cs="Arial"/>
          <w:color w:val="000000" w:themeColor="text1"/>
          <w:sz w:val="22"/>
          <w:szCs w:val="22"/>
        </w:rPr>
        <w:fldChar w:fldCharType="begin"/>
      </w:r>
      <w:r w:rsidRPr="001F1C09">
        <w:rPr>
          <w:rFonts w:ascii="Arial" w:hAnsi="Arial" w:cs="Arial"/>
          <w:color w:val="000000" w:themeColor="text1"/>
          <w:sz w:val="22"/>
          <w:szCs w:val="22"/>
        </w:rPr>
        <w:instrText xml:space="preserve"> SEQ Table \* ARABIC </w:instrText>
      </w:r>
      <w:r w:rsidRPr="001F1C09">
        <w:rPr>
          <w:rFonts w:ascii="Arial" w:hAnsi="Arial" w:cs="Arial"/>
          <w:color w:val="000000" w:themeColor="text1"/>
          <w:sz w:val="22"/>
          <w:szCs w:val="22"/>
        </w:rPr>
        <w:fldChar w:fldCharType="separate"/>
      </w:r>
      <w:r w:rsidRPr="001F1C09">
        <w:rPr>
          <w:rFonts w:ascii="Arial" w:hAnsi="Arial" w:cs="Arial"/>
          <w:noProof/>
          <w:color w:val="000000" w:themeColor="text1"/>
          <w:sz w:val="22"/>
          <w:szCs w:val="22"/>
        </w:rPr>
        <w:t>2</w:t>
      </w:r>
      <w:r w:rsidRPr="001F1C09">
        <w:rPr>
          <w:rFonts w:ascii="Arial" w:hAnsi="Arial" w:cs="Arial"/>
          <w:color w:val="000000" w:themeColor="text1"/>
          <w:sz w:val="22"/>
          <w:szCs w:val="22"/>
        </w:rPr>
        <w:fldChar w:fldCharType="end"/>
      </w:r>
      <w:r w:rsidRPr="001F1C09">
        <w:rPr>
          <w:rFonts w:ascii="Arial" w:hAnsi="Arial" w:cs="Arial"/>
          <w:color w:val="000000" w:themeColor="text1"/>
          <w:sz w:val="22"/>
          <w:szCs w:val="22"/>
        </w:rPr>
        <w:t>: HIV parameter values and assumptions</w:t>
      </w:r>
      <w:bookmarkEnd w:id="35"/>
      <w:bookmarkEnd w:id="36"/>
    </w:p>
    <w:tbl>
      <w:tblPr>
        <w:tblStyle w:val="TableGrid"/>
        <w:tblW w:w="837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gridCol w:w="2885"/>
        <w:gridCol w:w="1620"/>
      </w:tblGrid>
      <w:tr w:rsidR="006A46C7" w:rsidRPr="002A063A" w14:paraId="06F5FFAA" w14:textId="77777777" w:rsidTr="005B407D">
        <w:trPr>
          <w:trHeight w:val="263"/>
          <w:jc w:val="center"/>
        </w:trPr>
        <w:tc>
          <w:tcPr>
            <w:tcW w:w="3865" w:type="dxa"/>
            <w:tcBorders>
              <w:top w:val="single" w:sz="4" w:space="0" w:color="auto"/>
              <w:bottom w:val="single" w:sz="4" w:space="0" w:color="auto"/>
            </w:tcBorders>
          </w:tcPr>
          <w:p w14:paraId="74C73B28" w14:textId="77777777" w:rsidR="006A46C7" w:rsidRPr="002A063A" w:rsidRDefault="006A46C7" w:rsidP="005B407D">
            <w:pPr>
              <w:rPr>
                <w:rFonts w:ascii="Arial" w:hAnsi="Arial" w:cs="Arial"/>
                <w:b/>
                <w:i/>
                <w:sz w:val="20"/>
                <w:szCs w:val="20"/>
              </w:rPr>
            </w:pPr>
            <w:r w:rsidRPr="002A063A">
              <w:rPr>
                <w:rFonts w:ascii="Arial" w:hAnsi="Arial" w:cs="Arial"/>
                <w:b/>
                <w:i/>
                <w:sz w:val="20"/>
                <w:szCs w:val="20"/>
              </w:rPr>
              <w:lastRenderedPageBreak/>
              <w:t>Parameter</w:t>
            </w:r>
          </w:p>
        </w:tc>
        <w:tc>
          <w:tcPr>
            <w:tcW w:w="2885" w:type="dxa"/>
            <w:tcBorders>
              <w:top w:val="single" w:sz="4" w:space="0" w:color="auto"/>
              <w:bottom w:val="single" w:sz="4" w:space="0" w:color="auto"/>
            </w:tcBorders>
          </w:tcPr>
          <w:p w14:paraId="1A355E73" w14:textId="77777777" w:rsidR="006A46C7" w:rsidRPr="002A063A" w:rsidRDefault="006A46C7" w:rsidP="005B407D">
            <w:pPr>
              <w:jc w:val="center"/>
              <w:rPr>
                <w:rFonts w:ascii="Arial" w:hAnsi="Arial" w:cs="Arial"/>
                <w:b/>
                <w:i/>
                <w:sz w:val="20"/>
                <w:szCs w:val="20"/>
              </w:rPr>
            </w:pPr>
            <w:r w:rsidRPr="002A063A">
              <w:rPr>
                <w:rFonts w:ascii="Arial" w:hAnsi="Arial" w:cs="Arial"/>
                <w:b/>
                <w:i/>
                <w:sz w:val="20"/>
                <w:szCs w:val="20"/>
              </w:rPr>
              <w:t>Value</w:t>
            </w:r>
          </w:p>
        </w:tc>
        <w:tc>
          <w:tcPr>
            <w:tcW w:w="1620" w:type="dxa"/>
            <w:tcBorders>
              <w:top w:val="single" w:sz="4" w:space="0" w:color="auto"/>
              <w:bottom w:val="single" w:sz="4" w:space="0" w:color="auto"/>
            </w:tcBorders>
          </w:tcPr>
          <w:p w14:paraId="0C75316E" w14:textId="77777777" w:rsidR="006A46C7" w:rsidRPr="002A063A" w:rsidRDefault="006A46C7" w:rsidP="005B407D">
            <w:pPr>
              <w:jc w:val="center"/>
              <w:rPr>
                <w:rFonts w:ascii="Arial" w:hAnsi="Arial" w:cs="Arial"/>
                <w:b/>
                <w:i/>
                <w:sz w:val="20"/>
                <w:szCs w:val="20"/>
              </w:rPr>
            </w:pPr>
            <w:r w:rsidRPr="002A063A">
              <w:rPr>
                <w:rFonts w:ascii="Arial" w:hAnsi="Arial" w:cs="Arial"/>
                <w:b/>
                <w:i/>
                <w:sz w:val="20"/>
                <w:szCs w:val="20"/>
              </w:rPr>
              <w:t>Source</w:t>
            </w:r>
          </w:p>
        </w:tc>
      </w:tr>
      <w:tr w:rsidR="006A46C7" w:rsidRPr="002A063A" w14:paraId="6FF5006F" w14:textId="77777777" w:rsidTr="005B407D">
        <w:trPr>
          <w:trHeight w:val="246"/>
          <w:jc w:val="center"/>
        </w:trPr>
        <w:tc>
          <w:tcPr>
            <w:tcW w:w="3865" w:type="dxa"/>
          </w:tcPr>
          <w:p w14:paraId="5AA25B76" w14:textId="77777777" w:rsidR="006A46C7" w:rsidRPr="002A063A" w:rsidRDefault="006A46C7" w:rsidP="005B407D">
            <w:pPr>
              <w:rPr>
                <w:rFonts w:ascii="Arial" w:hAnsi="Arial" w:cs="Arial"/>
                <w:b/>
                <w:i/>
                <w:sz w:val="20"/>
                <w:szCs w:val="20"/>
              </w:rPr>
            </w:pPr>
            <w:r w:rsidRPr="002A063A">
              <w:rPr>
                <w:rFonts w:ascii="Arial" w:hAnsi="Arial" w:cs="Arial"/>
                <w:b/>
                <w:i/>
                <w:sz w:val="20"/>
                <w:szCs w:val="20"/>
              </w:rPr>
              <w:t>HIV</w:t>
            </w:r>
          </w:p>
        </w:tc>
        <w:tc>
          <w:tcPr>
            <w:tcW w:w="2885" w:type="dxa"/>
          </w:tcPr>
          <w:p w14:paraId="219BAF63" w14:textId="77777777" w:rsidR="006A46C7" w:rsidRPr="002A063A" w:rsidRDefault="006A46C7" w:rsidP="005B407D">
            <w:pPr>
              <w:jc w:val="center"/>
              <w:rPr>
                <w:rFonts w:ascii="Arial" w:hAnsi="Arial" w:cs="Arial"/>
                <w:i/>
                <w:sz w:val="20"/>
                <w:szCs w:val="20"/>
              </w:rPr>
            </w:pPr>
          </w:p>
        </w:tc>
        <w:tc>
          <w:tcPr>
            <w:tcW w:w="1620" w:type="dxa"/>
          </w:tcPr>
          <w:p w14:paraId="6CA4238E" w14:textId="77777777" w:rsidR="006A46C7" w:rsidRPr="002A063A" w:rsidRDefault="006A46C7" w:rsidP="005B407D">
            <w:pPr>
              <w:rPr>
                <w:rFonts w:ascii="Arial" w:hAnsi="Arial" w:cs="Arial"/>
                <w:i/>
                <w:sz w:val="20"/>
                <w:szCs w:val="20"/>
              </w:rPr>
            </w:pPr>
          </w:p>
        </w:tc>
      </w:tr>
      <w:tr w:rsidR="006A46C7" w:rsidRPr="002A063A" w14:paraId="4B80D3D3" w14:textId="77777777" w:rsidTr="005B407D">
        <w:trPr>
          <w:trHeight w:val="246"/>
          <w:jc w:val="center"/>
        </w:trPr>
        <w:tc>
          <w:tcPr>
            <w:tcW w:w="3865" w:type="dxa"/>
          </w:tcPr>
          <w:p w14:paraId="251E9A49" w14:textId="77777777" w:rsidR="006A46C7" w:rsidRPr="002A063A" w:rsidRDefault="006A46C7" w:rsidP="005B407D">
            <w:pPr>
              <w:rPr>
                <w:rFonts w:ascii="Arial" w:hAnsi="Arial" w:cs="Arial"/>
                <w:i/>
                <w:sz w:val="20"/>
                <w:szCs w:val="20"/>
              </w:rPr>
            </w:pPr>
            <w:r w:rsidRPr="002A063A">
              <w:rPr>
                <w:rFonts w:ascii="Arial" w:hAnsi="Arial" w:cs="Arial"/>
                <w:i/>
                <w:sz w:val="20"/>
                <w:szCs w:val="20"/>
              </w:rPr>
              <w:t xml:space="preserve">   Relative Risk due to incident HSV-2</w:t>
            </w:r>
          </w:p>
        </w:tc>
        <w:tc>
          <w:tcPr>
            <w:tcW w:w="2885" w:type="dxa"/>
          </w:tcPr>
          <w:p w14:paraId="2211B505"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4.7</w:t>
            </w:r>
          </w:p>
        </w:tc>
        <w:tc>
          <w:tcPr>
            <w:tcW w:w="1620" w:type="dxa"/>
          </w:tcPr>
          <w:p w14:paraId="1C5A33C5" w14:textId="732D731B" w:rsidR="006A46C7" w:rsidRPr="002A063A" w:rsidRDefault="006A46C7" w:rsidP="005B407D">
            <w:pPr>
              <w:rPr>
                <w:rFonts w:ascii="Arial" w:hAnsi="Arial" w:cs="Arial"/>
                <w:i/>
                <w:sz w:val="20"/>
                <w:szCs w:val="20"/>
              </w:rPr>
            </w:pPr>
            <w:r w:rsidRPr="002A063A">
              <w:rPr>
                <w:rFonts w:ascii="Arial" w:hAnsi="Arial" w:cs="Arial"/>
                <w:i/>
                <w:sz w:val="20"/>
                <w:szCs w:val="20"/>
              </w:rPr>
              <w:t>Looker et al.</w:t>
            </w:r>
            <w:r w:rsidRPr="002A063A">
              <w:rPr>
                <w:rFonts w:ascii="Arial" w:hAnsi="Arial" w:cs="Arial"/>
                <w:i/>
                <w:sz w:val="20"/>
                <w:szCs w:val="20"/>
              </w:rPr>
              <w:fldChar w:fldCharType="begin"/>
            </w:r>
            <w:r w:rsidR="0081559F">
              <w:rPr>
                <w:rFonts w:ascii="Arial" w:hAnsi="Arial" w:cs="Arial"/>
                <w:i/>
                <w:sz w:val="20"/>
                <w:szCs w:val="20"/>
              </w:rPr>
              <w:instrText xml:space="preserve"> ADDIN ZOTERO_ITEM CSL_CITATION {"citationID":"a2i426afuvd","properties":{"formattedCitation":"[25]","plainCitation":"[25]","noteIndex":0},"citationItems":[{"id":1916,"uris":["http://zotero.org/users/local/p8g0WsVO/items/FKQB4V2R"],"itemData":{"id":1916,"type":"article-journal","abstract":"&lt;h2&gt;Summary&lt;/h2&gt;&lt;h3&gt;Background&lt;/h3&gt;&lt;p&gt;HIV and herpes simplex virus type 2 (HSV-2) infections cause a substantial global disease burden and are epidemiologically correlated. Two previous systematic reviews of the association between HSV-2 and HIV found evidence that HSV-2 infection increases the risk of HIV acquisition, but these reviews are now more than a decade old.&lt;/p&gt;&lt;h3&gt;Methods&lt;/h3&gt;&lt;p&gt;For this systematic review and meta-analysis, we searched PubMed, MEDLINE, and Embase (from Jan 1, 2003, to May 25, 2017) to identify studies investigating the risk of HIV acquisition after exposure to HSV-2 infection, either at baseline (prevalent HSV-2 infection) or during follow-up (incident HSV-2 infection). Studies were included if they were a cohort study, controlled trial, or case-control study (including case-control studies nested within a cohort study or clinical trial); if they assessed the effect of pre-existing HSV-2 infection on HIV acquisition; and if they determined the HSV-2 infection status of study participants with a type-specific assay. We calculated pooled random-effect estimates of the association between prevalent or incident HSV-2 infection and HIV seroconversion. We also extended previous investigations through detailed meta-regression and subgroup analyses. In particular, we investigated the effect of sex and risk group (general population &lt;i&gt;vs&lt;/i&gt; higher-risk populations) on the relative risk (RR) of HIV acquisition after prevalent or incident HSV-2 infection. Higher-risk populations included female sex workers and their clients, men who have sex with men, serodiscordant couples, and attendees of sexually transmitted infection clinics.&lt;/p&gt;&lt;h3&gt;Findings&lt;/h3&gt;&lt;p&gt;We identified 57 longitudinal studies exploring the association between HSV-2 and HIV. HIV acquisition was almost tripled in the presence of prevalent HSV-2 infection among general populations (adjusted RR 2·7, 95% CI 2·2–3·4; number of estimates [N&lt;sub&gt;e&lt;/sub&gt;]=22) and was roughly doubled among higher-risk populations (1·7, 1·4–2·1; N&lt;sub&gt;e&lt;/sub&gt;=25). Incident HSV-2 infection in general populations was associated with the highest risk of acquisition of HIV (4·7, 2·2–10·1; N&lt;sub&gt;e&lt;/sub&gt;=6). Adjustment for confounders at the study level was often incomplete but did not significantly affect the results. We found moderate heterogeneity across study estimates, which was explained by risk group, world region, and HSV-2 exposure type (prevalent &lt;i&gt;vs&lt;/i&gt; incident).&lt;/p&gt;&lt;h3&gt;Interpretation&lt;/h3&gt;&lt;p&gt;We found evidence that HSV-2 infection increases the risk of HIV acquisition. This finding has important implications for management of individuals diagnosed with HSV-2 infection, particularly for those who are newly infected. Interventions targeting HSV-2, such as new HSV vaccines, have the potential for additional benefit against HIV, which could be particularly powerful in regions with a high incidence of co-infection.&lt;/p&gt;&lt;h3&gt;Funding&lt;/h3&gt;&lt;p&gt;World Health Organization.&lt;/p&gt;","container-title":"The Lancet Infectious Diseases","DOI":"10.1016/S1473-3099(17)30405-X","ISSN":"1473-3099, 1474-4457","issue":"12","journalAbbreviation":"The Lancet Infectious Diseases","language":"English","note":"PMID: 28843576, 28843576","page":"1303-1316","source":"www.thelancet.com","title":"Effect of HSV-2 infection on subsequent HIV acquisition: an updated systematic review and meta-analysis","title-short":"Effect of HSV-2 infection on subsequent HIV acquisition","URL":"https://www.thelancet.com/journals/laninf/article/PIIS1473-3099(17)30405-X/abstract","volume":"17","author":[{"family":"Looker","given":"Katharine J."},{"family":"Elmes","given":"Jocelyn A. R."},{"family":"Gottlieb","given":"Sami L."},{"family":"Schiffer","given":"Joshua T."},{"family":"Vickerman","given":"Peter"},{"family":"Turner","given":"Katherine M. E."},{"family":"Boily","given":"Marie-Claude"}],"accessed":{"date-parts":[["2018",7,28]]},"issued":{"date-parts":[["2017",12,1]]}}}],"schema":"https://github.com/citation-style-language/schema/raw/master/csl-citation.json"} </w:instrText>
            </w:r>
            <w:r w:rsidRPr="002A063A">
              <w:rPr>
                <w:rFonts w:ascii="Arial" w:hAnsi="Arial" w:cs="Arial"/>
                <w:i/>
                <w:sz w:val="20"/>
                <w:szCs w:val="20"/>
              </w:rPr>
              <w:fldChar w:fldCharType="separate"/>
            </w:r>
            <w:r w:rsidR="0081559F">
              <w:rPr>
                <w:rFonts w:ascii="Arial" w:hAnsi="Arial" w:cs="Arial"/>
                <w:sz w:val="20"/>
              </w:rPr>
              <w:t>[25]</w:t>
            </w:r>
            <w:r w:rsidRPr="002A063A">
              <w:rPr>
                <w:rFonts w:ascii="Arial" w:hAnsi="Arial" w:cs="Arial"/>
                <w:i/>
                <w:sz w:val="20"/>
                <w:szCs w:val="20"/>
              </w:rPr>
              <w:fldChar w:fldCharType="end"/>
            </w:r>
          </w:p>
        </w:tc>
      </w:tr>
      <w:tr w:rsidR="006A46C7" w:rsidRPr="002A063A" w14:paraId="76739E17" w14:textId="77777777" w:rsidTr="005B407D">
        <w:trPr>
          <w:trHeight w:val="246"/>
          <w:jc w:val="center"/>
        </w:trPr>
        <w:tc>
          <w:tcPr>
            <w:tcW w:w="3865" w:type="dxa"/>
          </w:tcPr>
          <w:p w14:paraId="284B1587" w14:textId="77777777" w:rsidR="006A46C7" w:rsidRPr="002A063A" w:rsidRDefault="006A46C7" w:rsidP="005B407D">
            <w:pPr>
              <w:rPr>
                <w:rFonts w:ascii="Arial" w:hAnsi="Arial" w:cs="Arial"/>
                <w:i/>
                <w:sz w:val="20"/>
                <w:szCs w:val="20"/>
              </w:rPr>
            </w:pPr>
            <w:r w:rsidRPr="002A063A">
              <w:rPr>
                <w:rFonts w:ascii="Arial" w:hAnsi="Arial" w:cs="Arial"/>
                <w:i/>
                <w:sz w:val="20"/>
                <w:szCs w:val="20"/>
              </w:rPr>
              <w:t xml:space="preserve">   Relative Risk due to prevalent HSV-2</w:t>
            </w:r>
          </w:p>
        </w:tc>
        <w:tc>
          <w:tcPr>
            <w:tcW w:w="2885" w:type="dxa"/>
          </w:tcPr>
          <w:p w14:paraId="6385A7A5"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2.7</w:t>
            </w:r>
          </w:p>
        </w:tc>
        <w:tc>
          <w:tcPr>
            <w:tcW w:w="1620" w:type="dxa"/>
          </w:tcPr>
          <w:p w14:paraId="197D4959" w14:textId="78C40574" w:rsidR="006A46C7" w:rsidRPr="002A063A" w:rsidRDefault="006A46C7" w:rsidP="005B407D">
            <w:pPr>
              <w:rPr>
                <w:rFonts w:ascii="Arial" w:hAnsi="Arial" w:cs="Arial"/>
                <w:i/>
                <w:sz w:val="20"/>
                <w:szCs w:val="20"/>
              </w:rPr>
            </w:pPr>
            <w:r w:rsidRPr="002A063A">
              <w:rPr>
                <w:rFonts w:ascii="Arial" w:hAnsi="Arial" w:cs="Arial"/>
                <w:i/>
                <w:sz w:val="20"/>
                <w:szCs w:val="20"/>
              </w:rPr>
              <w:t>Looker et al.</w:t>
            </w:r>
            <w:r w:rsidRPr="002A063A">
              <w:rPr>
                <w:rFonts w:ascii="Arial" w:hAnsi="Arial" w:cs="Arial"/>
                <w:i/>
                <w:sz w:val="20"/>
                <w:szCs w:val="20"/>
              </w:rPr>
              <w:fldChar w:fldCharType="begin"/>
            </w:r>
            <w:r w:rsidR="0081559F">
              <w:rPr>
                <w:rFonts w:ascii="Arial" w:hAnsi="Arial" w:cs="Arial"/>
                <w:i/>
                <w:sz w:val="20"/>
                <w:szCs w:val="20"/>
              </w:rPr>
              <w:instrText xml:space="preserve"> ADDIN ZOTERO_ITEM CSL_CITATION {"citationID":"GTmlbdtu","properties":{"formattedCitation":"[25]","plainCitation":"[25]","noteIndex":0},"citationItems":[{"id":1916,"uris":["http://zotero.org/users/local/p8g0WsVO/items/FKQB4V2R"],"itemData":{"id":1916,"type":"article-journal","abstract":"&lt;h2&gt;Summary&lt;/h2&gt;&lt;h3&gt;Background&lt;/h3&gt;&lt;p&gt;HIV and herpes simplex virus type 2 (HSV-2) infections cause a substantial global disease burden and are epidemiologically correlated. Two previous systematic reviews of the association between HSV-2 and HIV found evidence that HSV-2 infection increases the risk of HIV acquisition, but these reviews are now more than a decade old.&lt;/p&gt;&lt;h3&gt;Methods&lt;/h3&gt;&lt;p&gt;For this systematic review and meta-analysis, we searched PubMed, MEDLINE, and Embase (from Jan 1, 2003, to May 25, 2017) to identify studies investigating the risk of HIV acquisition after exposure to HSV-2 infection, either at baseline (prevalent HSV-2 infection) or during follow-up (incident HSV-2 infection). Studies were included if they were a cohort study, controlled trial, or case-control study (including case-control studies nested within a cohort study or clinical trial); if they assessed the effect of pre-existing HSV-2 infection on HIV acquisition; and if they determined the HSV-2 infection status of study participants with a type-specific assay. We calculated pooled random-effect estimates of the association between prevalent or incident HSV-2 infection and HIV seroconversion. We also extended previous investigations through detailed meta-regression and subgroup analyses. In particular, we investigated the effect of sex and risk group (general population &lt;i&gt;vs&lt;/i&gt; higher-risk populations) on the relative risk (RR) of HIV acquisition after prevalent or incident HSV-2 infection. Higher-risk populations included female sex workers and their clients, men who have sex with men, serodiscordant couples, and attendees of sexually transmitted infection clinics.&lt;/p&gt;&lt;h3&gt;Findings&lt;/h3&gt;&lt;p&gt;We identified 57 longitudinal studies exploring the association between HSV-2 and HIV. HIV acquisition was almost tripled in the presence of prevalent HSV-2 infection among general populations (adjusted RR 2·7, 95% CI 2·2–3·4; number of estimates [N&lt;sub&gt;e&lt;/sub&gt;]=22) and was roughly doubled among higher-risk populations (1·7, 1·4–2·1; N&lt;sub&gt;e&lt;/sub&gt;=25). Incident HSV-2 infection in general populations was associated with the highest risk of acquisition of HIV (4·7, 2·2–10·1; N&lt;sub&gt;e&lt;/sub&gt;=6). Adjustment for confounders at the study level was often incomplete but did not significantly affect the results. We found moderate heterogeneity across study estimates, which was explained by risk group, world region, and HSV-2 exposure type (prevalent &lt;i&gt;vs&lt;/i&gt; incident).&lt;/p&gt;&lt;h3&gt;Interpretation&lt;/h3&gt;&lt;p&gt;We found evidence that HSV-2 infection increases the risk of HIV acquisition. This finding has important implications for management of individuals diagnosed with HSV-2 infection, particularly for those who are newly infected. Interventions targeting HSV-2, such as new HSV vaccines, have the potential for additional benefit against HIV, which could be particularly powerful in regions with a high incidence of co-infection.&lt;/p&gt;&lt;h3&gt;Funding&lt;/h3&gt;&lt;p&gt;World Health Organization.&lt;/p&gt;","container-title":"The Lancet Infectious Diseases","DOI":"10.1016/S1473-3099(17)30405-X","ISSN":"1473-3099, 1474-4457","issue":"12","journalAbbreviation":"The Lancet Infectious Diseases","language":"English","note":"PMID: 28843576, 28843576","page":"1303-1316","source":"www.thelancet.com","title":"Effect of HSV-2 infection on subsequent HIV acquisition: an updated systematic review and meta-analysis","title-short":"Effect of HSV-2 infection on subsequent HIV acquisition","URL":"https://www.thelancet.com/journals/laninf/article/PIIS1473-3099(17)30405-X/abstract","volume":"17","author":[{"family":"Looker","given":"Katharine J."},{"family":"Elmes","given":"Jocelyn A. R."},{"family":"Gottlieb","given":"Sami L."},{"family":"Schiffer","given":"Joshua T."},{"family":"Vickerman","given":"Peter"},{"family":"Turner","given":"Katherine M. E."},{"family":"Boily","given":"Marie-Claude"}],"accessed":{"date-parts":[["2018",7,28]]},"issued":{"date-parts":[["2017",12,1]]}}}],"schema":"https://github.com/citation-style-language/schema/raw/master/csl-citation.json"} </w:instrText>
            </w:r>
            <w:r w:rsidRPr="002A063A">
              <w:rPr>
                <w:rFonts w:ascii="Arial" w:hAnsi="Arial" w:cs="Arial"/>
                <w:i/>
                <w:sz w:val="20"/>
                <w:szCs w:val="20"/>
              </w:rPr>
              <w:fldChar w:fldCharType="separate"/>
            </w:r>
            <w:r w:rsidR="0081559F">
              <w:rPr>
                <w:rFonts w:ascii="Arial" w:hAnsi="Arial" w:cs="Arial"/>
                <w:sz w:val="20"/>
              </w:rPr>
              <w:t>[25]</w:t>
            </w:r>
            <w:r w:rsidRPr="002A063A">
              <w:rPr>
                <w:rFonts w:ascii="Arial" w:hAnsi="Arial" w:cs="Arial"/>
                <w:i/>
                <w:sz w:val="20"/>
                <w:szCs w:val="20"/>
              </w:rPr>
              <w:fldChar w:fldCharType="end"/>
            </w:r>
          </w:p>
        </w:tc>
      </w:tr>
      <w:tr w:rsidR="006A46C7" w:rsidRPr="002A063A" w14:paraId="2139A1C1" w14:textId="77777777" w:rsidTr="005B407D">
        <w:trPr>
          <w:trHeight w:val="246"/>
          <w:jc w:val="center"/>
        </w:trPr>
        <w:tc>
          <w:tcPr>
            <w:tcW w:w="3865" w:type="dxa"/>
          </w:tcPr>
          <w:p w14:paraId="4C84D27D" w14:textId="77777777" w:rsidR="006A46C7" w:rsidRPr="002A063A" w:rsidRDefault="006A46C7" w:rsidP="005B407D">
            <w:pPr>
              <w:rPr>
                <w:rFonts w:ascii="Arial" w:hAnsi="Arial" w:cs="Arial"/>
                <w:i/>
                <w:sz w:val="20"/>
                <w:szCs w:val="20"/>
              </w:rPr>
            </w:pPr>
            <w:r w:rsidRPr="002A063A">
              <w:rPr>
                <w:rFonts w:ascii="Arial" w:hAnsi="Arial" w:cs="Arial"/>
                <w:i/>
                <w:sz w:val="20"/>
                <w:szCs w:val="20"/>
              </w:rPr>
              <w:t xml:space="preserve">   Proportion of HIV population working</w:t>
            </w:r>
          </w:p>
        </w:tc>
        <w:tc>
          <w:tcPr>
            <w:tcW w:w="2885" w:type="dxa"/>
          </w:tcPr>
          <w:p w14:paraId="1E8BE240"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90%</w:t>
            </w:r>
          </w:p>
        </w:tc>
        <w:tc>
          <w:tcPr>
            <w:tcW w:w="1620" w:type="dxa"/>
          </w:tcPr>
          <w:p w14:paraId="777366BF" w14:textId="7C22293D" w:rsidR="006A46C7" w:rsidRPr="002A063A" w:rsidRDefault="006A46C7" w:rsidP="005B407D">
            <w:pPr>
              <w:rPr>
                <w:rFonts w:ascii="Arial" w:hAnsi="Arial" w:cs="Arial"/>
                <w:i/>
                <w:sz w:val="20"/>
                <w:szCs w:val="20"/>
              </w:rPr>
            </w:pPr>
            <w:r w:rsidRPr="002A063A">
              <w:rPr>
                <w:rFonts w:ascii="Arial" w:hAnsi="Arial" w:cs="Arial"/>
                <w:i/>
                <w:sz w:val="20"/>
                <w:szCs w:val="20"/>
              </w:rPr>
              <w:t>UNAIDS</w:t>
            </w:r>
            <w:r w:rsidRPr="002A063A">
              <w:rPr>
                <w:rFonts w:ascii="Arial" w:hAnsi="Arial" w:cs="Arial"/>
                <w:i/>
                <w:sz w:val="20"/>
                <w:szCs w:val="20"/>
              </w:rPr>
              <w:fldChar w:fldCharType="begin"/>
            </w:r>
            <w:r w:rsidR="0081559F">
              <w:rPr>
                <w:rFonts w:ascii="Arial" w:hAnsi="Arial" w:cs="Arial"/>
                <w:i/>
                <w:sz w:val="20"/>
                <w:szCs w:val="20"/>
              </w:rPr>
              <w:instrText xml:space="preserve"> ADDIN ZOTERO_ITEM CSL_CITATION {"citationID":"asb3kgt047","properties":{"formattedCitation":"[29]","plainCitation":"[29]","noteIndex":0},"citationItems":[{"id":27357,"uris":["http://zotero.org/users/local/p8g0WsVO/items/FYDHSEXS"],"itemData":{"id":27357,"type":"webpage","language":"en","title":"AIDS Epidemic Update 2009","URL":"https://www.unaids.org/en/resources/documents/2009/20091124_jc1700_epi_update_2009_en.pdf","accessed":{"date-parts":[["2019",10,27]]}}}],"schema":"https://github.com/citation-style-language/schema/raw/master/csl-citation.json"} </w:instrText>
            </w:r>
            <w:r w:rsidRPr="002A063A">
              <w:rPr>
                <w:rFonts w:ascii="Arial" w:hAnsi="Arial" w:cs="Arial"/>
                <w:i/>
                <w:sz w:val="20"/>
                <w:szCs w:val="20"/>
              </w:rPr>
              <w:fldChar w:fldCharType="separate"/>
            </w:r>
            <w:r w:rsidR="0081559F">
              <w:rPr>
                <w:rFonts w:ascii="Arial" w:hAnsi="Arial" w:cs="Arial"/>
                <w:sz w:val="20"/>
              </w:rPr>
              <w:t>[29]</w:t>
            </w:r>
            <w:r w:rsidRPr="002A063A">
              <w:rPr>
                <w:rFonts w:ascii="Arial" w:hAnsi="Arial" w:cs="Arial"/>
                <w:i/>
                <w:sz w:val="20"/>
                <w:szCs w:val="20"/>
              </w:rPr>
              <w:fldChar w:fldCharType="end"/>
            </w:r>
          </w:p>
        </w:tc>
      </w:tr>
      <w:tr w:rsidR="006A46C7" w:rsidRPr="002A063A" w14:paraId="07AA2BE1" w14:textId="77777777" w:rsidTr="005B407D">
        <w:trPr>
          <w:trHeight w:val="246"/>
          <w:jc w:val="center"/>
        </w:trPr>
        <w:tc>
          <w:tcPr>
            <w:tcW w:w="3865" w:type="dxa"/>
          </w:tcPr>
          <w:p w14:paraId="3AFF2009" w14:textId="77777777" w:rsidR="006A46C7" w:rsidRPr="002A063A" w:rsidRDefault="006A46C7" w:rsidP="005B407D">
            <w:pPr>
              <w:rPr>
                <w:rFonts w:ascii="Arial" w:hAnsi="Arial" w:cs="Arial"/>
                <w:i/>
                <w:sz w:val="20"/>
                <w:szCs w:val="20"/>
              </w:rPr>
            </w:pPr>
            <w:r w:rsidRPr="002A063A">
              <w:rPr>
                <w:rFonts w:ascii="Arial" w:hAnsi="Arial" w:cs="Arial"/>
                <w:i/>
                <w:sz w:val="20"/>
                <w:szCs w:val="20"/>
              </w:rPr>
              <w:t xml:space="preserve">   Absent days when on ART for six months</w:t>
            </w:r>
          </w:p>
        </w:tc>
        <w:tc>
          <w:tcPr>
            <w:tcW w:w="2885" w:type="dxa"/>
          </w:tcPr>
          <w:p w14:paraId="687CD894"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2.52 days per month</w:t>
            </w:r>
          </w:p>
        </w:tc>
        <w:tc>
          <w:tcPr>
            <w:tcW w:w="1620" w:type="dxa"/>
          </w:tcPr>
          <w:p w14:paraId="188D8168" w14:textId="77777777" w:rsidR="006A46C7" w:rsidRPr="002A063A" w:rsidRDefault="006A46C7" w:rsidP="005B407D">
            <w:pPr>
              <w:rPr>
                <w:rFonts w:ascii="Arial" w:hAnsi="Arial" w:cs="Arial"/>
                <w:i/>
                <w:sz w:val="20"/>
                <w:szCs w:val="20"/>
              </w:rPr>
            </w:pPr>
            <w:r w:rsidRPr="002A063A">
              <w:rPr>
                <w:rFonts w:ascii="Arial" w:hAnsi="Arial" w:cs="Arial"/>
                <w:i/>
                <w:sz w:val="20"/>
                <w:szCs w:val="20"/>
              </w:rPr>
              <w:t>Calculated based on literature</w:t>
            </w:r>
          </w:p>
        </w:tc>
      </w:tr>
      <w:tr w:rsidR="006A46C7" w:rsidRPr="002A063A" w14:paraId="62013141" w14:textId="77777777" w:rsidTr="005B407D">
        <w:trPr>
          <w:trHeight w:val="246"/>
          <w:jc w:val="center"/>
        </w:trPr>
        <w:tc>
          <w:tcPr>
            <w:tcW w:w="3865" w:type="dxa"/>
          </w:tcPr>
          <w:p w14:paraId="266219F3" w14:textId="77777777" w:rsidR="006A46C7" w:rsidRPr="002A063A" w:rsidRDefault="006A46C7" w:rsidP="005B407D">
            <w:pPr>
              <w:jc w:val="both"/>
              <w:rPr>
                <w:rFonts w:ascii="Arial" w:hAnsi="Arial" w:cs="Arial"/>
                <w:i/>
                <w:sz w:val="20"/>
                <w:szCs w:val="20"/>
              </w:rPr>
            </w:pPr>
            <w:r w:rsidRPr="002A063A">
              <w:rPr>
                <w:rFonts w:ascii="Arial" w:hAnsi="Arial" w:cs="Arial"/>
                <w:i/>
                <w:sz w:val="20"/>
                <w:szCs w:val="20"/>
              </w:rPr>
              <w:t xml:space="preserve">  Absent days when not on ART</w:t>
            </w:r>
          </w:p>
        </w:tc>
        <w:tc>
          <w:tcPr>
            <w:tcW w:w="2885" w:type="dxa"/>
          </w:tcPr>
          <w:p w14:paraId="1C8A567F"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5.31 days per month</w:t>
            </w:r>
          </w:p>
        </w:tc>
        <w:tc>
          <w:tcPr>
            <w:tcW w:w="1620" w:type="dxa"/>
          </w:tcPr>
          <w:p w14:paraId="02250A1A" w14:textId="77777777" w:rsidR="006A46C7" w:rsidRPr="002A063A" w:rsidRDefault="006A46C7" w:rsidP="005B407D">
            <w:pPr>
              <w:rPr>
                <w:rFonts w:ascii="Arial" w:hAnsi="Arial" w:cs="Arial"/>
                <w:i/>
                <w:sz w:val="20"/>
                <w:szCs w:val="20"/>
              </w:rPr>
            </w:pPr>
            <w:r w:rsidRPr="002A063A">
              <w:rPr>
                <w:rFonts w:ascii="Arial" w:hAnsi="Arial" w:cs="Arial"/>
                <w:i/>
                <w:sz w:val="20"/>
                <w:szCs w:val="20"/>
              </w:rPr>
              <w:t>Calculated based on literature</w:t>
            </w:r>
          </w:p>
        </w:tc>
      </w:tr>
      <w:tr w:rsidR="006A46C7" w:rsidRPr="002A063A" w14:paraId="06F4F00A" w14:textId="77777777" w:rsidTr="005B407D">
        <w:trPr>
          <w:trHeight w:val="246"/>
          <w:jc w:val="center"/>
        </w:trPr>
        <w:tc>
          <w:tcPr>
            <w:tcW w:w="3865" w:type="dxa"/>
          </w:tcPr>
          <w:p w14:paraId="62CB7217" w14:textId="77777777" w:rsidR="006A46C7" w:rsidRPr="002A063A" w:rsidRDefault="006A46C7" w:rsidP="005B407D">
            <w:pPr>
              <w:rPr>
                <w:rFonts w:ascii="Arial" w:hAnsi="Arial" w:cs="Arial"/>
                <w:i/>
                <w:sz w:val="20"/>
                <w:szCs w:val="20"/>
              </w:rPr>
            </w:pPr>
            <w:r w:rsidRPr="002A063A">
              <w:rPr>
                <w:rFonts w:ascii="Arial" w:hAnsi="Arial" w:cs="Arial"/>
                <w:i/>
                <w:sz w:val="20"/>
                <w:szCs w:val="20"/>
              </w:rPr>
              <w:t>Survival with/without ART</w:t>
            </w:r>
          </w:p>
        </w:tc>
        <w:tc>
          <w:tcPr>
            <w:tcW w:w="2885" w:type="dxa"/>
          </w:tcPr>
          <w:p w14:paraId="31E4C748"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79.5%</w:t>
            </w:r>
          </w:p>
          <w:p w14:paraId="30BDD05A"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(at 12 months)</w:t>
            </w:r>
          </w:p>
          <w:p w14:paraId="7CEED333"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 xml:space="preserve">96% </w:t>
            </w:r>
          </w:p>
          <w:p w14:paraId="712948CE"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 following year)</w:t>
            </w:r>
          </w:p>
        </w:tc>
        <w:tc>
          <w:tcPr>
            <w:tcW w:w="1620" w:type="dxa"/>
          </w:tcPr>
          <w:p w14:paraId="57DAFBA6" w14:textId="367B6423" w:rsidR="006A46C7" w:rsidRPr="002A063A" w:rsidRDefault="006A46C7" w:rsidP="005B407D">
            <w:pPr>
              <w:rPr>
                <w:rFonts w:ascii="Arial" w:hAnsi="Arial" w:cs="Arial"/>
                <w:i/>
                <w:sz w:val="20"/>
                <w:szCs w:val="20"/>
              </w:rPr>
            </w:pPr>
            <w:r w:rsidRPr="002A063A">
              <w:rPr>
                <w:rFonts w:ascii="Arial" w:hAnsi="Arial" w:cs="Arial"/>
                <w:i/>
                <w:sz w:val="20"/>
                <w:szCs w:val="20"/>
              </w:rPr>
              <w:t>Stover et al.</w:t>
            </w:r>
            <w:r w:rsidRPr="002A063A">
              <w:rPr>
                <w:rFonts w:ascii="Arial" w:hAnsi="Arial" w:cs="Arial"/>
                <w:i/>
                <w:sz w:val="20"/>
                <w:szCs w:val="20"/>
              </w:rPr>
              <w:fldChar w:fldCharType="begin"/>
            </w:r>
            <w:r w:rsidR="0081559F">
              <w:rPr>
                <w:rFonts w:ascii="Arial" w:hAnsi="Arial" w:cs="Arial"/>
                <w:i/>
                <w:sz w:val="20"/>
                <w:szCs w:val="20"/>
              </w:rPr>
              <w:instrText xml:space="preserve"> ADDIN ZOTERO_ITEM CSL_CITATION {"citationID":"a25ioftt9n9","properties":{"formattedCitation":"[30]","plainCitation":"[30]","noteIndex":0},"citationItems":[{"id":27165,"uris":["http://zotero.org/users/local/p8g0WsVO/items/SAZL93KJ"],"itemData":{"id":27165,"type":"article-journal","abstract":"Background By the end of 2011 Global Fund investments will be supporting 3.5 million people on antiretroviral therapy (ART) in 104 low- and middle-income countries. We estimated the cost and health impact of continuing treatment for these patients through 2020. Methods and Findings Survival on first-line and second-line ART regimens is estimated based on annual retention rates reported by national AIDS programs. Costs per patient-year were calculated from country-reported ARV procurement prices, and expenditures on laboratory tests, health care utilization and end-of-life care from in-depth costing studies. Of the 3.5 million ART patients in 2011, 2.3 million will still need treatment in 2020. The annual cost of maintaining ART falls from $1.9 billion in 2011 to $1.7 billion in 2020, as a result of a declining number of surviving patients partially offset by increasing costs as more patients migrate to second-line therapy. The Global Fund is expected to continue being a major contributor to meeting this financial need, alongside other international funders and domestic resources. Costs would be $150 million less in 2020 with an annual 5% decline in first-line ARV prices and $150–370 million less with a 5%–12% annual decline in second-line prices, but $200 million higher in 2020 with phase out of stavudine (d4T), or $200 million higher with increased migration to second-line regimens expected if all countries routinely adopted viral load monitoring. Deaths postponed by ART correspond to 830,000 life-years saved in 2011, increasing to around 2.3 million life-years every year between 2015 and 2020. Conclusions Annual patient-level direct costs of supporting a patient cohort remain fairly stable over 2011–2020, if current antiretroviral prices and delivery costs are maintained. Second-line antiretroviral prices are a major cost driver, underscoring the importance of investing in treatment quality to improve retention on first-line regimens.","container-title":"PLOS ONE","DOI":"10.1371/journal.pone.0021048","ISSN":"1932-6203","issue":"6","journalAbbreviation":"PLOS ONE","language":"en","page":"e21048","source":"PLoS Journals","title":"Long-Term Costs and Health Impact of Continued Global Fund Support for Antiretroviral Therapy","URL":"https://journals.plos.org/plosone/article?id=10.1371/journal.pone.0021048","volume":"6","author":[{"family":"Stover","given":"John"},{"family":"Korenromp","given":"Eline L."},{"family":"Blakley","given":"Matthew"},{"family":"Komatsu","given":"Ryuichi"},{"family":"Viisainen","given":"Kirsi"},{"family":"Bollinger","given":"Lori"},{"family":"Atun","given":"Rifat"}],"accessed":{"date-parts":[["2019",5,27]]},"issued":{"date-parts":[["2011",6,23]]}}}],"schema":"https://github.com/citation-style-language/schema/raw/master/csl-citation.json"} </w:instrText>
            </w:r>
            <w:r w:rsidRPr="002A063A">
              <w:rPr>
                <w:rFonts w:ascii="Arial" w:hAnsi="Arial" w:cs="Arial"/>
                <w:i/>
                <w:sz w:val="20"/>
                <w:szCs w:val="20"/>
              </w:rPr>
              <w:fldChar w:fldCharType="separate"/>
            </w:r>
            <w:r w:rsidR="0081559F">
              <w:rPr>
                <w:rFonts w:ascii="Arial" w:hAnsi="Arial" w:cs="Arial"/>
                <w:sz w:val="20"/>
              </w:rPr>
              <w:t>[30]</w:t>
            </w:r>
            <w:r w:rsidRPr="002A063A">
              <w:rPr>
                <w:rFonts w:ascii="Arial" w:hAnsi="Arial" w:cs="Arial"/>
                <w:i/>
                <w:sz w:val="20"/>
                <w:szCs w:val="20"/>
              </w:rPr>
              <w:fldChar w:fldCharType="end"/>
            </w:r>
          </w:p>
        </w:tc>
      </w:tr>
      <w:tr w:rsidR="006A46C7" w:rsidRPr="002A063A" w14:paraId="787B6D8A" w14:textId="77777777" w:rsidTr="005B407D">
        <w:trPr>
          <w:trHeight w:val="246"/>
          <w:jc w:val="center"/>
        </w:trPr>
        <w:tc>
          <w:tcPr>
            <w:tcW w:w="3865" w:type="dxa"/>
          </w:tcPr>
          <w:p w14:paraId="7DA97636" w14:textId="77777777" w:rsidR="006A46C7" w:rsidRPr="002A063A" w:rsidRDefault="006A46C7" w:rsidP="005B407D">
            <w:pPr>
              <w:rPr>
                <w:rFonts w:ascii="Arial" w:hAnsi="Arial" w:cs="Arial"/>
                <w:i/>
                <w:sz w:val="20"/>
                <w:szCs w:val="20"/>
              </w:rPr>
            </w:pPr>
            <w:r w:rsidRPr="002A063A">
              <w:rPr>
                <w:rFonts w:ascii="Arial" w:hAnsi="Arial" w:cs="Arial"/>
                <w:i/>
                <w:sz w:val="20"/>
                <w:szCs w:val="20"/>
              </w:rPr>
              <w:t>Utilization for end-of-life care when not on ART</w:t>
            </w:r>
          </w:p>
        </w:tc>
        <w:tc>
          <w:tcPr>
            <w:tcW w:w="2885" w:type="dxa"/>
          </w:tcPr>
          <w:p w14:paraId="6928F9DD"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9.7 inpatient days</w:t>
            </w:r>
          </w:p>
          <w:p w14:paraId="6406840D"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5.5 outpatient</w:t>
            </w:r>
          </w:p>
        </w:tc>
        <w:tc>
          <w:tcPr>
            <w:tcW w:w="1620" w:type="dxa"/>
          </w:tcPr>
          <w:p w14:paraId="6904CEB9" w14:textId="19E760C9" w:rsidR="006A46C7" w:rsidRPr="002A063A" w:rsidRDefault="006A46C7" w:rsidP="005B407D">
            <w:pPr>
              <w:rPr>
                <w:rFonts w:ascii="Arial" w:hAnsi="Arial" w:cs="Arial"/>
                <w:i/>
                <w:sz w:val="20"/>
                <w:szCs w:val="20"/>
              </w:rPr>
            </w:pPr>
            <w:r w:rsidRPr="002A063A">
              <w:rPr>
                <w:rFonts w:ascii="Arial" w:hAnsi="Arial" w:cs="Arial"/>
                <w:i/>
                <w:sz w:val="20"/>
                <w:szCs w:val="20"/>
              </w:rPr>
              <w:t>Stover et al.</w:t>
            </w:r>
            <w:r w:rsidRPr="002A063A">
              <w:rPr>
                <w:rFonts w:ascii="Arial" w:hAnsi="Arial" w:cs="Arial"/>
                <w:i/>
                <w:sz w:val="20"/>
                <w:szCs w:val="20"/>
              </w:rPr>
              <w:fldChar w:fldCharType="begin"/>
            </w:r>
            <w:r w:rsidR="0081559F">
              <w:rPr>
                <w:rFonts w:ascii="Arial" w:hAnsi="Arial" w:cs="Arial"/>
                <w:i/>
                <w:sz w:val="20"/>
                <w:szCs w:val="20"/>
              </w:rPr>
              <w:instrText xml:space="preserve"> ADDIN ZOTERO_ITEM CSL_CITATION {"citationID":"Wk4YkWym","properties":{"formattedCitation":"[30]","plainCitation":"[30]","noteIndex":0},"citationItems":[{"id":27165,"uris":["http://zotero.org/users/local/p8g0WsVO/items/SAZL93KJ"],"itemData":{"id":27165,"type":"article-journal","abstract":"Background By the end of 2011 Global Fund investments will be supporting 3.5 million people on antiretroviral therapy (ART) in 104 low- and middle-income countries. We estimated the cost and health impact of continuing treatment for these patients through 2020. Methods and Findings Survival on first-line and second-line ART regimens is estimated based on annual retention rates reported by national AIDS programs. Costs per patient-year were calculated from country-reported ARV procurement prices, and expenditures on laboratory tests, health care utilization and end-of-life care from in-depth costing studies. Of the 3.5 million ART patients in 2011, 2.3 million will still need treatment in 2020. The annual cost of maintaining ART falls from $1.9 billion in 2011 to $1.7 billion in 2020, as a result of a declining number of surviving patients partially offset by increasing costs as more patients migrate to second-line therapy. The Global Fund is expected to continue being a major contributor to meeting this financial need, alongside other international funders and domestic resources. Costs would be $150 million less in 2020 with an annual 5% decline in first-line ARV prices and $150–370 million less with a 5%–12% annual decline in second-line prices, but $200 million higher in 2020 with phase out of stavudine (d4T), or $200 million higher with increased migration to second-line regimens expected if all countries routinely adopted viral load monitoring. Deaths postponed by ART correspond to 830,000 life-years saved in 2011, increasing to around 2.3 million life-years every year between 2015 and 2020. Conclusions Annual patient-level direct costs of supporting a patient cohort remain fairly stable over 2011–2020, if current antiretroviral prices and delivery costs are maintained. Second-line antiretroviral prices are a major cost driver, underscoring the importance of investing in treatment quality to improve retention on first-line regimens.","container-title":"PLOS ONE","DOI":"10.1371/journal.pone.0021048","ISSN":"1932-6203","issue":"6","journalAbbreviation":"PLOS ONE","language":"en","page":"e21048","source":"PLoS Journals","title":"Long-Term Costs and Health Impact of Continued Global Fund Support for Antiretroviral Therapy","URL":"https://journals.plos.org/plosone/article?id=10.1371/journal.pone.0021048","volume":"6","author":[{"family":"Stover","given":"John"},{"family":"Korenromp","given":"Eline L."},{"family":"Blakley","given":"Matthew"},{"family":"Komatsu","given":"Ryuichi"},{"family":"Viisainen","given":"Kirsi"},{"family":"Bollinger","given":"Lori"},{"family":"Atun","given":"Rifat"}],"accessed":{"date-parts":[["2019",5,27]]},"issued":{"date-parts":[["2011",6,23]]}}}],"schema":"https://github.com/citation-style-language/schema/raw/master/csl-citation.json"} </w:instrText>
            </w:r>
            <w:r w:rsidRPr="002A063A">
              <w:rPr>
                <w:rFonts w:ascii="Arial" w:hAnsi="Arial" w:cs="Arial"/>
                <w:i/>
                <w:sz w:val="20"/>
                <w:szCs w:val="20"/>
              </w:rPr>
              <w:fldChar w:fldCharType="separate"/>
            </w:r>
            <w:r w:rsidR="0081559F">
              <w:rPr>
                <w:rFonts w:ascii="Arial" w:hAnsi="Arial" w:cs="Arial"/>
                <w:sz w:val="20"/>
              </w:rPr>
              <w:t>[30]</w:t>
            </w:r>
            <w:r w:rsidRPr="002A063A">
              <w:rPr>
                <w:rFonts w:ascii="Arial" w:hAnsi="Arial" w:cs="Arial"/>
                <w:i/>
                <w:sz w:val="20"/>
                <w:szCs w:val="20"/>
              </w:rPr>
              <w:fldChar w:fldCharType="end"/>
            </w:r>
          </w:p>
        </w:tc>
      </w:tr>
      <w:tr w:rsidR="006A46C7" w:rsidRPr="002A063A" w14:paraId="56183391" w14:textId="77777777" w:rsidTr="005B407D">
        <w:trPr>
          <w:trHeight w:val="246"/>
          <w:jc w:val="center"/>
        </w:trPr>
        <w:tc>
          <w:tcPr>
            <w:tcW w:w="3865" w:type="dxa"/>
            <w:tcBorders>
              <w:bottom w:val="single" w:sz="4" w:space="0" w:color="auto"/>
            </w:tcBorders>
          </w:tcPr>
          <w:p w14:paraId="32263B46" w14:textId="77777777" w:rsidR="006A46C7" w:rsidRPr="002A063A" w:rsidRDefault="006A46C7" w:rsidP="005B407D">
            <w:pPr>
              <w:rPr>
                <w:rFonts w:ascii="Arial" w:hAnsi="Arial" w:cs="Arial"/>
                <w:i/>
                <w:sz w:val="20"/>
                <w:szCs w:val="20"/>
              </w:rPr>
            </w:pPr>
            <w:r w:rsidRPr="002A063A">
              <w:rPr>
                <w:rFonts w:ascii="Arial" w:hAnsi="Arial" w:cs="Arial"/>
                <w:i/>
                <w:sz w:val="20"/>
                <w:szCs w:val="20"/>
              </w:rPr>
              <w:t>Utilization of end-of-life care when on ART</w:t>
            </w:r>
          </w:p>
        </w:tc>
        <w:tc>
          <w:tcPr>
            <w:tcW w:w="2885" w:type="dxa"/>
            <w:tcBorders>
              <w:bottom w:val="single" w:sz="4" w:space="0" w:color="auto"/>
            </w:tcBorders>
          </w:tcPr>
          <w:p w14:paraId="7FBCB4E2" w14:textId="77777777" w:rsidR="006A46C7" w:rsidRPr="002A063A" w:rsidRDefault="006A46C7" w:rsidP="005B407D">
            <w:pPr>
              <w:jc w:val="center"/>
              <w:rPr>
                <w:rFonts w:ascii="Arial" w:hAnsi="Arial" w:cs="Arial"/>
                <w:i/>
                <w:sz w:val="20"/>
                <w:szCs w:val="20"/>
              </w:rPr>
            </w:pPr>
            <w:r w:rsidRPr="002A063A">
              <w:rPr>
                <w:rFonts w:ascii="Arial" w:hAnsi="Arial" w:cs="Arial"/>
                <w:i/>
                <w:sz w:val="20"/>
                <w:szCs w:val="20"/>
              </w:rPr>
              <w:t>1/3 of cost without ART</w:t>
            </w:r>
          </w:p>
        </w:tc>
        <w:tc>
          <w:tcPr>
            <w:tcW w:w="1620" w:type="dxa"/>
            <w:tcBorders>
              <w:bottom w:val="single" w:sz="4" w:space="0" w:color="auto"/>
            </w:tcBorders>
          </w:tcPr>
          <w:p w14:paraId="057434BF" w14:textId="6EDCC687" w:rsidR="006A46C7" w:rsidRPr="002A063A" w:rsidRDefault="006A46C7" w:rsidP="005B407D">
            <w:pPr>
              <w:rPr>
                <w:rFonts w:ascii="Arial" w:hAnsi="Arial" w:cs="Arial"/>
                <w:i/>
                <w:sz w:val="20"/>
                <w:szCs w:val="20"/>
              </w:rPr>
            </w:pPr>
            <w:r w:rsidRPr="002A063A">
              <w:rPr>
                <w:rFonts w:ascii="Arial" w:hAnsi="Arial" w:cs="Arial"/>
                <w:i/>
                <w:sz w:val="20"/>
                <w:szCs w:val="20"/>
              </w:rPr>
              <w:t>Stover et al.</w:t>
            </w:r>
            <w:r w:rsidRPr="002A063A">
              <w:rPr>
                <w:rFonts w:ascii="Arial" w:hAnsi="Arial" w:cs="Arial"/>
                <w:i/>
                <w:sz w:val="20"/>
                <w:szCs w:val="20"/>
              </w:rPr>
              <w:fldChar w:fldCharType="begin"/>
            </w:r>
            <w:r w:rsidR="0081559F">
              <w:rPr>
                <w:rFonts w:ascii="Arial" w:hAnsi="Arial" w:cs="Arial"/>
                <w:i/>
                <w:sz w:val="20"/>
                <w:szCs w:val="20"/>
              </w:rPr>
              <w:instrText xml:space="preserve"> ADDIN ZOTERO_ITEM CSL_CITATION {"citationID":"uQvmmqQc","properties":{"formattedCitation":"[30]","plainCitation":"[30]","noteIndex":0},"citationItems":[{"id":27165,"uris":["http://zotero.org/users/local/p8g0WsVO/items/SAZL93KJ"],"itemData":{"id":27165,"type":"article-journal","abstract":"Background By the end of 2011 Global Fund investments will be supporting 3.5 million people on antiretroviral therapy (ART) in 104 low- and middle-income countries. We estimated the cost and health impact of continuing treatment for these patients through 2020. Methods and Findings Survival on first-line and second-line ART regimens is estimated based on annual retention rates reported by national AIDS programs. Costs per patient-year were calculated from country-reported ARV procurement prices, and expenditures on laboratory tests, health care utilization and end-of-life care from in-depth costing studies. Of the 3.5 million ART patients in 2011, 2.3 million will still need treatment in 2020. The annual cost of maintaining ART falls from $1.9 billion in 2011 to $1.7 billion in 2020, as a result of a declining number of surviving patients partially offset by increasing costs as more patients migrate to second-line therapy. The Global Fund is expected to continue being a major contributor to meeting this financial need, alongside other international funders and domestic resources. Costs would be $150 million less in 2020 with an annual 5% decline in first-line ARV prices and $150–370 million less with a 5%–12% annual decline in second-line prices, but $200 million higher in 2020 with phase out of stavudine (d4T), or $200 million higher with increased migration to second-line regimens expected if all countries routinely adopted viral load monitoring. Deaths postponed by ART correspond to 830,000 life-years saved in 2011, increasing to around 2.3 million life-years every year between 2015 and 2020. Conclusions Annual patient-level direct costs of supporting a patient cohort remain fairly stable over 2011–2020, if current antiretroviral prices and delivery costs are maintained. Second-line antiretroviral prices are a major cost driver, underscoring the importance of investing in treatment quality to improve retention on first-line regimens.","container-title":"PLOS ONE","DOI":"10.1371/journal.pone.0021048","ISSN":"1932-6203","issue":"6","journalAbbreviation":"PLOS ONE","language":"en","page":"e21048","source":"PLoS Journals","title":"Long-Term Costs and Health Impact of Continued Global Fund Support for Antiretroviral Therapy","URL":"https://journals.plos.org/plosone/article?id=10.1371/journal.pone.0021048","volume":"6","author":[{"family":"Stover","given":"John"},{"family":"Korenromp","given":"Eline L."},{"family":"Blakley","given":"Matthew"},{"family":"Komatsu","given":"Ryuichi"},{"family":"Viisainen","given":"Kirsi"},{"family":"Bollinger","given":"Lori"},{"family":"Atun","given":"Rifat"}],"accessed":{"date-parts":[["2019",5,27]]},"issued":{"date-parts":[["2011",6,23]]}}}],"schema":"https://github.com/citation-style-language/schema/raw/master/csl-citation.json"} </w:instrText>
            </w:r>
            <w:r w:rsidRPr="002A063A">
              <w:rPr>
                <w:rFonts w:ascii="Arial" w:hAnsi="Arial" w:cs="Arial"/>
                <w:i/>
                <w:sz w:val="20"/>
                <w:szCs w:val="20"/>
              </w:rPr>
              <w:fldChar w:fldCharType="separate"/>
            </w:r>
            <w:r w:rsidR="0081559F">
              <w:rPr>
                <w:rFonts w:ascii="Arial" w:hAnsi="Arial" w:cs="Arial"/>
                <w:sz w:val="20"/>
              </w:rPr>
              <w:t>[30]</w:t>
            </w:r>
            <w:r w:rsidRPr="002A063A">
              <w:rPr>
                <w:rFonts w:ascii="Arial" w:hAnsi="Arial" w:cs="Arial"/>
                <w:i/>
                <w:sz w:val="20"/>
                <w:szCs w:val="20"/>
              </w:rPr>
              <w:fldChar w:fldCharType="end"/>
            </w:r>
          </w:p>
        </w:tc>
      </w:tr>
    </w:tbl>
    <w:p w14:paraId="5168135C" w14:textId="2A859BC7" w:rsidR="006A46C7" w:rsidRDefault="006A46C7" w:rsidP="00EC4166">
      <w:pPr>
        <w:rPr>
          <w:rFonts w:ascii="Arial" w:hAnsi="Arial" w:cs="Arial"/>
          <w:sz w:val="22"/>
          <w:szCs w:val="22"/>
        </w:rPr>
      </w:pPr>
    </w:p>
    <w:p w14:paraId="225FA0F6" w14:textId="77777777" w:rsidR="00F97CEE" w:rsidRDefault="00F97CEE" w:rsidP="00EC4166">
      <w:pPr>
        <w:rPr>
          <w:rFonts w:ascii="Arial" w:hAnsi="Arial" w:cs="Arial"/>
          <w:sz w:val="22"/>
          <w:szCs w:val="22"/>
        </w:rPr>
      </w:pPr>
    </w:p>
    <w:p w14:paraId="2A4A2EFA" w14:textId="44C99708" w:rsidR="005B0BB7" w:rsidRDefault="005B0BB7" w:rsidP="0041570D">
      <w:pPr>
        <w:pStyle w:val="Heading2"/>
      </w:pPr>
      <w:bookmarkStart w:id="37" w:name="_Toc64459921"/>
      <w:bookmarkStart w:id="38" w:name="_Toc81857627"/>
      <w:r>
        <w:t xml:space="preserve">Section 5. </w:t>
      </w:r>
      <w:r w:rsidR="009D0007">
        <w:t xml:space="preserve">WHO </w:t>
      </w:r>
      <w:r w:rsidR="000B7476">
        <w:t>AFRICA</w:t>
      </w:r>
      <w:r>
        <w:t xml:space="preserve"> Region Estimates</w:t>
      </w:r>
      <w:bookmarkEnd w:id="37"/>
      <w:bookmarkEnd w:id="38"/>
    </w:p>
    <w:p w14:paraId="1AB21EE5" w14:textId="3E5804AB" w:rsidR="005B0BB7" w:rsidRDefault="005B0BB7" w:rsidP="005B0BB7"/>
    <w:p w14:paraId="7B70B61D" w14:textId="79DEEC60" w:rsidR="00181892" w:rsidRDefault="00181892" w:rsidP="00181892">
      <w:pPr>
        <w:pStyle w:val="Heading3"/>
        <w:numPr>
          <w:ilvl w:val="0"/>
          <w:numId w:val="20"/>
        </w:numPr>
        <w:rPr>
          <w:rFonts w:ascii="Arial" w:hAnsi="Arial" w:cs="Arial"/>
        </w:rPr>
      </w:pPr>
      <w:bookmarkStart w:id="39" w:name="_Toc64459922"/>
      <w:bookmarkStart w:id="40" w:name="_Toc81857628"/>
      <w:r>
        <w:rPr>
          <w:rFonts w:ascii="Arial" w:hAnsi="Arial" w:cs="Arial"/>
        </w:rPr>
        <w:t>Disease Burden</w:t>
      </w:r>
      <w:bookmarkEnd w:id="39"/>
      <w:bookmarkEnd w:id="40"/>
    </w:p>
    <w:p w14:paraId="347DE9D8" w14:textId="5B62C652" w:rsidR="008060F1" w:rsidRDefault="008060F1" w:rsidP="00E96E71">
      <w:pPr>
        <w:ind w:left="720"/>
        <w:jc w:val="both"/>
        <w:rPr>
          <w:rFonts w:ascii="Arial" w:hAnsi="Arial" w:cs="Arial"/>
          <w:sz w:val="22"/>
          <w:szCs w:val="22"/>
        </w:rPr>
      </w:pPr>
    </w:p>
    <w:p w14:paraId="235F5DBB" w14:textId="5CCA47BB" w:rsidR="004F6C22" w:rsidRDefault="004F6C22" w:rsidP="004F6C22">
      <w:pPr>
        <w:ind w:left="720"/>
        <w:jc w:val="both"/>
        <w:rPr>
          <w:rFonts w:ascii="Arial" w:hAnsi="Arial" w:cs="Arial"/>
          <w:sz w:val="22"/>
          <w:szCs w:val="22"/>
        </w:rPr>
      </w:pPr>
      <w:r>
        <w:rPr>
          <w:rFonts w:ascii="Arial" w:hAnsi="Arial" w:cs="Arial"/>
          <w:sz w:val="22"/>
          <w:szCs w:val="22"/>
        </w:rPr>
        <w:t>A deterministic compartment</w:t>
      </w:r>
      <w:r w:rsidR="000120B7">
        <w:rPr>
          <w:rFonts w:ascii="Arial" w:hAnsi="Arial" w:cs="Arial"/>
          <w:sz w:val="22"/>
          <w:szCs w:val="22"/>
        </w:rPr>
        <w:t>al</w:t>
      </w:r>
      <w:r>
        <w:rPr>
          <w:rFonts w:ascii="Arial" w:hAnsi="Arial" w:cs="Arial"/>
          <w:sz w:val="22"/>
          <w:szCs w:val="22"/>
        </w:rPr>
        <w:t xml:space="preserve"> model was developed, </w:t>
      </w:r>
      <w:r w:rsidRPr="00AC232D">
        <w:rPr>
          <w:rFonts w:ascii="Arial" w:hAnsi="Arial" w:cs="Arial"/>
          <w:sz w:val="22"/>
          <w:szCs w:val="22"/>
        </w:rPr>
        <w:t>based on extension and adaptation of earlier models</w:t>
      </w:r>
      <w:r w:rsidR="006B5FDE">
        <w:rPr>
          <w:rFonts w:ascii="Arial" w:hAnsi="Arial" w:cs="Arial"/>
          <w:sz w:val="22"/>
          <w:szCs w:val="22"/>
        </w:rPr>
        <w:fldChar w:fldCharType="begin"/>
      </w:r>
      <w:r w:rsidR="0081559F">
        <w:rPr>
          <w:rFonts w:ascii="Arial" w:hAnsi="Arial" w:cs="Arial"/>
          <w:sz w:val="22"/>
          <w:szCs w:val="22"/>
        </w:rPr>
        <w:instrText xml:space="preserve"> ADDIN ZOTERO_ITEM CSL_CITATION {"citationID":"nleN5ThQ","properties":{"formattedCitation":"[5]","plainCitation":"[5]","noteIndex":0},"citationItems":[{"id":29336,"uris":["http://zotero.org/users/local/p8g0WsVO/items/EIBC2NGU"],"itemData":{"id":29336,"type":"article-journal","abstract":"This study aims to inform herpes simplex virus type 2 (HSV-2) vaccine development, licensure, and implementation by delineating the population-level impact of vaccination. Mathematical models were constructed to describe the transmission dynamics in presence of prophylactic or therapeutic vaccines assuming 50% efficacy, with application to the United States. Catch-up prophylactic vaccination will reduce, by 2050, annual number of new infections by 58%, incidence rate by 60%, seroprevalence by 21%, and avert yearly as much as 350,000 infections. Number of vaccinations needed to avert one infection was only 50 by 2050, 34 by prioritizing those aged 15-19 years, 4 by prioritizing the highest sexual risk group, 43 by prioritizing women, and 47 by prioritizing men. Therapeutic vaccination of infected adults with symptomatic disease will reduce, by 2050, annual number of new infections by 12%, incidence rate by 13%, seroprevalence by 4%, and avert yearly as much as 76,000 infections. Number of vaccinations needed to avert one infection was eight by 2050, two by prioritizing those aged 15-19 years, three by prioritizing the highest sexual risk group, seven by prioritizing men, and ten by prioritizing women. HSV-2 vaccination offers an impactful and cost-effective intervention to prevent genital herpes medical and psychosexual disease burden.","container-title":"Vaccines","DOI":"10.3390/vaccines8030366","ISSN":"2076-393X","issue":"3","journalAbbreviation":"Vaccines (Basel)","language":"eng","note":"PMID: 32650385\nPMCID: PMC7564812","source":"PubMed","title":"Epidemiological Impact of Novel Preventive and Therapeutic HSV-2 Vaccination in the United States: Mathematical Modeling Analyses","title-short":"Epidemiological Impact of Novel Preventive and Therapeutic HSV-2 Vaccination in the United States","volume":"8","author":[{"family":"Ayoub","given":"Houssein H."},{"family":"Chemaitelly","given":"Hiam"},{"family":"Abu-Raddad","given":"Laith J."}],"issued":{"date-parts":[["2020",7,8]]}}}],"schema":"https://github.com/citation-style-language/schema/raw/master/csl-citation.json"} </w:instrText>
      </w:r>
      <w:r w:rsidR="006B5FDE">
        <w:rPr>
          <w:rFonts w:ascii="Arial" w:hAnsi="Arial" w:cs="Arial"/>
          <w:sz w:val="22"/>
          <w:szCs w:val="22"/>
        </w:rPr>
        <w:fldChar w:fldCharType="separate"/>
      </w:r>
      <w:r w:rsidR="0081559F">
        <w:rPr>
          <w:rFonts w:ascii="Arial" w:hAnsi="Arial" w:cs="Arial"/>
          <w:sz w:val="22"/>
        </w:rPr>
        <w:t>[5]</w:t>
      </w:r>
      <w:r w:rsidR="006B5FDE">
        <w:rPr>
          <w:rFonts w:ascii="Arial" w:hAnsi="Arial" w:cs="Arial"/>
          <w:sz w:val="22"/>
          <w:szCs w:val="22"/>
        </w:rPr>
        <w:fldChar w:fldCharType="end"/>
      </w:r>
      <w:r w:rsidR="006B5FDE">
        <w:rPr>
          <w:rFonts w:ascii="Arial" w:hAnsi="Arial" w:cs="Arial"/>
          <w:sz w:val="22"/>
          <w:szCs w:val="22"/>
        </w:rPr>
        <w:t xml:space="preserve">, </w:t>
      </w:r>
      <w:r w:rsidR="006B5FDE">
        <w:rPr>
          <w:rFonts w:ascii="Arial" w:hAnsi="Arial" w:cs="Arial"/>
          <w:sz w:val="22"/>
          <w:szCs w:val="22"/>
        </w:rPr>
        <w:fldChar w:fldCharType="begin"/>
      </w:r>
      <w:r w:rsidR="0081559F">
        <w:rPr>
          <w:rFonts w:ascii="Arial" w:hAnsi="Arial" w:cs="Arial"/>
          <w:sz w:val="22"/>
          <w:szCs w:val="22"/>
        </w:rPr>
        <w:instrText xml:space="preserve"> ADDIN ZOTERO_ITEM CSL_CITATION {"citationID":"AUB3mlYV","properties":{"formattedCitation":"[4]","plainCitation":"[4]","noteIndex":0},"citationItems":[{"id":29339,"uris":["http://zotero.org/users/local/p8g0WsVO/items/S4V3KKQ7"],"itemData":{"id":29339,"type":"article-journal","abstract":"We analytically characterized the past, present, and future levels and trends of the national herpes simplex virus type 2 (HSV-2) epidemic in the United States.A population-level mathematical model was constructed to describe HSV-2 transmission dynamics and was fitted to the data series of the National Health and Nutrition Examination Surveys.Over 1950-2050, antibody prevalence (seroprevalence) increased rapidly from 1960, peaking at 19.9% in 1983 in those aged 15-49, before reversing course to decline to 13.2% by 2020 and 8.5% by 2050. Incidence rate peaked in 1971 at 11.9 per 1,000 person-years, before declining by 59% by 2020 and 70% by 2050. Annual number of new infections peaked at 1,033,000 in 1978, before declining to 667,000 by 2020 and 600,000 by 2050. Women were disproportionately affected, averaging 75% higher seroprevalence, 95% higher incidence rate, and 71% higher annual number of infections. In 2020, 78% of infections were acquired by those 15-34 year-olds.The epidemic has undergone a major transition over a century, with the greatest impact in those 15-34 year-olds. In addition to 47 million prevalent infections in 2020, high incidence will persist over the next three decades, adding &amp;gt;600,000 new infections every year.","container-title":"Open Forum Infectious Diseases","DOI":"10.1093/ofid/ofab218","ISSN":"2328-8957","issue":"ofab218","journalAbbreviation":"Open Forum Infectious Diseases","source":"Silverchair","title":"Analytic characterization of the herpes simplex virus type 2 epidemic in the United States, 1950-2050","URL":"https://doi.org/10.1093/ofid/ofab218","author":[{"family":"Ayoub","given":"Houssein H"},{"family":"Amara","given":"Ibtihel"},{"family":"Awad","given":"Susanne F"},{"family":"Omori","given":"Ryosuke"},{"family":"Chemaitelly","given":"Hiam"},{"family":"Abu-Raddad","given":"Laith J"}],"accessed":{"date-parts":[["2021",5,13]]},"issued":{"date-parts":[["2021",4,29]]}}}],"schema":"https://github.com/citation-style-language/schema/raw/master/csl-citation.json"} </w:instrText>
      </w:r>
      <w:r w:rsidR="006B5FDE">
        <w:rPr>
          <w:rFonts w:ascii="Arial" w:hAnsi="Arial" w:cs="Arial"/>
          <w:sz w:val="22"/>
          <w:szCs w:val="22"/>
        </w:rPr>
        <w:fldChar w:fldCharType="separate"/>
      </w:r>
      <w:r w:rsidR="0081559F">
        <w:rPr>
          <w:rFonts w:ascii="Arial" w:hAnsi="Arial" w:cs="Arial"/>
          <w:sz w:val="22"/>
        </w:rPr>
        <w:t>[4]</w:t>
      </w:r>
      <w:r w:rsidR="006B5FDE">
        <w:rPr>
          <w:rFonts w:ascii="Arial" w:hAnsi="Arial" w:cs="Arial"/>
          <w:sz w:val="22"/>
          <w:szCs w:val="22"/>
        </w:rPr>
        <w:fldChar w:fldCharType="end"/>
      </w:r>
      <w:r>
        <w:rPr>
          <w:rFonts w:ascii="Arial" w:hAnsi="Arial" w:cs="Arial"/>
          <w:sz w:val="22"/>
          <w:szCs w:val="22"/>
        </w:rPr>
        <w:t xml:space="preserve">, to describe HSV-2 transmission in </w:t>
      </w:r>
      <w:r w:rsidRPr="00AC232D">
        <w:rPr>
          <w:rFonts w:ascii="Arial" w:hAnsi="Arial" w:cs="Arial"/>
          <w:sz w:val="22"/>
          <w:szCs w:val="22"/>
        </w:rPr>
        <w:t xml:space="preserve">the </w:t>
      </w:r>
      <w:r w:rsidR="00B73208">
        <w:rPr>
          <w:rFonts w:ascii="Arial" w:hAnsi="Arial" w:cs="Arial"/>
          <w:sz w:val="22"/>
          <w:szCs w:val="22"/>
        </w:rPr>
        <w:t>population</w:t>
      </w:r>
      <w:r>
        <w:rPr>
          <w:rFonts w:ascii="Arial" w:hAnsi="Arial" w:cs="Arial"/>
          <w:sz w:val="22"/>
          <w:szCs w:val="22"/>
        </w:rPr>
        <w:t xml:space="preserve">. </w:t>
      </w:r>
      <w:r w:rsidRPr="00AC232D">
        <w:rPr>
          <w:rFonts w:ascii="Arial" w:hAnsi="Arial" w:cs="Arial"/>
          <w:sz w:val="22"/>
          <w:szCs w:val="22"/>
        </w:rPr>
        <w:t xml:space="preserve">The model consisted of coupled nonlinear differential </w:t>
      </w:r>
      <w:r w:rsidR="004A2E73" w:rsidRPr="00AC232D">
        <w:rPr>
          <w:rFonts w:ascii="Arial" w:hAnsi="Arial" w:cs="Arial"/>
          <w:sz w:val="22"/>
          <w:szCs w:val="22"/>
        </w:rPr>
        <w:t>equations</w:t>
      </w:r>
      <w:r w:rsidR="004A2E73">
        <w:rPr>
          <w:rFonts w:ascii="Arial" w:hAnsi="Arial" w:cs="Arial"/>
          <w:sz w:val="22"/>
          <w:szCs w:val="22"/>
        </w:rPr>
        <w:t xml:space="preserve"> and</w:t>
      </w:r>
      <w:r>
        <w:rPr>
          <w:rFonts w:ascii="Arial" w:hAnsi="Arial" w:cs="Arial"/>
          <w:sz w:val="22"/>
          <w:szCs w:val="22"/>
        </w:rPr>
        <w:t xml:space="preserve"> </w:t>
      </w:r>
      <w:r w:rsidR="008F5967">
        <w:rPr>
          <w:rFonts w:ascii="Arial" w:hAnsi="Arial" w:cs="Arial"/>
          <w:sz w:val="22"/>
          <w:szCs w:val="22"/>
        </w:rPr>
        <w:t xml:space="preserve">was </w:t>
      </w:r>
      <w:r>
        <w:rPr>
          <w:rFonts w:ascii="Arial" w:hAnsi="Arial" w:cs="Arial"/>
          <w:sz w:val="22"/>
          <w:szCs w:val="22"/>
        </w:rPr>
        <w:t>structured</w:t>
      </w:r>
      <w:r w:rsidRPr="00AC232D">
        <w:rPr>
          <w:rFonts w:ascii="Arial" w:hAnsi="Arial" w:cs="Arial"/>
          <w:sz w:val="22"/>
          <w:szCs w:val="22"/>
        </w:rPr>
        <w:t xml:space="preserve"> </w:t>
      </w:r>
      <w:r>
        <w:rPr>
          <w:rFonts w:ascii="Arial" w:hAnsi="Arial" w:cs="Arial"/>
          <w:sz w:val="22"/>
          <w:szCs w:val="22"/>
        </w:rPr>
        <w:t xml:space="preserve">by </w:t>
      </w:r>
      <w:r w:rsidR="008F5967">
        <w:rPr>
          <w:rFonts w:ascii="Arial" w:hAnsi="Arial" w:cs="Arial"/>
          <w:sz w:val="22"/>
          <w:szCs w:val="22"/>
        </w:rPr>
        <w:t>gender</w:t>
      </w:r>
      <w:r w:rsidRPr="00EB6416">
        <w:rPr>
          <w:rFonts w:ascii="Arial" w:hAnsi="Arial" w:cs="Arial"/>
          <w:sz w:val="22"/>
          <w:szCs w:val="22"/>
        </w:rPr>
        <w:t xml:space="preserve"> (females</w:t>
      </w:r>
      <w:r>
        <w:rPr>
          <w:rFonts w:ascii="Arial" w:hAnsi="Arial" w:cs="Arial"/>
          <w:sz w:val="22"/>
          <w:szCs w:val="22"/>
        </w:rPr>
        <w:t>, males</w:t>
      </w:r>
      <w:r w:rsidRPr="00EB6416">
        <w:rPr>
          <w:rFonts w:ascii="Arial" w:hAnsi="Arial" w:cs="Arial"/>
          <w:sz w:val="22"/>
          <w:szCs w:val="22"/>
        </w:rPr>
        <w:t>), age (20</w:t>
      </w:r>
      <w:r>
        <w:rPr>
          <w:rFonts w:ascii="Arial" w:hAnsi="Arial" w:cs="Arial"/>
          <w:sz w:val="22"/>
          <w:szCs w:val="22"/>
        </w:rPr>
        <w:t xml:space="preserve"> age groups,</w:t>
      </w:r>
      <w:r w:rsidRPr="00EB6416">
        <w:rPr>
          <w:rFonts w:ascii="Arial" w:hAnsi="Arial" w:cs="Arial"/>
          <w:sz w:val="22"/>
          <w:szCs w:val="22"/>
        </w:rPr>
        <w:t xml:space="preserve"> 5-year age </w:t>
      </w:r>
      <w:r w:rsidR="008F5967">
        <w:rPr>
          <w:rFonts w:ascii="Arial" w:hAnsi="Arial" w:cs="Arial"/>
          <w:sz w:val="22"/>
          <w:szCs w:val="22"/>
        </w:rPr>
        <w:t>bands</w:t>
      </w:r>
      <w:r w:rsidRPr="00EB6416">
        <w:rPr>
          <w:rFonts w:ascii="Arial" w:hAnsi="Arial" w:cs="Arial"/>
          <w:sz w:val="22"/>
          <w:szCs w:val="22"/>
        </w:rPr>
        <w:t>), sexual risk group (5 sexual risk groups), HSV-2 status (uninfected, infected asymptomatic, infected symptomatic), stage of infection (primary, latent, infection reactivation)</w:t>
      </w:r>
      <w:r w:rsidR="00F22AEE">
        <w:rPr>
          <w:rFonts w:ascii="Arial" w:hAnsi="Arial" w:cs="Arial"/>
          <w:sz w:val="22"/>
          <w:szCs w:val="22"/>
        </w:rPr>
        <w:t xml:space="preserve">, and </w:t>
      </w:r>
      <w:r w:rsidR="008F5967">
        <w:rPr>
          <w:rFonts w:ascii="Arial" w:hAnsi="Arial" w:cs="Arial"/>
          <w:sz w:val="22"/>
          <w:szCs w:val="22"/>
        </w:rPr>
        <w:t xml:space="preserve">time since </w:t>
      </w:r>
      <w:r w:rsidR="00F22AEE">
        <w:rPr>
          <w:rFonts w:ascii="Arial" w:hAnsi="Arial" w:cs="Arial"/>
          <w:sz w:val="22"/>
          <w:szCs w:val="22"/>
        </w:rPr>
        <w:t>acquiring the infection (</w:t>
      </w:r>
      <w:r>
        <w:rPr>
          <w:rFonts w:ascii="Arial" w:hAnsi="Arial" w:cs="Arial"/>
          <w:sz w:val="22"/>
          <w:szCs w:val="22"/>
        </w:rPr>
        <w:t>&lt;</w:t>
      </w:r>
      <w:r w:rsidR="00F22AEE">
        <w:rPr>
          <w:rFonts w:ascii="Arial" w:hAnsi="Arial" w:cs="Arial"/>
          <w:sz w:val="22"/>
          <w:szCs w:val="22"/>
        </w:rPr>
        <w:t>1 year, 1-9 years, and &gt;10 years)</w:t>
      </w:r>
      <w:r w:rsidRPr="00EB6416">
        <w:rPr>
          <w:rFonts w:ascii="Arial" w:hAnsi="Arial" w:cs="Arial"/>
          <w:sz w:val="22"/>
          <w:szCs w:val="22"/>
        </w:rPr>
        <w:t>.</w:t>
      </w:r>
    </w:p>
    <w:p w14:paraId="1C9B9764" w14:textId="77777777" w:rsidR="004F6C22" w:rsidRDefault="004F6C22" w:rsidP="004F6C22">
      <w:pPr>
        <w:ind w:left="720"/>
        <w:jc w:val="both"/>
        <w:rPr>
          <w:rFonts w:ascii="Arial" w:hAnsi="Arial" w:cs="Arial"/>
          <w:sz w:val="22"/>
          <w:szCs w:val="22"/>
        </w:rPr>
      </w:pPr>
    </w:p>
    <w:p w14:paraId="180BA39C" w14:textId="5B9CCF72" w:rsidR="004F6C22" w:rsidRDefault="004F6C22" w:rsidP="004F6C22">
      <w:pPr>
        <w:ind w:left="720"/>
        <w:jc w:val="both"/>
        <w:rPr>
          <w:rFonts w:ascii="Arial" w:hAnsi="Arial" w:cs="Arial"/>
          <w:sz w:val="22"/>
          <w:szCs w:val="22"/>
        </w:rPr>
      </w:pPr>
      <w:r>
        <w:rPr>
          <w:rFonts w:ascii="Arial" w:hAnsi="Arial" w:cs="Arial"/>
          <w:sz w:val="22"/>
          <w:szCs w:val="22"/>
        </w:rPr>
        <w:t xml:space="preserve">The </w:t>
      </w:r>
      <w:r w:rsidRPr="004F6C22">
        <w:rPr>
          <w:rFonts w:ascii="Arial" w:hAnsi="Arial" w:cs="Arial"/>
          <w:sz w:val="22"/>
          <w:szCs w:val="22"/>
        </w:rPr>
        <w:t xml:space="preserve">five sexual risk groups </w:t>
      </w:r>
      <w:r>
        <w:rPr>
          <w:rFonts w:ascii="Arial" w:hAnsi="Arial" w:cs="Arial"/>
          <w:sz w:val="22"/>
          <w:szCs w:val="22"/>
        </w:rPr>
        <w:t>ranged</w:t>
      </w:r>
      <w:r w:rsidRPr="004F6C22">
        <w:rPr>
          <w:rFonts w:ascii="Arial" w:hAnsi="Arial" w:cs="Arial"/>
          <w:sz w:val="22"/>
          <w:szCs w:val="22"/>
        </w:rPr>
        <w:t xml:space="preserve"> from lower to higher risk based on number of sexual partners over the last 12 months</w:t>
      </w:r>
      <w:r w:rsidR="00975607">
        <w:rPr>
          <w:rFonts w:ascii="Arial" w:hAnsi="Arial" w:cs="Arial"/>
          <w:sz w:val="22"/>
          <w:szCs w:val="22"/>
        </w:rPr>
        <w:fldChar w:fldCharType="begin"/>
      </w:r>
      <w:r w:rsidR="0081559F">
        <w:rPr>
          <w:rFonts w:ascii="Arial" w:hAnsi="Arial" w:cs="Arial"/>
          <w:sz w:val="22"/>
          <w:szCs w:val="22"/>
        </w:rPr>
        <w:instrText xml:space="preserve"> ADDIN ZOTERO_ITEM CSL_CITATION {"citationID":"18I9JZa1","properties":{"formattedCitation":"[31]","plainCitation":"[31]","noteIndex":0},"citationItems":[{"id":29342,"uris":["http://zotero.org/users/local/p8g0WsVO/items/B8QWV8U4"],"itemData":{"id":29342,"type":"webpage","title":"NHANES Questionnaires, Datasets, and Related Documentation","URL":"https://wwwn.cdc.gov/nchs/nhanes/","accessed":{"date-parts":[["2021",5,15]]}}}],"schema":"https://github.com/citation-style-language/schema/raw/master/csl-citation.json"} </w:instrText>
      </w:r>
      <w:r w:rsidR="00975607">
        <w:rPr>
          <w:rFonts w:ascii="Arial" w:hAnsi="Arial" w:cs="Arial"/>
          <w:sz w:val="22"/>
          <w:szCs w:val="22"/>
        </w:rPr>
        <w:fldChar w:fldCharType="separate"/>
      </w:r>
      <w:r w:rsidR="0081559F">
        <w:rPr>
          <w:rFonts w:ascii="Arial" w:hAnsi="Arial" w:cs="Arial"/>
          <w:sz w:val="22"/>
        </w:rPr>
        <w:t>[31]</w:t>
      </w:r>
      <w:r w:rsidR="00975607">
        <w:rPr>
          <w:rFonts w:ascii="Arial" w:hAnsi="Arial" w:cs="Arial"/>
          <w:sz w:val="22"/>
          <w:szCs w:val="22"/>
        </w:rPr>
        <w:fldChar w:fldCharType="end"/>
      </w:r>
      <w:r w:rsidRPr="004F6C22">
        <w:rPr>
          <w:rFonts w:ascii="Arial" w:hAnsi="Arial" w:cs="Arial"/>
          <w:sz w:val="22"/>
          <w:szCs w:val="22"/>
        </w:rPr>
        <w:t>.</w:t>
      </w:r>
      <w:r>
        <w:rPr>
          <w:rFonts w:ascii="Arial" w:hAnsi="Arial" w:cs="Arial"/>
          <w:sz w:val="22"/>
          <w:szCs w:val="22"/>
        </w:rPr>
        <w:t xml:space="preserve"> </w:t>
      </w:r>
      <w:r w:rsidRPr="00331F96">
        <w:rPr>
          <w:rFonts w:ascii="Arial" w:hAnsi="Arial" w:cs="Arial"/>
          <w:sz w:val="22"/>
          <w:szCs w:val="22"/>
        </w:rPr>
        <w:t xml:space="preserve">The distribution of sexual risk behavior followed a power-law function, as </w:t>
      </w:r>
      <w:r>
        <w:rPr>
          <w:rFonts w:ascii="Arial" w:hAnsi="Arial" w:cs="Arial"/>
          <w:sz w:val="22"/>
          <w:szCs w:val="22"/>
        </w:rPr>
        <w:t>informed by sexual partner data</w:t>
      </w:r>
      <w:r w:rsidR="00975607">
        <w:rPr>
          <w:rFonts w:ascii="Arial" w:hAnsi="Arial" w:cs="Arial"/>
          <w:sz w:val="22"/>
          <w:szCs w:val="22"/>
        </w:rPr>
        <w:fldChar w:fldCharType="begin"/>
      </w:r>
      <w:r w:rsidR="0081559F">
        <w:rPr>
          <w:rFonts w:ascii="Arial" w:hAnsi="Arial" w:cs="Arial"/>
          <w:sz w:val="22"/>
          <w:szCs w:val="22"/>
        </w:rPr>
        <w:instrText xml:space="preserve"> ADDIN ZOTERO_ITEM CSL_CITATION {"citationID":"Vy4Hf34X","properties":{"formattedCitation":"[32]","plainCitation":"[32]","noteIndex":0},"citationItems":[{"id":29344,"uris":["http://zotero.org/users/local/p8g0WsVO/items/W5KDFA8V"],"itemData":{"id":29344,"type":"article-journal","container-title":"Nature","DOI":"10.1038/35082140","ISSN":"0028-0836","issue":"6840","journalAbbreviation":"Nature","language":"eng","note":"PMID: 11418846","page":"907-908","source":"PubMed","title":"The web of human sexual contacts","volume":"411","author":[{"family":"Liljeros","given":"F."},{"family":"Edling","given":"C. R."},{"family":"Amaral","given":"L. A."},{"family":"Stanley","given":"H. E."},{"family":"Aberg","given":"Y."}],"issued":{"date-parts":[["2001",6,21]]}}}],"schema":"https://github.com/citation-style-language/schema/raw/master/csl-citation.json"} </w:instrText>
      </w:r>
      <w:r w:rsidR="00975607">
        <w:rPr>
          <w:rFonts w:ascii="Arial" w:hAnsi="Arial" w:cs="Arial"/>
          <w:sz w:val="22"/>
          <w:szCs w:val="22"/>
        </w:rPr>
        <w:fldChar w:fldCharType="separate"/>
      </w:r>
      <w:r w:rsidR="0081559F">
        <w:rPr>
          <w:rFonts w:ascii="Arial" w:hAnsi="Arial" w:cs="Arial"/>
          <w:sz w:val="22"/>
        </w:rPr>
        <w:t>[32]</w:t>
      </w:r>
      <w:r w:rsidR="00975607">
        <w:rPr>
          <w:rFonts w:ascii="Arial" w:hAnsi="Arial" w:cs="Arial"/>
          <w:sz w:val="22"/>
          <w:szCs w:val="22"/>
        </w:rPr>
        <w:fldChar w:fldCharType="end"/>
      </w:r>
      <w:r w:rsidRPr="00331F96">
        <w:rPr>
          <w:rFonts w:ascii="Arial" w:hAnsi="Arial" w:cs="Arial"/>
          <w:sz w:val="22"/>
          <w:szCs w:val="22"/>
        </w:rPr>
        <w:t>. Age dependence of sexual activity was determined by sexual partner data</w:t>
      </w:r>
      <w:r w:rsidR="00321A3A">
        <w:rPr>
          <w:rFonts w:ascii="Arial" w:hAnsi="Arial" w:cs="Arial"/>
          <w:sz w:val="22"/>
          <w:szCs w:val="22"/>
        </w:rPr>
        <w:fldChar w:fldCharType="begin"/>
      </w:r>
      <w:r w:rsidR="0081559F">
        <w:rPr>
          <w:rFonts w:ascii="Arial" w:hAnsi="Arial" w:cs="Arial"/>
          <w:sz w:val="22"/>
          <w:szCs w:val="22"/>
        </w:rPr>
        <w:instrText xml:space="preserve"> ADDIN ZOTERO_ITEM CSL_CITATION {"citationID":"nLGqbbDu","properties":{"formattedCitation":"[31]","plainCitation":"[31]","noteIndex":0},"citationItems":[{"id":29342,"uris":["http://zotero.org/users/local/p8g0WsVO/items/B8QWV8U4"],"itemData":{"id":29342,"type":"webpage","title":"NHANES Questionnaires, Datasets, and Related Documentation","URL":"https://wwwn.cdc.gov/nchs/nhanes/","accessed":{"date-parts":[["2021",5,15]]}}}],"schema":"https://github.com/citation-style-language/schema/raw/master/csl-citation.json"} </w:instrText>
      </w:r>
      <w:r w:rsidR="00321A3A">
        <w:rPr>
          <w:rFonts w:ascii="Arial" w:hAnsi="Arial" w:cs="Arial"/>
          <w:sz w:val="22"/>
          <w:szCs w:val="22"/>
        </w:rPr>
        <w:fldChar w:fldCharType="separate"/>
      </w:r>
      <w:r w:rsidR="0081559F">
        <w:rPr>
          <w:rFonts w:ascii="Arial" w:hAnsi="Arial" w:cs="Arial"/>
          <w:sz w:val="22"/>
        </w:rPr>
        <w:t>[31]</w:t>
      </w:r>
      <w:r w:rsidR="00321A3A">
        <w:rPr>
          <w:rFonts w:ascii="Arial" w:hAnsi="Arial" w:cs="Arial"/>
          <w:sz w:val="22"/>
          <w:szCs w:val="22"/>
        </w:rPr>
        <w:fldChar w:fldCharType="end"/>
      </w:r>
      <w:r w:rsidRPr="00331F96">
        <w:rPr>
          <w:rFonts w:ascii="Arial" w:hAnsi="Arial" w:cs="Arial"/>
          <w:sz w:val="22"/>
          <w:szCs w:val="22"/>
        </w:rPr>
        <w:t>, with sexual debut assumed at age ≥15 years. Sexual mixing by age and risk group was described by mixing matrices that included assortative (i.e. partners choosing partners from within their age or risk group) and proportionate (i.e. no preferential bias in choosing partners based on age or risk group) components, as informed by earlier modeling work</w:t>
      </w:r>
      <w:r w:rsidR="00321A3A">
        <w:rPr>
          <w:rFonts w:ascii="Arial" w:hAnsi="Arial" w:cs="Arial"/>
          <w:sz w:val="22"/>
          <w:szCs w:val="22"/>
        </w:rPr>
        <w:fldChar w:fldCharType="begin"/>
      </w:r>
      <w:r w:rsidR="0081559F">
        <w:rPr>
          <w:rFonts w:ascii="Arial" w:hAnsi="Arial" w:cs="Arial"/>
          <w:sz w:val="22"/>
          <w:szCs w:val="22"/>
        </w:rPr>
        <w:instrText xml:space="preserve"> ADDIN ZOTERO_ITEM CSL_CITATION {"citationID":"xGE0jBC7","properties":{"formattedCitation":"[33]","plainCitation":"[33]","noteIndex":0},"citationItems":[{"id":29347,"uris":["http://zotero.org/users/local/p8g0WsVO/items/BQT7N9DB"],"itemData":{"id":29347,"type":"article-journal","abstract":"A mathematical model of the transmission dynamics of HIV-1 in a heterosexual population stratified by age, sex, and sexual activity (defined by rates of sexual partner acquisition) is presented. The model represents an extension of previous studies with a special focus on patterns of mixing or contact between sexual activity and different age classes of the two sexes. A range of mixing patterns between these groups is specified for both sexes. Mixing is described on two scales from fully assortative to fully disassortative, with random defined either according to numbers of sexual partnerships or numbers of people. The sexual partnerships in the model are balanced by changes in the rates of sexual partner acquisition between particular groups and a range of changes, from only women changing behaviour to only men changing behaviour, are analysed. The pattern of mixing is most influential in determining the shape and magnitude of the epidemic, but the manner in which people choose partners (i.e. dependent on numbers or proportions in the population) is also important. The relative importance of variation in transmission probabilities and mean rates of partner change on the course of the HIV epidemic is also illustrated. The analysis of the sensitivity of predictions to changing parameters in the force of infection term of the model provides a theoretical basis from which the influence of control strategies and the demographic effects of HIV can be analysed.","container-title":"IMA journal of mathematics applied in medicine and biology","DOI":"10.1093/imammb/11.3.161","ISSN":"0265-0746","issue":"3","journalAbbreviation":"IMA J Math Appl Med Biol","language":"eng","note":"PMID: 7822888","page":"161-192","source":"PubMed","title":"Balancing sexual partnerships in an age and activity stratified model of HIV transmission in heterosexual populations","volume":"11","author":[{"family":"Garnett","given":"G. P."},{"family":"Anderson","given":"R. M."}],"issued":{"date-parts":[["1994"]]}}}],"schema":"https://github.com/citation-style-language/schema/raw/master/csl-citation.json"} </w:instrText>
      </w:r>
      <w:r w:rsidR="00321A3A">
        <w:rPr>
          <w:rFonts w:ascii="Arial" w:hAnsi="Arial" w:cs="Arial"/>
          <w:sz w:val="22"/>
          <w:szCs w:val="22"/>
        </w:rPr>
        <w:fldChar w:fldCharType="separate"/>
      </w:r>
      <w:r w:rsidR="0081559F">
        <w:rPr>
          <w:rFonts w:ascii="Arial" w:hAnsi="Arial" w:cs="Arial"/>
          <w:sz w:val="22"/>
        </w:rPr>
        <w:t>[33]</w:t>
      </w:r>
      <w:r w:rsidR="00321A3A">
        <w:rPr>
          <w:rFonts w:ascii="Arial" w:hAnsi="Arial" w:cs="Arial"/>
          <w:sz w:val="22"/>
          <w:szCs w:val="22"/>
        </w:rPr>
        <w:fldChar w:fldCharType="end"/>
      </w:r>
      <w:r w:rsidR="00321A3A" w:rsidRPr="008D6407">
        <w:rPr>
          <w:rFonts w:ascii="Arial" w:hAnsi="Arial" w:cs="Arial"/>
          <w:sz w:val="22"/>
          <w:szCs w:val="22"/>
          <w:vertAlign w:val="superscript"/>
        </w:rPr>
        <w:t>,</w:t>
      </w:r>
      <w:r w:rsidR="00321A3A">
        <w:rPr>
          <w:rFonts w:ascii="Arial" w:hAnsi="Arial" w:cs="Arial"/>
          <w:sz w:val="22"/>
          <w:szCs w:val="22"/>
        </w:rPr>
        <w:t xml:space="preserve"> </w:t>
      </w:r>
      <w:r w:rsidR="00321A3A">
        <w:rPr>
          <w:rFonts w:ascii="Arial" w:hAnsi="Arial" w:cs="Arial"/>
          <w:sz w:val="22"/>
          <w:szCs w:val="22"/>
        </w:rPr>
        <w:fldChar w:fldCharType="begin"/>
      </w:r>
      <w:r w:rsidR="0081559F">
        <w:rPr>
          <w:rFonts w:ascii="Arial" w:hAnsi="Arial" w:cs="Arial"/>
          <w:sz w:val="22"/>
          <w:szCs w:val="22"/>
        </w:rPr>
        <w:instrText xml:space="preserve"> ADDIN ZOTERO_ITEM CSL_CITATION {"citationID":"YyMnozrr","properties":{"formattedCitation":"[34]","plainCitation":"[34]","noteIndex":0},"citationItems":[{"id":29349,"uris":["http://zotero.org/users/local/p8g0WsVO/items/X56L8B8W"],"itemData":{"id":29349,"type":"article-journal","abstract":"BACKGROUND: HIV prevalence is decreasing in much of sub-Saharan Africa (SSA), but the drivers of the decline are subject to much dispute. Using mathematical modeling as a tool for hypothesis generation, we demonstrate how the hypothesis that the drop in prevalence reflects declines in sexual risk behavior is self-consistent. We characterize these potential declines in terms of their scale, duration, and timing, and theorize on how small changes in sexual behavior at the individual-level could have driven large declines in HIV prevalence.\nMATERIALS AND METHODS: A population-level deterministic compartmental model was constructed to describe the HIV epidemics in 24 countries in SSA with sufficient trend data. The model was parameterized by national HIV prevalence and HIV natural history and transmission data. The temporal evolution of sexual risk behavior was characterized using established tools and uncertainty and sensitivity analyses on the results were conducted.\nRESULTS: Declines in the scale of sexual risk behavior between 31.8% (Botswana) and 89.3% (Liberia) can explain the declining HIV prevalence across countries. The average decline across countries was 68.9%. The transition in sexual risk behavior lasted between 2.7 (Botswana) and 16.6 (Gabon) years with an average of 8.2 years. The turning point year of the transition occurred between 1993 (Burundi) and 2001 (Namibia), but clustered around 1995 for most countries. The uncertainty and sensitivity analyses affirmed our model predictions.\nCONCLUSION: The hypothesis that HIV prevalence declines in SSA have been driven by declines in sexual risk behavior is self-consistent and provides a convincing narrative for an evolving HIV epidemiology in this region. The hypothesized declines must have been remarkable in their intensity, rapidity, and synchronicity to explain the temporal trends in HIV prevalence. These findings provide contextual support for the hypothesis that changes in sexual behavior that materialized in the 1990s are a dominant driver of the recent decreases in HIV prevalence.","container-title":"Epidemics","DOI":"10.1016/j.epidem.2014.06.001","ISSN":"1878-0067","journalAbbreviation":"Epidemics","language":"eng","note":"PMID: 25240899","page":"9-17","source":"PubMed","title":"Could there have been substantial declines in sexual risk behavior across sub-Saharan Africa in the mid-1990s?","volume":"8","author":[{"family":"Awad","given":"Susanne F."},{"family":"Abu-Raddad","given":"Laith J."}],"issued":{"date-parts":[["2014",9]]}}}],"schema":"https://github.com/citation-style-language/schema/raw/master/csl-citation.json"} </w:instrText>
      </w:r>
      <w:r w:rsidR="00321A3A">
        <w:rPr>
          <w:rFonts w:ascii="Arial" w:hAnsi="Arial" w:cs="Arial"/>
          <w:sz w:val="22"/>
          <w:szCs w:val="22"/>
        </w:rPr>
        <w:fldChar w:fldCharType="separate"/>
      </w:r>
      <w:r w:rsidR="0081559F">
        <w:rPr>
          <w:rFonts w:ascii="Arial" w:hAnsi="Arial" w:cs="Arial"/>
          <w:sz w:val="22"/>
        </w:rPr>
        <w:t>[34]</w:t>
      </w:r>
      <w:r w:rsidR="00321A3A">
        <w:rPr>
          <w:rFonts w:ascii="Arial" w:hAnsi="Arial" w:cs="Arial"/>
          <w:sz w:val="22"/>
          <w:szCs w:val="22"/>
        </w:rPr>
        <w:fldChar w:fldCharType="end"/>
      </w:r>
      <w:r w:rsidRPr="00331F96">
        <w:rPr>
          <w:rFonts w:ascii="Arial" w:hAnsi="Arial" w:cs="Arial"/>
          <w:sz w:val="22"/>
          <w:szCs w:val="22"/>
        </w:rPr>
        <w:t>.</w:t>
      </w:r>
      <w:r>
        <w:rPr>
          <w:rFonts w:ascii="Arial" w:hAnsi="Arial" w:cs="Arial"/>
          <w:sz w:val="22"/>
          <w:szCs w:val="22"/>
        </w:rPr>
        <w:t xml:space="preserve"> </w:t>
      </w:r>
    </w:p>
    <w:p w14:paraId="4897C47F" w14:textId="77777777" w:rsidR="001C7D99" w:rsidRDefault="001C7D99" w:rsidP="004F6C22">
      <w:pPr>
        <w:ind w:left="720"/>
        <w:jc w:val="both"/>
        <w:rPr>
          <w:rFonts w:ascii="Arial" w:hAnsi="Arial" w:cs="Arial"/>
          <w:sz w:val="22"/>
          <w:szCs w:val="22"/>
        </w:rPr>
      </w:pPr>
    </w:p>
    <w:p w14:paraId="15A07C34" w14:textId="3046C4D2" w:rsidR="001E7D0F" w:rsidRDefault="009244CE" w:rsidP="001E7D0F">
      <w:pPr>
        <w:ind w:left="720"/>
        <w:jc w:val="both"/>
        <w:rPr>
          <w:rFonts w:ascii="Arial" w:hAnsi="Arial" w:cs="Arial"/>
          <w:sz w:val="22"/>
          <w:szCs w:val="22"/>
        </w:rPr>
      </w:pPr>
      <w:r w:rsidRPr="009244CE">
        <w:rPr>
          <w:rFonts w:ascii="Arial" w:hAnsi="Arial" w:cs="Arial"/>
          <w:sz w:val="22"/>
          <w:szCs w:val="22"/>
        </w:rPr>
        <w:t>The model was cal</w:t>
      </w:r>
      <w:r>
        <w:rPr>
          <w:rFonts w:ascii="Arial" w:hAnsi="Arial" w:cs="Arial"/>
          <w:sz w:val="22"/>
          <w:szCs w:val="22"/>
        </w:rPr>
        <w:t xml:space="preserve">ibrated through fitting to </w:t>
      </w:r>
      <w:r w:rsidR="008F5967">
        <w:rPr>
          <w:rFonts w:ascii="Arial" w:hAnsi="Arial" w:cs="Arial"/>
          <w:sz w:val="22"/>
          <w:szCs w:val="22"/>
        </w:rPr>
        <w:t>the gender</w:t>
      </w:r>
      <w:r>
        <w:rPr>
          <w:rFonts w:ascii="Arial" w:hAnsi="Arial" w:cs="Arial"/>
          <w:sz w:val="22"/>
          <w:szCs w:val="22"/>
        </w:rPr>
        <w:t>-</w:t>
      </w:r>
      <w:r w:rsidRPr="009244CE">
        <w:rPr>
          <w:rFonts w:ascii="Arial" w:hAnsi="Arial" w:cs="Arial"/>
          <w:sz w:val="22"/>
          <w:szCs w:val="22"/>
        </w:rPr>
        <w:t xml:space="preserve">stratified </w:t>
      </w:r>
      <w:r w:rsidR="00B72C4B">
        <w:rPr>
          <w:rFonts w:ascii="Arial" w:hAnsi="Arial" w:cs="Arial"/>
          <w:sz w:val="22"/>
          <w:szCs w:val="22"/>
        </w:rPr>
        <w:t xml:space="preserve">HSV-2 seroprevalence </w:t>
      </w:r>
      <w:r w:rsidRPr="009244CE">
        <w:rPr>
          <w:rFonts w:ascii="Arial" w:hAnsi="Arial" w:cs="Arial"/>
          <w:sz w:val="22"/>
          <w:szCs w:val="22"/>
        </w:rPr>
        <w:t>data</w:t>
      </w:r>
      <w:r>
        <w:rPr>
          <w:rFonts w:ascii="Arial" w:hAnsi="Arial" w:cs="Arial"/>
          <w:sz w:val="22"/>
          <w:szCs w:val="22"/>
        </w:rPr>
        <w:t xml:space="preserve"> </w:t>
      </w:r>
      <w:r w:rsidR="00C336E2">
        <w:rPr>
          <w:rFonts w:ascii="Arial" w:hAnsi="Arial" w:cs="Arial"/>
          <w:sz w:val="22"/>
          <w:szCs w:val="22"/>
        </w:rPr>
        <w:t xml:space="preserve">obtained from a recent systematic review and meta-analyses </w:t>
      </w:r>
      <w:r w:rsidR="008853A9">
        <w:rPr>
          <w:rFonts w:ascii="Arial" w:hAnsi="Arial" w:cs="Arial"/>
          <w:sz w:val="22"/>
          <w:szCs w:val="22"/>
        </w:rPr>
        <w:t>of HSV-2 epidemiology in the WHO Africa Region</w:t>
      </w:r>
      <w:r w:rsidR="00FD170C">
        <w:rPr>
          <w:rFonts w:ascii="Arial" w:hAnsi="Arial" w:cs="Arial"/>
          <w:sz w:val="22"/>
          <w:szCs w:val="22"/>
        </w:rPr>
        <w:fldChar w:fldCharType="begin"/>
      </w:r>
      <w:r w:rsidR="0081559F">
        <w:rPr>
          <w:rFonts w:ascii="Arial" w:hAnsi="Arial" w:cs="Arial"/>
          <w:sz w:val="22"/>
          <w:szCs w:val="22"/>
        </w:rPr>
        <w:instrText xml:space="preserve"> ADDIN ZOTERO_ITEM CSL_CITATION {"citationID":"8JlsuKGD","properties":{"formattedCitation":"[35]","plainCitation":"[35]","noteIndex":0},"citationItems":[{"id":29351,"uris":["http://zotero.org/users/local/p8g0WsVO/items/9QRNTCLA"],"itemData":{"id":29351,"type":"article-journal","abstract":"&lt;h2&gt;Abstract&lt;/h2&gt;&lt;h3&gt;Background&lt;/h3&gt;&lt;p&gt;Herpes simplex virus type 2 (HSV-2) infection is a prevalent, sexually transmitted infection with a sizable disease burden that is highest in sub-Saharan Africa. This study aimed to characterize HSV-2 epidemiology in this region.&lt;/p&gt;&lt;h3&gt;Methods&lt;/h3&gt;&lt;p&gt;Cochrane and PRISMA guidelines were followed to systematically review, synthesize, and report HSV-2 related findings up to August 23, 2020. Meta-analyses and meta-regressions were conducted.&lt;/p&gt;&lt;h3&gt;Findings&lt;/h3&gt;&lt;p&gt;From 218 relevant publications, 451 overall outcome measures and 869 stratified measures were extracted. Pooled incidence rates ranged between 2.4–19.4 per 100 person-years across populations. Pooled seroprevalence was lowest at 37.3% (95% confidence interval (CI): 34.9–39.7%) in general populations and high in female sex workers and HIV-positive individuals at 62.5% (95% CI: 54.8–70.0%) and 71.3% (95% CI: 66.5–75.9%), respectively. In general populations, pooled seroprevalence increased steadily with age. Compared to women, men had a lower seroprevalence with an adjusted risk ratio (ARR) of 0.61 (95% CI: 0.56–0.67). Seroprevalence has decreased in recent decades with an ARR of 0.98 (95% CI: 0.97–0.99) per year. Seroprevalence was highest in Eastern and Southern Africa. Pooled HSV-2 proportion in genital ulcer disease was 50.7% (95% CI: 44.7–56.8%) and in genital herpes it was 97.3% (95% CI: 84.4–100%).&lt;/p&gt;&lt;h3&gt;Interpretation&lt;/h3&gt;&lt;p&gt;Seroprevalence is declining by 2% per year, but a third of the population is infected. Age and geography play profound roles in HSV-2 epidemiology. Temporal declines and geographic distribution of HSV-2 seroprevalence mirror that of HIV prevalence, suggesting sexual risk behavior has been declining for three decades. HSV-2 is the etiological cause of half of genital ulcer disease and nearly all genital herpes cases with limited role for HSV-1.&lt;/p&gt;&lt;h3&gt;Funding&lt;/h3&gt;&lt;p&gt;This work was supported by pilot funding from the Biomedical Research Program at Weill Cornell Medicine in Qatar and by the Qatar National Research Fund [NPRP 9–040–3–008].&lt;/p&gt;","container-title":"EClinicalMedicine","DOI":"10.1016/j.eclinm.2021.100876","ISSN":"2589-5370","journalAbbreviation":"EClinicalMedicine","language":"English","note":"publisher: Elsevier","source":"www.thelancet.com","title":"Epidemiology of herpes simplex virus type 2 in sub-Saharan Africa: Systematic review, meta-analyses, and meta-regressions","title-short":"Epidemiology of herpes simplex virus type 2 in sub-Saharan Africa","URL":"https://www.thelancet.com/journals/eclinm/article/PIIS2589-5370(21)00156-5/abstract","volume":"35","author":[{"family":"Harfouche","given":"Manale"},{"family":"Abu-Hijleh","given":"Farah M."},{"family":"James","given":"Charlotte"},{"family":"Looker","given":"Katharine J."},{"family":"Abu-Raddad","given":"Laith J."}],"accessed":{"date-parts":[["2021",5,15]]},"issued":{"date-parts":[["2021",5,1]]}}}],"schema":"https://github.com/citation-style-language/schema/raw/master/csl-citation.json"} </w:instrText>
      </w:r>
      <w:r w:rsidR="00FD170C">
        <w:rPr>
          <w:rFonts w:ascii="Arial" w:hAnsi="Arial" w:cs="Arial"/>
          <w:sz w:val="22"/>
          <w:szCs w:val="22"/>
        </w:rPr>
        <w:fldChar w:fldCharType="separate"/>
      </w:r>
      <w:r w:rsidR="0081559F">
        <w:rPr>
          <w:rFonts w:ascii="Arial" w:hAnsi="Arial" w:cs="Arial"/>
          <w:sz w:val="22"/>
        </w:rPr>
        <w:t>[35]</w:t>
      </w:r>
      <w:r w:rsidR="00FD170C">
        <w:rPr>
          <w:rFonts w:ascii="Arial" w:hAnsi="Arial" w:cs="Arial"/>
          <w:sz w:val="22"/>
          <w:szCs w:val="22"/>
        </w:rPr>
        <w:fldChar w:fldCharType="end"/>
      </w:r>
      <w:r w:rsidR="00C336E2">
        <w:rPr>
          <w:rFonts w:ascii="Arial" w:hAnsi="Arial" w:cs="Arial"/>
          <w:sz w:val="22"/>
          <w:szCs w:val="22"/>
        </w:rPr>
        <w:t>.</w:t>
      </w:r>
      <w:r w:rsidR="001E7D0F">
        <w:rPr>
          <w:rFonts w:ascii="Arial" w:hAnsi="Arial" w:cs="Arial"/>
          <w:sz w:val="22"/>
          <w:szCs w:val="22"/>
        </w:rPr>
        <w:t xml:space="preserve"> </w:t>
      </w:r>
      <w:r w:rsidR="001E7D0F" w:rsidRPr="001E7D0F">
        <w:rPr>
          <w:rFonts w:ascii="Arial" w:hAnsi="Arial" w:cs="Arial"/>
          <w:sz w:val="22"/>
          <w:szCs w:val="22"/>
        </w:rPr>
        <w:t>The systematic review was informed by the C</w:t>
      </w:r>
      <w:r w:rsidR="001E7D0F">
        <w:rPr>
          <w:rFonts w:ascii="Arial" w:hAnsi="Arial" w:cs="Arial"/>
          <w:sz w:val="22"/>
          <w:szCs w:val="22"/>
        </w:rPr>
        <w:t>ochrane Collaboration handbook</w:t>
      </w:r>
      <w:r w:rsidR="001E7D0F" w:rsidRPr="001E7D0F">
        <w:rPr>
          <w:rFonts w:ascii="Arial" w:hAnsi="Arial" w:cs="Arial"/>
          <w:sz w:val="22"/>
          <w:szCs w:val="22"/>
        </w:rPr>
        <w:t xml:space="preserve"> and reported its finding</w:t>
      </w:r>
      <w:r w:rsidR="001E7D0F">
        <w:rPr>
          <w:rFonts w:ascii="Arial" w:hAnsi="Arial" w:cs="Arial"/>
          <w:sz w:val="22"/>
          <w:szCs w:val="22"/>
        </w:rPr>
        <w:t xml:space="preserve">s using the PRISMA guidelines. </w:t>
      </w:r>
      <w:r w:rsidR="00AC2B92">
        <w:rPr>
          <w:rFonts w:ascii="Arial" w:hAnsi="Arial" w:cs="Arial"/>
          <w:sz w:val="22"/>
          <w:szCs w:val="22"/>
        </w:rPr>
        <w:t>P</w:t>
      </w:r>
      <w:r w:rsidR="001E7D0F" w:rsidRPr="001E7D0F">
        <w:rPr>
          <w:rFonts w:ascii="Arial" w:hAnsi="Arial" w:cs="Arial"/>
          <w:sz w:val="22"/>
          <w:szCs w:val="22"/>
        </w:rPr>
        <w:t>ooled mean HSV-2 seroprevalence</w:t>
      </w:r>
      <w:r w:rsidR="001E7D0F">
        <w:rPr>
          <w:rFonts w:ascii="Arial" w:hAnsi="Arial" w:cs="Arial"/>
          <w:sz w:val="22"/>
          <w:szCs w:val="22"/>
        </w:rPr>
        <w:t xml:space="preserve"> among women was </w:t>
      </w:r>
      <w:r w:rsidR="001E7D0F" w:rsidRPr="001E7D0F">
        <w:rPr>
          <w:rFonts w:ascii="Arial" w:hAnsi="Arial" w:cs="Arial"/>
          <w:sz w:val="22"/>
          <w:szCs w:val="22"/>
        </w:rPr>
        <w:t>52.9</w:t>
      </w:r>
      <w:r w:rsidR="001E7D0F">
        <w:rPr>
          <w:rFonts w:ascii="Arial" w:hAnsi="Arial" w:cs="Arial"/>
          <w:sz w:val="22"/>
          <w:szCs w:val="22"/>
        </w:rPr>
        <w:t>%</w:t>
      </w:r>
      <w:r w:rsidR="001E7D0F" w:rsidRPr="001E7D0F">
        <w:rPr>
          <w:rFonts w:ascii="Arial" w:hAnsi="Arial" w:cs="Arial"/>
          <w:sz w:val="22"/>
          <w:szCs w:val="22"/>
        </w:rPr>
        <w:t xml:space="preserve"> (</w:t>
      </w:r>
      <w:r w:rsidR="00C42140">
        <w:rPr>
          <w:rFonts w:ascii="Arial" w:hAnsi="Arial" w:cs="Arial"/>
          <w:sz w:val="22"/>
          <w:szCs w:val="22"/>
        </w:rPr>
        <w:t xml:space="preserve">95% CI: </w:t>
      </w:r>
      <w:r w:rsidR="001E7D0F" w:rsidRPr="001E7D0F">
        <w:rPr>
          <w:rFonts w:ascii="Arial" w:hAnsi="Arial" w:cs="Arial"/>
          <w:sz w:val="22"/>
          <w:szCs w:val="22"/>
        </w:rPr>
        <w:t>47.9-57.9</w:t>
      </w:r>
      <w:r w:rsidR="001E7D0F">
        <w:rPr>
          <w:rFonts w:ascii="Arial" w:hAnsi="Arial" w:cs="Arial"/>
          <w:sz w:val="22"/>
          <w:szCs w:val="22"/>
        </w:rPr>
        <w:t>%</w:t>
      </w:r>
      <w:r w:rsidR="001E7D0F" w:rsidRPr="001E7D0F">
        <w:rPr>
          <w:rFonts w:ascii="Arial" w:hAnsi="Arial" w:cs="Arial"/>
          <w:sz w:val="22"/>
          <w:szCs w:val="22"/>
        </w:rPr>
        <w:t>)</w:t>
      </w:r>
      <w:r w:rsidR="001E7D0F">
        <w:rPr>
          <w:rFonts w:ascii="Arial" w:hAnsi="Arial" w:cs="Arial"/>
          <w:sz w:val="22"/>
          <w:szCs w:val="22"/>
        </w:rPr>
        <w:t xml:space="preserve"> in </w:t>
      </w:r>
      <w:r w:rsidR="00C42140">
        <w:rPr>
          <w:rFonts w:ascii="Arial" w:hAnsi="Arial" w:cs="Arial"/>
          <w:sz w:val="22"/>
          <w:szCs w:val="22"/>
        </w:rPr>
        <w:t xml:space="preserve">the years </w:t>
      </w:r>
      <w:r w:rsidR="001E7D0F">
        <w:rPr>
          <w:rFonts w:ascii="Arial" w:hAnsi="Arial" w:cs="Arial"/>
          <w:sz w:val="22"/>
          <w:szCs w:val="22"/>
        </w:rPr>
        <w:t>&lt;2000</w:t>
      </w:r>
      <w:r w:rsidR="00C42140">
        <w:rPr>
          <w:rFonts w:ascii="Arial" w:hAnsi="Arial" w:cs="Arial"/>
          <w:sz w:val="22"/>
          <w:szCs w:val="22"/>
        </w:rPr>
        <w:t xml:space="preserve">, </w:t>
      </w:r>
      <w:r w:rsidR="00C42140" w:rsidRPr="00C42140">
        <w:rPr>
          <w:rFonts w:ascii="Arial" w:hAnsi="Arial" w:cs="Arial"/>
          <w:sz w:val="22"/>
          <w:szCs w:val="22"/>
        </w:rPr>
        <w:t>36.2</w:t>
      </w:r>
      <w:r w:rsidR="00C42140">
        <w:rPr>
          <w:rFonts w:ascii="Arial" w:hAnsi="Arial" w:cs="Arial"/>
          <w:sz w:val="22"/>
          <w:szCs w:val="22"/>
        </w:rPr>
        <w:t>%</w:t>
      </w:r>
      <w:r w:rsidR="00C42140" w:rsidRPr="00C42140">
        <w:rPr>
          <w:rFonts w:ascii="Arial" w:hAnsi="Arial" w:cs="Arial"/>
          <w:sz w:val="22"/>
          <w:szCs w:val="22"/>
        </w:rPr>
        <w:t xml:space="preserve"> (</w:t>
      </w:r>
      <w:r w:rsidR="00C42140">
        <w:rPr>
          <w:rFonts w:ascii="Arial" w:hAnsi="Arial" w:cs="Arial"/>
          <w:sz w:val="22"/>
          <w:szCs w:val="22"/>
        </w:rPr>
        <w:t xml:space="preserve">95% CI: </w:t>
      </w:r>
      <w:r w:rsidR="00C42140" w:rsidRPr="00C42140">
        <w:rPr>
          <w:rFonts w:ascii="Arial" w:hAnsi="Arial" w:cs="Arial"/>
          <w:sz w:val="22"/>
          <w:szCs w:val="22"/>
        </w:rPr>
        <w:t>31.5-41.1</w:t>
      </w:r>
      <w:r w:rsidR="00C42140">
        <w:rPr>
          <w:rFonts w:ascii="Arial" w:hAnsi="Arial" w:cs="Arial"/>
          <w:sz w:val="22"/>
          <w:szCs w:val="22"/>
        </w:rPr>
        <w:t>%</w:t>
      </w:r>
      <w:r w:rsidR="00C42140" w:rsidRPr="00C42140">
        <w:rPr>
          <w:rFonts w:ascii="Arial" w:hAnsi="Arial" w:cs="Arial"/>
          <w:sz w:val="22"/>
          <w:szCs w:val="22"/>
        </w:rPr>
        <w:t>)</w:t>
      </w:r>
      <w:r w:rsidR="00C42140">
        <w:rPr>
          <w:rFonts w:ascii="Arial" w:hAnsi="Arial" w:cs="Arial"/>
          <w:sz w:val="22"/>
          <w:szCs w:val="22"/>
        </w:rPr>
        <w:t xml:space="preserve"> in the years 2001-2010, and </w:t>
      </w:r>
      <w:r w:rsidR="00C42140" w:rsidRPr="00C42140">
        <w:rPr>
          <w:rFonts w:ascii="Arial" w:hAnsi="Arial" w:cs="Arial"/>
          <w:sz w:val="22"/>
          <w:szCs w:val="22"/>
        </w:rPr>
        <w:t>43.2</w:t>
      </w:r>
      <w:r w:rsidR="00C42140">
        <w:rPr>
          <w:rFonts w:ascii="Arial" w:hAnsi="Arial" w:cs="Arial"/>
          <w:sz w:val="22"/>
          <w:szCs w:val="22"/>
        </w:rPr>
        <w:t>%</w:t>
      </w:r>
      <w:r w:rsidR="00C42140" w:rsidRPr="00C42140">
        <w:rPr>
          <w:rFonts w:ascii="Arial" w:hAnsi="Arial" w:cs="Arial"/>
          <w:sz w:val="22"/>
          <w:szCs w:val="22"/>
        </w:rPr>
        <w:t xml:space="preserve"> (</w:t>
      </w:r>
      <w:r w:rsidR="00C42140">
        <w:rPr>
          <w:rFonts w:ascii="Arial" w:hAnsi="Arial" w:cs="Arial"/>
          <w:sz w:val="22"/>
          <w:szCs w:val="22"/>
        </w:rPr>
        <w:t xml:space="preserve">95% CI: </w:t>
      </w:r>
      <w:r w:rsidR="00C42140" w:rsidRPr="00C42140">
        <w:rPr>
          <w:rFonts w:ascii="Arial" w:hAnsi="Arial" w:cs="Arial"/>
          <w:sz w:val="22"/>
          <w:szCs w:val="22"/>
        </w:rPr>
        <w:t>36.4-50.3</w:t>
      </w:r>
      <w:r w:rsidR="00C42140">
        <w:rPr>
          <w:rFonts w:ascii="Arial" w:hAnsi="Arial" w:cs="Arial"/>
          <w:sz w:val="22"/>
          <w:szCs w:val="22"/>
        </w:rPr>
        <w:t>%</w:t>
      </w:r>
      <w:r w:rsidR="00C42140" w:rsidRPr="00C42140">
        <w:rPr>
          <w:rFonts w:ascii="Arial" w:hAnsi="Arial" w:cs="Arial"/>
          <w:sz w:val="22"/>
          <w:szCs w:val="22"/>
        </w:rPr>
        <w:t>)</w:t>
      </w:r>
      <w:r w:rsidR="00C42140">
        <w:rPr>
          <w:rFonts w:ascii="Arial" w:hAnsi="Arial" w:cs="Arial"/>
          <w:sz w:val="22"/>
          <w:szCs w:val="22"/>
        </w:rPr>
        <w:t xml:space="preserve"> in the years &gt;2010. P</w:t>
      </w:r>
      <w:r w:rsidR="00C42140" w:rsidRPr="001E7D0F">
        <w:rPr>
          <w:rFonts w:ascii="Arial" w:hAnsi="Arial" w:cs="Arial"/>
          <w:sz w:val="22"/>
          <w:szCs w:val="22"/>
        </w:rPr>
        <w:t>ooled mean HSV-2 seroprevalence</w:t>
      </w:r>
      <w:r w:rsidR="00C42140">
        <w:rPr>
          <w:rFonts w:ascii="Arial" w:hAnsi="Arial" w:cs="Arial"/>
          <w:sz w:val="22"/>
          <w:szCs w:val="22"/>
        </w:rPr>
        <w:t xml:space="preserve"> among men was </w:t>
      </w:r>
      <w:r w:rsidR="00C42140" w:rsidRPr="00C42140">
        <w:rPr>
          <w:rFonts w:ascii="Arial" w:hAnsi="Arial" w:cs="Arial"/>
          <w:sz w:val="22"/>
          <w:szCs w:val="22"/>
        </w:rPr>
        <w:t>32.5</w:t>
      </w:r>
      <w:r w:rsidR="00C42140">
        <w:rPr>
          <w:rFonts w:ascii="Arial" w:hAnsi="Arial" w:cs="Arial"/>
          <w:sz w:val="22"/>
          <w:szCs w:val="22"/>
        </w:rPr>
        <w:t>%</w:t>
      </w:r>
      <w:r w:rsidR="00C42140" w:rsidRPr="001E7D0F">
        <w:rPr>
          <w:rFonts w:ascii="Arial" w:hAnsi="Arial" w:cs="Arial"/>
          <w:sz w:val="22"/>
          <w:szCs w:val="22"/>
        </w:rPr>
        <w:t xml:space="preserve"> (</w:t>
      </w:r>
      <w:r w:rsidR="00C42140">
        <w:rPr>
          <w:rFonts w:ascii="Arial" w:hAnsi="Arial" w:cs="Arial"/>
          <w:sz w:val="22"/>
          <w:szCs w:val="22"/>
        </w:rPr>
        <w:t xml:space="preserve">95% CI: </w:t>
      </w:r>
      <w:r w:rsidR="00C42140" w:rsidRPr="00C42140">
        <w:rPr>
          <w:rFonts w:ascii="Arial" w:hAnsi="Arial" w:cs="Arial"/>
          <w:sz w:val="22"/>
          <w:szCs w:val="22"/>
        </w:rPr>
        <w:t>27.1-38.1</w:t>
      </w:r>
      <w:r w:rsidR="00C42140">
        <w:rPr>
          <w:rFonts w:ascii="Arial" w:hAnsi="Arial" w:cs="Arial"/>
          <w:sz w:val="22"/>
          <w:szCs w:val="22"/>
        </w:rPr>
        <w:t>%</w:t>
      </w:r>
      <w:r w:rsidR="00C42140" w:rsidRPr="001E7D0F">
        <w:rPr>
          <w:rFonts w:ascii="Arial" w:hAnsi="Arial" w:cs="Arial"/>
          <w:sz w:val="22"/>
          <w:szCs w:val="22"/>
        </w:rPr>
        <w:t>)</w:t>
      </w:r>
      <w:r w:rsidR="00C42140">
        <w:rPr>
          <w:rFonts w:ascii="Arial" w:hAnsi="Arial" w:cs="Arial"/>
          <w:sz w:val="22"/>
          <w:szCs w:val="22"/>
        </w:rPr>
        <w:t xml:space="preserve"> in the years &lt;2000, </w:t>
      </w:r>
      <w:r w:rsidR="00C42140" w:rsidRPr="00C42140">
        <w:rPr>
          <w:rFonts w:ascii="Arial" w:hAnsi="Arial" w:cs="Arial"/>
          <w:sz w:val="22"/>
          <w:szCs w:val="22"/>
        </w:rPr>
        <w:t>28.4</w:t>
      </w:r>
      <w:r w:rsidR="00C42140">
        <w:rPr>
          <w:rFonts w:ascii="Arial" w:hAnsi="Arial" w:cs="Arial"/>
          <w:sz w:val="22"/>
          <w:szCs w:val="22"/>
        </w:rPr>
        <w:t>%</w:t>
      </w:r>
      <w:r w:rsidR="00C42140" w:rsidRPr="00C42140">
        <w:rPr>
          <w:rFonts w:ascii="Arial" w:hAnsi="Arial" w:cs="Arial"/>
          <w:sz w:val="22"/>
          <w:szCs w:val="22"/>
        </w:rPr>
        <w:t xml:space="preserve"> (</w:t>
      </w:r>
      <w:r w:rsidR="00C42140">
        <w:rPr>
          <w:rFonts w:ascii="Arial" w:hAnsi="Arial" w:cs="Arial"/>
          <w:sz w:val="22"/>
          <w:szCs w:val="22"/>
        </w:rPr>
        <w:t xml:space="preserve">95% CI: </w:t>
      </w:r>
      <w:r w:rsidR="00C42140" w:rsidRPr="00C42140">
        <w:rPr>
          <w:rFonts w:ascii="Arial" w:hAnsi="Arial" w:cs="Arial"/>
          <w:sz w:val="22"/>
          <w:szCs w:val="22"/>
        </w:rPr>
        <w:t>23.2-33.9</w:t>
      </w:r>
      <w:r w:rsidR="00C42140">
        <w:rPr>
          <w:rFonts w:ascii="Arial" w:hAnsi="Arial" w:cs="Arial"/>
          <w:sz w:val="22"/>
          <w:szCs w:val="22"/>
        </w:rPr>
        <w:t>%</w:t>
      </w:r>
      <w:r w:rsidR="00C42140" w:rsidRPr="00C42140">
        <w:rPr>
          <w:rFonts w:ascii="Arial" w:hAnsi="Arial" w:cs="Arial"/>
          <w:sz w:val="22"/>
          <w:szCs w:val="22"/>
        </w:rPr>
        <w:t>)</w:t>
      </w:r>
      <w:r w:rsidR="00C42140">
        <w:rPr>
          <w:rFonts w:ascii="Arial" w:hAnsi="Arial" w:cs="Arial"/>
          <w:sz w:val="22"/>
          <w:szCs w:val="22"/>
        </w:rPr>
        <w:t xml:space="preserve"> in the years </w:t>
      </w:r>
      <w:r w:rsidR="00C42140">
        <w:rPr>
          <w:rFonts w:ascii="Arial" w:hAnsi="Arial" w:cs="Arial"/>
          <w:sz w:val="22"/>
          <w:szCs w:val="22"/>
        </w:rPr>
        <w:lastRenderedPageBreak/>
        <w:t xml:space="preserve">2001-2010, and </w:t>
      </w:r>
      <w:r w:rsidR="00C42140" w:rsidRPr="00C42140">
        <w:rPr>
          <w:rFonts w:ascii="Arial" w:hAnsi="Arial" w:cs="Arial"/>
          <w:sz w:val="22"/>
          <w:szCs w:val="22"/>
        </w:rPr>
        <w:t>23.7</w:t>
      </w:r>
      <w:r w:rsidR="00C42140">
        <w:rPr>
          <w:rFonts w:ascii="Arial" w:hAnsi="Arial" w:cs="Arial"/>
          <w:sz w:val="22"/>
          <w:szCs w:val="22"/>
        </w:rPr>
        <w:t>%</w:t>
      </w:r>
      <w:r w:rsidR="00C42140" w:rsidRPr="00C42140">
        <w:rPr>
          <w:rFonts w:ascii="Arial" w:hAnsi="Arial" w:cs="Arial"/>
          <w:sz w:val="22"/>
          <w:szCs w:val="22"/>
        </w:rPr>
        <w:t xml:space="preserve"> (</w:t>
      </w:r>
      <w:r w:rsidR="00C42140">
        <w:rPr>
          <w:rFonts w:ascii="Arial" w:hAnsi="Arial" w:cs="Arial"/>
          <w:sz w:val="22"/>
          <w:szCs w:val="22"/>
        </w:rPr>
        <w:t xml:space="preserve">95% CI: </w:t>
      </w:r>
      <w:r w:rsidR="00C42140" w:rsidRPr="00C42140">
        <w:rPr>
          <w:rFonts w:ascii="Arial" w:hAnsi="Arial" w:cs="Arial"/>
          <w:sz w:val="22"/>
          <w:szCs w:val="22"/>
        </w:rPr>
        <w:t>16.9-31.3</w:t>
      </w:r>
      <w:r w:rsidR="00C42140">
        <w:rPr>
          <w:rFonts w:ascii="Arial" w:hAnsi="Arial" w:cs="Arial"/>
          <w:sz w:val="22"/>
          <w:szCs w:val="22"/>
        </w:rPr>
        <w:t>%</w:t>
      </w:r>
      <w:r w:rsidR="00C42140" w:rsidRPr="00C42140">
        <w:rPr>
          <w:rFonts w:ascii="Arial" w:hAnsi="Arial" w:cs="Arial"/>
          <w:sz w:val="22"/>
          <w:szCs w:val="22"/>
        </w:rPr>
        <w:t>)</w:t>
      </w:r>
      <w:r w:rsidR="00C42140">
        <w:rPr>
          <w:rFonts w:ascii="Arial" w:hAnsi="Arial" w:cs="Arial"/>
          <w:sz w:val="22"/>
          <w:szCs w:val="22"/>
        </w:rPr>
        <w:t xml:space="preserve"> in the years &gt;2010. </w:t>
      </w:r>
      <w:r w:rsidR="008F5967">
        <w:rPr>
          <w:rFonts w:ascii="Arial" w:hAnsi="Arial" w:cs="Arial"/>
          <w:sz w:val="22"/>
          <w:szCs w:val="22"/>
        </w:rPr>
        <w:t xml:space="preserve">Meta-regressions were </w:t>
      </w:r>
      <w:r w:rsidR="008F5967" w:rsidRPr="001E7D0F">
        <w:rPr>
          <w:rFonts w:ascii="Arial" w:hAnsi="Arial" w:cs="Arial"/>
          <w:sz w:val="22"/>
          <w:szCs w:val="22"/>
        </w:rPr>
        <w:t>conducted</w:t>
      </w:r>
      <w:r w:rsidR="008F5967">
        <w:rPr>
          <w:rFonts w:ascii="Arial" w:hAnsi="Arial" w:cs="Arial"/>
          <w:sz w:val="22"/>
          <w:szCs w:val="22"/>
        </w:rPr>
        <w:t xml:space="preserve"> to determine the time trend of HSV-2 seroprevalence</w:t>
      </w:r>
      <w:r w:rsidR="008F5967" w:rsidRPr="001E7D0F">
        <w:rPr>
          <w:rFonts w:ascii="Arial" w:hAnsi="Arial" w:cs="Arial"/>
          <w:sz w:val="22"/>
          <w:szCs w:val="22"/>
        </w:rPr>
        <w:t xml:space="preserve"> </w:t>
      </w:r>
      <w:r w:rsidR="008F5967">
        <w:rPr>
          <w:rFonts w:ascii="Arial" w:hAnsi="Arial" w:cs="Arial"/>
          <w:sz w:val="22"/>
          <w:szCs w:val="22"/>
        </w:rPr>
        <w:t>in the WHO Africa Region.</w:t>
      </w:r>
    </w:p>
    <w:p w14:paraId="1591D23C" w14:textId="77777777" w:rsidR="00102E13" w:rsidRPr="004F6C22" w:rsidRDefault="00102E13" w:rsidP="00124033">
      <w:pPr>
        <w:jc w:val="both"/>
        <w:rPr>
          <w:rFonts w:ascii="Arial" w:hAnsi="Arial" w:cs="Arial"/>
          <w:sz w:val="22"/>
          <w:szCs w:val="22"/>
        </w:rPr>
      </w:pPr>
    </w:p>
    <w:p w14:paraId="0EABC31D" w14:textId="77777777" w:rsidR="00F97CEE" w:rsidRDefault="00F97CEE" w:rsidP="00E96E71">
      <w:pPr>
        <w:ind w:left="720"/>
        <w:jc w:val="both"/>
        <w:rPr>
          <w:rFonts w:ascii="Arial" w:hAnsi="Arial" w:cs="Arial"/>
          <w:sz w:val="22"/>
          <w:szCs w:val="22"/>
        </w:rPr>
      </w:pPr>
    </w:p>
    <w:p w14:paraId="50D74F65" w14:textId="3D228182" w:rsidR="00181892" w:rsidRDefault="00181892" w:rsidP="00181892">
      <w:pPr>
        <w:pStyle w:val="Heading3"/>
        <w:numPr>
          <w:ilvl w:val="0"/>
          <w:numId w:val="20"/>
        </w:numPr>
        <w:rPr>
          <w:rFonts w:ascii="Arial" w:hAnsi="Arial" w:cs="Arial"/>
        </w:rPr>
      </w:pPr>
      <w:bookmarkStart w:id="41" w:name="_Toc64459923"/>
      <w:bookmarkStart w:id="42" w:name="_Toc81857629"/>
      <w:r>
        <w:rPr>
          <w:rFonts w:ascii="Arial" w:hAnsi="Arial" w:cs="Arial"/>
        </w:rPr>
        <w:t>Economic Losses</w:t>
      </w:r>
      <w:bookmarkEnd w:id="41"/>
      <w:bookmarkEnd w:id="42"/>
    </w:p>
    <w:p w14:paraId="52062571" w14:textId="77777777" w:rsidR="00181892" w:rsidRDefault="00181892" w:rsidP="00E96E71">
      <w:pPr>
        <w:ind w:left="720"/>
        <w:jc w:val="both"/>
        <w:rPr>
          <w:rFonts w:ascii="Arial" w:hAnsi="Arial" w:cs="Arial"/>
          <w:sz w:val="22"/>
          <w:szCs w:val="22"/>
        </w:rPr>
      </w:pPr>
    </w:p>
    <w:p w14:paraId="0FF95098" w14:textId="3EC55C97" w:rsidR="00A7095B" w:rsidRPr="001F1C09" w:rsidRDefault="000663E8" w:rsidP="001F1C09">
      <w:pPr>
        <w:ind w:left="720"/>
        <w:jc w:val="both"/>
        <w:rPr>
          <w:rFonts w:ascii="Arial" w:hAnsi="Arial" w:cs="Arial"/>
          <w:sz w:val="22"/>
          <w:szCs w:val="22"/>
        </w:rPr>
      </w:pPr>
      <w:r w:rsidRPr="001F1C09">
        <w:rPr>
          <w:rFonts w:ascii="Arial" w:hAnsi="Arial" w:cs="Arial"/>
          <w:sz w:val="22"/>
          <w:szCs w:val="22"/>
        </w:rPr>
        <w:t>We calculated the regional unit cost of medicine based on the buyer price reported by Sudan’s National Medical Supplies for 2015, adjusting for the remaining countries using as the adjustment factor, the ratio of each country’s GNI/capita to Sudan’s GNI/capita in 2015.</w:t>
      </w:r>
      <w:r w:rsidR="00A7095B" w:rsidRPr="001F1C09">
        <w:rPr>
          <w:rFonts w:ascii="Arial" w:hAnsi="Arial" w:cs="Arial"/>
          <w:sz w:val="22"/>
          <w:szCs w:val="22"/>
        </w:rPr>
        <w:t xml:space="preserve"> We then adjusted for 2019 using historical prices and GNI/capita as a predictor. </w:t>
      </w:r>
    </w:p>
    <w:p w14:paraId="08E7BE75" w14:textId="77777777" w:rsidR="00A7095B" w:rsidRPr="001F1C09" w:rsidRDefault="00A7095B" w:rsidP="001F1C09">
      <w:pPr>
        <w:ind w:left="720"/>
        <w:jc w:val="both"/>
        <w:rPr>
          <w:rFonts w:ascii="Arial" w:hAnsi="Arial" w:cs="Arial"/>
          <w:sz w:val="22"/>
          <w:szCs w:val="22"/>
        </w:rPr>
      </w:pPr>
    </w:p>
    <w:p w14:paraId="68510C7B" w14:textId="7FEC201C" w:rsidR="005B0BB7" w:rsidRPr="00E60D9D" w:rsidRDefault="00A7095B" w:rsidP="001F1C09">
      <w:pPr>
        <w:ind w:left="720"/>
        <w:jc w:val="both"/>
        <w:rPr>
          <w:rFonts w:ascii="Arial" w:hAnsi="Arial" w:cs="Arial"/>
          <w:bCs/>
          <w:sz w:val="22"/>
          <w:szCs w:val="22"/>
        </w:rPr>
      </w:pPr>
      <w:r w:rsidRPr="001F1C09">
        <w:rPr>
          <w:rFonts w:ascii="Arial" w:hAnsi="Arial" w:cs="Arial"/>
          <w:sz w:val="22"/>
          <w:szCs w:val="22"/>
        </w:rPr>
        <w:t xml:space="preserve">For the cost of an outpatient visit, </w:t>
      </w:r>
      <w:r w:rsidRPr="00E60D9D">
        <w:rPr>
          <w:rFonts w:ascii="Arial" w:hAnsi="Arial" w:cs="Arial"/>
          <w:bCs/>
          <w:sz w:val="22"/>
          <w:szCs w:val="22"/>
        </w:rPr>
        <w:t>Weaver and colleagues provided us the unit cost of outpatient and inpatient visits from 1995 to 2040 (mean, 2.5, and 97.5 percentiles)</w:t>
      </w:r>
      <w:r w:rsidR="00E54643">
        <w:rPr>
          <w:rFonts w:ascii="Arial" w:hAnsi="Arial" w:cs="Arial"/>
          <w:bCs/>
          <w:sz w:val="22"/>
          <w:szCs w:val="22"/>
        </w:rPr>
        <w:fldChar w:fldCharType="begin"/>
      </w:r>
      <w:r w:rsidR="0081559F">
        <w:rPr>
          <w:rFonts w:ascii="Arial" w:hAnsi="Arial" w:cs="Arial"/>
          <w:bCs/>
          <w:sz w:val="22"/>
          <w:szCs w:val="22"/>
        </w:rPr>
        <w:instrText xml:space="preserve"> ADDIN ZOTERO_ITEM CSL_CITATION {"citationID":"Xdg8VPBu","properties":{"formattedCitation":"[36]","plainCitation":"[36]","noteIndex":0},"citationItems":[{"id":29196,"uris":["http://zotero.org/users/local/p8g0WsVO/items/SCHF8R5L"],"itemData":{"id":29196,"type":"personal_communication","language":"English (US)","title":"Unit cost of outpatient and inpatient visits from 1995 to 2040","author":[{"family":"Weaver M","given":""}],"issued":{"date-parts":[["2021",1,5]]}}}],"schema":"https://github.com/citation-style-language/schema/raw/master/csl-citation.json"} </w:instrText>
      </w:r>
      <w:r w:rsidR="00E54643">
        <w:rPr>
          <w:rFonts w:ascii="Arial" w:hAnsi="Arial" w:cs="Arial"/>
          <w:bCs/>
          <w:sz w:val="22"/>
          <w:szCs w:val="22"/>
        </w:rPr>
        <w:fldChar w:fldCharType="separate"/>
      </w:r>
      <w:r w:rsidR="0081559F">
        <w:rPr>
          <w:rFonts w:ascii="Arial" w:hAnsi="Arial" w:cs="Arial"/>
          <w:sz w:val="22"/>
        </w:rPr>
        <w:t>[36]</w:t>
      </w:r>
      <w:r w:rsidR="00E54643">
        <w:rPr>
          <w:rFonts w:ascii="Arial" w:hAnsi="Arial" w:cs="Arial"/>
          <w:bCs/>
          <w:sz w:val="22"/>
          <w:szCs w:val="22"/>
        </w:rPr>
        <w:fldChar w:fldCharType="end"/>
      </w:r>
      <w:r w:rsidRPr="00E60D9D">
        <w:rPr>
          <w:rFonts w:ascii="Arial" w:hAnsi="Arial" w:cs="Arial"/>
          <w:bCs/>
          <w:sz w:val="22"/>
          <w:szCs w:val="22"/>
        </w:rPr>
        <w:t>. The estimates from 1995 to 2016 are from Moses et al. The forecasts from 2017 to 2040 are from the reference scenario, based on the forecasting methods reported in Foreman et al.</w:t>
      </w:r>
      <w:r w:rsidR="005577A2">
        <w:rPr>
          <w:rFonts w:ascii="Arial" w:hAnsi="Arial" w:cs="Arial"/>
          <w:bCs/>
          <w:sz w:val="22"/>
          <w:szCs w:val="22"/>
        </w:rPr>
        <w:fldChar w:fldCharType="begin"/>
      </w:r>
      <w:r w:rsidR="0081559F">
        <w:rPr>
          <w:rFonts w:ascii="Arial" w:hAnsi="Arial" w:cs="Arial"/>
          <w:bCs/>
          <w:sz w:val="22"/>
          <w:szCs w:val="22"/>
        </w:rPr>
        <w:instrText xml:space="preserve"> ADDIN ZOTERO_ITEM CSL_CITATION {"citationID":"MNwnoKHA","properties":{"formattedCitation":"[37]","plainCitation":"[37]","noteIndex":0},"citationItems":[{"id":29191,"uris":["http://zotero.org/users/local/p8g0WsVO/items/DJR2Q28I"],"itemData":{"id":29191,"type":"article-journal","abstract":"&lt;h2&gt;Summary&lt;/h2&gt;&lt;h3&gt;Background&lt;/h3&gt;&lt;p&gt;Understanding potential trajectories in health and drivers of health is crucial to guiding long-term investments and policy implementation. Past work on forecasting has provided an incomplete landscape of future health scenarios, highlighting a need for a more robust modelling platform from which policy options and potential health trajectories can be assessed. This study provides a novel approach to modelling life expectancy, all-cause mortality and cause of death forecasts —and alternative future scenarios—for 250 causes of death from 2016 to 2040 in 195 countries and territories.&lt;/p&gt;&lt;h3&gt;Methods&lt;/h3&gt;&lt;p&gt;We modelled 250 causes and cause groups organised by the Global Burden of Diseases, Injuries, and Risk Factors Study (GBD) hierarchical cause structure, using GBD 2016 estimates from 1990–2016, to generate predictions for 2017–40. Our modelling framework used data from the GBD 2016 study to systematically account for the relationships between risk factors and health outcomes for 79 independent drivers of health. We developed a three-component model of cause-specific mortality: a component due to changes in risk factors and select interventions; the underlying mortality rate for each cause that is a function of income per capita, educational attainment, and total fertility rate under 25 years and time; and an autoregressive integrated moving average model for unexplained changes correlated with time. We assessed the performance by fitting models with data from 1990–2006 and using these to forecast for 2007–16. Our final model used for generating forecasts and alternative scenarios was fitted to data from 1990–2016. We used this model for 195 countries and territories to generate a reference scenario or forecast through 2040 for each measure by location. Additionally, we generated better health and worse health scenarios based on the 85th and 15th percentiles, respectively, of annualised rates of change across location-years for all the GBD risk factors, income per person, educational attainment, select intervention coverage, and total fertility rate under 25 years in the past. We used the model to generate all-cause age-sex specific mortality, life expectancy, and years of life lost (YLLs) for 250 causes. Scenarios for fertility were also generated and used in a cohort component model to generate population scenarios. For each reference forecast, better health, and worse health scenarios, we generated estimates of mortality and YLLs attributable to each risk factor in the future.&lt;/p&gt;&lt;h3&gt;Findings&lt;/h3&gt;&lt;p&gt;Globally, most independent drivers of health were forecast to improve by 2040, but 36 were forecast to worsen. As shown by the better health scenarios, greater progress might be possible, yet for some drivers such as high body-mass index (BMI), their toll will rise in the absence of intervention. We forecasted global life expectancy to increase by 4·4 years (95% UI 2·2 to 6·4) for men and 4·4 years (2·1 to 6·4) for women by 2040, but based on better and worse health scenarios, trajectories could range from a gain of 7·8 years (5·9 to 9·8) to a non-significant loss of 0·4 years (–2·8 to 2·2) for men, and an increase of 7·2 years (5·3 to 9·1) to essentially no change (0·1 years [–2·7 to 2·5]) for women. In 2040, Japan, Singapore, Spain, and Switzerland had a forecasted life expectancy exceeding 85 years for both sexes, and 59 countries including China were projected to surpass a life expectancy of 80 years by 2040. At the same time, Central African Republic, Lesotho, Somalia, and Zimbabwe had projected life expectancies below 65 years in 2040, indicating global disparities in survival are likely to persist if current trends hold. Forecasted YLLs showed a rising toll from several non-communicable diseases (NCDs), partly driven by population growth and ageing. Differences between the reference forecast and alternative scenarios were most striking for HIV/AIDS, for which a potential increase of 120·2% (95% UI 67·2–190·3) in YLLs (nearly 118 million) was projected globally from 2016–40 under the worse health scenario. Compared with 2016, NCDs were forecast to account for a greater proportion of YLLs in all GBD regions by 2040 (67·3% of YLLs [95% UI 61·9–72·3] globally); nonetheless, in many lower-income countries, communicable, maternal, neonatal, and nutritional (CMNN) diseases still accounted for a large share of YLLs in 2040 (eg, 53·5% of YLLs [95% UI 48·3–58·5] in Sub-Saharan Africa). There were large gaps for many health risks between the reference forecast and better health scenario for attributable YLLs. In most countries, metabolic risks amenable to health care (eg, high blood pressure and high plasma fasting glucose) and risks best targeted by population-level or intersectoral interventions (eg, tobacco, high BMI, and ambient particulate matter pollution) had some of the largest differences between reference and better health scenarios. The main exception was sub-Saharan Africa, where many risks associated with poverty and lower levels of development (eg, unsafe water and sanitation, household air pollution, and child malnutrition) were projected to still account for substantive disparities between reference and better health scenarios in 2040.&lt;/p&gt;&lt;h3&gt;Interpretation&lt;/h3&gt;&lt;p&gt;With the present study, we provide a robust, flexible forecasting platform from which reference forecasts and alternative health scenarios can be explored in relation to a wide range of independent drivers of health. Our reference forecast points to overall improvements through 2040 in most countries, yet the range found across better and worse health scenarios renders a precarious vision of the future—a world with accelerating progress from technical innovation but with the potential for worsening health outcomes in the absence of deliberate policy action. For some causes of YLLs, large differences between the reference forecast and alternative scenarios reflect the opportunity to accelerate gains if countries move their trajectories toward better health scenarios—or alarming challenges if countries fall behind their reference forecasts. Generally, decision makers should plan for the likely continued shift toward NCDs and target resources toward the modifiable risks that drive substantial premature mortality. If such modifiable risks are prioritised today, there is opportunity to reduce avoidable mortality in the future. However, CMNN causes and related risks will remain the predominant health priority among lower-income countries. Based on our 2040 worse health scenario, there is a real risk of HIV mortality rebounding if countries lose momentum against the HIV epidemic, jeopardising decades of progress against the disease. Continued technical innovation and increased health spending, including development assistance for health targeted to the world's poorest people, are likely to remain vital components to charting a future where all populations can live full, healthy lives.&lt;/p&gt;&lt;h3&gt;Funding&lt;/h3&gt;&lt;p&gt;Bill &amp; Melinda Gates Foundation.&lt;/p&gt;","container-title":"The Lancet","DOI":"10.1016/S0140-6736(18)31694-5","ISSN":"0140-6736, 1474-547X","issue":"10159","journalAbbreviation":"The Lancet","language":"English","note":"publisher: Elsevier\nPMID: 30340847","page":"2052-2090","source":"www.thelancet.com","title":"Forecasting life expectancy, years of life lost, and all-cause and cause-specific mortality for 250 causes of death: reference and alternative scenarios for 2016–40 for 195 countries and territories","title-short":"Forecasting life expectancy, years of life lost, and all-cause and cause-specific mortality for 250 causes of death","URL":"https://www.thelancet.com/journals/lancet/article/PIIS0140-6736(18)31694-5/abstract","volume":"392","author":[{"family":"Foreman","given":"Kyle J."},{"family":"Marquez","given":"Neal"},{"family":"Dolgert","given":"Andrew"},{"family":"Fukutaki","given":"Kai"},{"family":"Fullman","given":"Nancy"},{"family":"McGaughey","given":"Madeline"},{"family":"Pletcher","given":"Martin A."},{"family":"Smith","given":"Amanda E."},{"family":"Tang","given":"Kendrick"},{"family":"Yuan","given":"Chun-Wei"},{"family":"Brown","given":"Jonathan C."},{"family":"Friedman","given":"Joseph"},{"family":"He","given":"Jiawei"},{"family":"Heuton","given":"Kyle R."},{"family":"Holmberg","given":"Mollie"},{"family":"Patel","given":"Disha J."},{"family":"Reidy","given":"Patrick"},{"family":"Carter","given":"Austin"},{"family":"Cercy","given":"Kelly"},{"family":"Chapin","given":"Abigail"},{"family":"Douwes-Schultz","given":"Dirk"},{"family":"Frank","given":"Tahvi"},{"family":"Goettsch","given":"Falko"},{"family":"Liu","given":"Patrick Y."},{"family":"Nandakumar","given":"Vishnu"},{"family":"Reitsma","given":"Marissa B."},{"family":"Reuter","given":"Vince"},{"family":"Sadat","given":"Nafis"},{"family":"Sorensen","given":"Reed J. D."},{"family":"Srinivasan","given":"Vinay"},{"family":"Updike","given":"Rachel L."},{"family":"York","given":"Hunter"},{"family":"Lopez","given":"Alan D."},{"family":"Lozano","given":"Rafael"},{"family":"Lim","given":"Stephen S."},{"family":"Mokdad","given":"Ali H."},{"family":"Vollset","given":"Stein Emil"},{"family":"Murray","given":"Christopher J. L."}],"accessed":{"date-parts":[["2021",2,12]]},"issued":{"date-parts":[["2018",11,10]]}}}],"schema":"https://github.com/citation-style-language/schema/raw/master/csl-citation.json"} </w:instrText>
      </w:r>
      <w:r w:rsidR="005577A2">
        <w:rPr>
          <w:rFonts w:ascii="Arial" w:hAnsi="Arial" w:cs="Arial"/>
          <w:bCs/>
          <w:sz w:val="22"/>
          <w:szCs w:val="22"/>
        </w:rPr>
        <w:fldChar w:fldCharType="separate"/>
      </w:r>
      <w:r w:rsidR="0081559F">
        <w:rPr>
          <w:rFonts w:ascii="Arial" w:hAnsi="Arial" w:cs="Arial"/>
          <w:sz w:val="22"/>
        </w:rPr>
        <w:t>[37]</w:t>
      </w:r>
      <w:r w:rsidR="005577A2">
        <w:rPr>
          <w:rFonts w:ascii="Arial" w:hAnsi="Arial" w:cs="Arial"/>
          <w:bCs/>
          <w:sz w:val="22"/>
          <w:szCs w:val="22"/>
        </w:rPr>
        <w:fldChar w:fldCharType="end"/>
      </w:r>
      <w:r w:rsidRPr="00E60D9D">
        <w:rPr>
          <w:rFonts w:ascii="Arial" w:hAnsi="Arial" w:cs="Arial"/>
          <w:bCs/>
          <w:sz w:val="22"/>
          <w:szCs w:val="22"/>
        </w:rPr>
        <w:t xml:space="preserve"> The forecasts us</w:t>
      </w:r>
      <w:r w:rsidR="001D4B42">
        <w:rPr>
          <w:rFonts w:ascii="Arial" w:hAnsi="Arial" w:cs="Arial"/>
          <w:bCs/>
          <w:sz w:val="22"/>
          <w:szCs w:val="22"/>
        </w:rPr>
        <w:t>e</w:t>
      </w:r>
      <w:r w:rsidRPr="00E60D9D">
        <w:rPr>
          <w:rFonts w:ascii="Arial" w:hAnsi="Arial" w:cs="Arial"/>
          <w:bCs/>
          <w:sz w:val="22"/>
          <w:szCs w:val="22"/>
        </w:rPr>
        <w:t xml:space="preserve"> the weighted average rate of change between 1995 and 2016, </w:t>
      </w:r>
      <w:r w:rsidR="001D4B42">
        <w:rPr>
          <w:rFonts w:ascii="Arial" w:hAnsi="Arial" w:cs="Arial"/>
          <w:bCs/>
          <w:sz w:val="22"/>
          <w:szCs w:val="22"/>
        </w:rPr>
        <w:t>to p</w:t>
      </w:r>
      <w:r w:rsidRPr="00E60D9D">
        <w:rPr>
          <w:rFonts w:ascii="Arial" w:hAnsi="Arial" w:cs="Arial"/>
          <w:bCs/>
          <w:sz w:val="22"/>
          <w:szCs w:val="22"/>
        </w:rPr>
        <w:t>roject</w:t>
      </w:r>
      <w:r w:rsidR="001D4B42">
        <w:rPr>
          <w:rFonts w:ascii="Arial" w:hAnsi="Arial" w:cs="Arial"/>
          <w:bCs/>
          <w:sz w:val="22"/>
          <w:szCs w:val="22"/>
        </w:rPr>
        <w:t>s</w:t>
      </w:r>
      <w:r w:rsidRPr="00E60D9D">
        <w:rPr>
          <w:rFonts w:ascii="Arial" w:hAnsi="Arial" w:cs="Arial"/>
          <w:bCs/>
          <w:sz w:val="22"/>
          <w:szCs w:val="22"/>
        </w:rPr>
        <w:t xml:space="preserve">. Weight selection </w:t>
      </w:r>
      <w:r w:rsidR="001D4B42">
        <w:rPr>
          <w:rFonts w:ascii="Arial" w:hAnsi="Arial" w:cs="Arial"/>
          <w:bCs/>
          <w:sz w:val="22"/>
          <w:szCs w:val="22"/>
        </w:rPr>
        <w:t>wa</w:t>
      </w:r>
      <w:r w:rsidRPr="00E60D9D">
        <w:rPr>
          <w:rFonts w:ascii="Arial" w:hAnsi="Arial" w:cs="Arial"/>
          <w:bCs/>
          <w:sz w:val="22"/>
          <w:szCs w:val="22"/>
        </w:rPr>
        <w:t xml:space="preserve">s based on out-of-sample predictive validity, with larger weights </w:t>
      </w:r>
      <w:r w:rsidR="001D4B42">
        <w:rPr>
          <w:rFonts w:ascii="Arial" w:hAnsi="Arial" w:cs="Arial"/>
          <w:bCs/>
          <w:sz w:val="22"/>
          <w:szCs w:val="22"/>
        </w:rPr>
        <w:t>assigned to</w:t>
      </w:r>
      <w:r w:rsidRPr="00E60D9D">
        <w:rPr>
          <w:rFonts w:ascii="Arial" w:hAnsi="Arial" w:cs="Arial"/>
          <w:bCs/>
          <w:sz w:val="22"/>
          <w:szCs w:val="22"/>
        </w:rPr>
        <w:t xml:space="preserve"> more recent trends.</w:t>
      </w:r>
      <w:r w:rsidR="009F73F5">
        <w:rPr>
          <w:rFonts w:ascii="Arial" w:hAnsi="Arial" w:cs="Arial"/>
          <w:bCs/>
          <w:sz w:val="22"/>
          <w:szCs w:val="22"/>
        </w:rPr>
        <w:t xml:space="preserve"> </w:t>
      </w:r>
      <w:r w:rsidR="001D4B42">
        <w:rPr>
          <w:rFonts w:ascii="Arial" w:hAnsi="Arial" w:cs="Arial"/>
          <w:bCs/>
          <w:sz w:val="22"/>
          <w:szCs w:val="22"/>
        </w:rPr>
        <w:t>The</w:t>
      </w:r>
      <w:r w:rsidRPr="00E60D9D">
        <w:rPr>
          <w:rFonts w:ascii="Arial" w:hAnsi="Arial" w:cs="Arial"/>
          <w:bCs/>
          <w:sz w:val="22"/>
          <w:szCs w:val="22"/>
        </w:rPr>
        <w:t xml:space="preserve"> weighted average of outpatient unit costs</w:t>
      </w:r>
      <w:r w:rsidR="001D4B42">
        <w:rPr>
          <w:rFonts w:ascii="Arial" w:hAnsi="Arial" w:cs="Arial"/>
          <w:bCs/>
          <w:sz w:val="22"/>
          <w:szCs w:val="22"/>
        </w:rPr>
        <w:t xml:space="preserve"> were further</w:t>
      </w:r>
      <w:r w:rsidRPr="00E60D9D">
        <w:rPr>
          <w:rFonts w:ascii="Arial" w:hAnsi="Arial" w:cs="Arial"/>
          <w:bCs/>
          <w:sz w:val="22"/>
          <w:szCs w:val="22"/>
        </w:rPr>
        <w:t xml:space="preserve"> weight</w:t>
      </w:r>
      <w:r w:rsidR="001D4B42">
        <w:rPr>
          <w:rFonts w:ascii="Arial" w:hAnsi="Arial" w:cs="Arial"/>
          <w:bCs/>
          <w:sz w:val="22"/>
          <w:szCs w:val="22"/>
        </w:rPr>
        <w:t>ed</w:t>
      </w:r>
      <w:r w:rsidRPr="00E60D9D">
        <w:rPr>
          <w:rFonts w:ascii="Arial" w:hAnsi="Arial" w:cs="Arial"/>
          <w:bCs/>
          <w:sz w:val="22"/>
          <w:szCs w:val="22"/>
        </w:rPr>
        <w:t xml:space="preserve"> based on the age-standardized, per capital outpatient utilization rate for both sexes reported by Moses et al.</w:t>
      </w:r>
      <w:r w:rsidR="005577A2">
        <w:rPr>
          <w:rFonts w:ascii="Arial" w:hAnsi="Arial" w:cs="Arial"/>
          <w:bCs/>
          <w:sz w:val="22"/>
          <w:szCs w:val="22"/>
        </w:rPr>
        <w:fldChar w:fldCharType="begin"/>
      </w:r>
      <w:r w:rsidR="0081559F">
        <w:rPr>
          <w:rFonts w:ascii="Arial" w:hAnsi="Arial" w:cs="Arial"/>
          <w:bCs/>
          <w:sz w:val="22"/>
          <w:szCs w:val="22"/>
        </w:rPr>
        <w:instrText xml:space="preserve"> ADDIN ZOTERO_ITEM CSL_CITATION {"citationID":"weJAIUuI","properties":{"formattedCitation":"[38]","plainCitation":"[38]","noteIndex":0},"citationItems":[{"id":26934,"uris":["http://zotero.org/users/local/p8g0WsVO/items/LIQQQ5IJ"],"itemData":{"id":26934,"type":"article-journal","abstract":"&lt;h2&gt;Summary&lt;/h2&gt;&lt;h3&gt;Background&lt;/h3&gt;&lt;p&gt;To inform plans to achieve universal health coverage (UHC), we estimated utilisation and unit cost of outpatient visits and inpatient admissions, did a decomposition analysis of utilisation, and estimated additional services and funds needed to meet a UHC standard for utilisation.&lt;/p&gt;&lt;h3&gt;Methods&lt;/h3&gt;&lt;p&gt;We collated 1175 country-years of outpatient data on utilisation from 130 countries and 2068 country-years of inpatient data from 128 countries. We did meta-regression analyses of annual visits and admissions per capita by sex, age, location, and year with DisMod-MR, a Bayesian meta-regression tool. We decomposed changes in total number of services from 1990 to 2016. We used data from 795 National Health Accounts to estimate shares of outpatient and inpatient services in total health expenditure by location and year and estimated unit costs as expenditure divided by utilisation. We identified standards of utilisation per disability-adjusted life-year and estimated additional services and funds needed.&lt;/p&gt;&lt;h3&gt;Findings&lt;/h3&gt;&lt;p&gt;In 2016, the global age-standardised outpatient utilisation rate was 5·42 visits (95% uncertainty interval [UI] 4·88–5·99) per capita and the inpatient utilisation rate was 0·10 admissions (0·09–0·11) per capita. Globally, 39·35 billion (95% UI 35·38–43·58) visits and 0·71 billion (0·65–0·77) admissions were provided in 2016. Of the 58·65% increase in visits since 1990, population growth accounted for 42·95%, population ageing for 8·09%, and higher utilisation rates for 7·63%; results for the 67·96% increase in admissions were 44·33% from population growth, 9·99% from population ageing, and 13·55% from increases in utilisation rates. 2016 unit cost estimates (in 2017 international dollars [I$]) ranged from I$2 to I$478 for visits and from I$87 to I$22 543 for admissions. The annual cost of 8·20 billion (6·24–9·95) additional visits and 0·28 billion (0·25–0·30) admissions in low-income and lower-middle income countries in 2016 was I$503·12 billion (404·35–605·98) or US$158·10 billion (126·58–189·67).&lt;/p&gt;&lt;h3&gt;Interpretation&lt;/h3&gt;&lt;p&gt;UHC plans can be based on utilisation and unit costs of current health systems and guided by standards of utilisation of outpatient visits and inpatient admissions that achieve the highest coverage of personal health services at the lowest cost.&lt;/p&gt;&lt;h3&gt;Funding&lt;/h3&gt;&lt;p&gt;Bill &amp; Melinda Gates Foundation.&lt;/p&gt;","container-title":"The Lancet Public Health","DOI":"10.1016/S2468-2667(18)30213-5","ISSN":"2468-2667","issue":"1","journalAbbreviation":"The Lancet Public Health","language":"English","note":"PMID: 30551974","page":"e49-e73","source":"www.thelancet.com","title":"Funding and services needed to achieve universal health coverage: applications of global, regional, and national estimates of utilisation of outpatient visits and inpatient admissions from 1990 to 2016, and unit costs from 1995 to 2016","title-short":"Funding and services needed to achieve universal health coverage","URL":"https://www.thelancet.com/journals/lanpub/article/PIIS2468-2667(18)30213-5/abstract","volume":"4","author":[{"family":"Moses","given":"Mark W."},{"family":"Pedroza","given":"Paola"},{"family":"Baral","given":"Ranju"},{"family":"Bloom","given":"Sabina"},{"family":"Brown","given":"Jonathan"},{"family":"Chapin","given":"Abby"},{"family":"Compton","given":"Kelly"},{"family":"Eldrenkamp","given":"Erika"},{"family":"Fullman","given":"Nancy"},{"family":"Mumford","given":"John Everett"},{"family":"Nandakumar","given":"Vishnu"},{"family":"Rosettie","given":"Katherine"},{"family":"Sadat","given":"Nafis"},{"family":"Shonka","given":"Tom"},{"family":"Flaxman","given":"Abraham"},{"family":"Vos","given":"Theo"},{"family":"Murray","given":"Chris J. L."},{"family":"Weaver","given":"Marcia R."}],"accessed":{"date-parts":[["2019",3,1]]},"issued":{"date-parts":[["2019",1,1]]}}}],"schema":"https://github.com/citation-style-language/schema/raw/master/csl-citation.json"} </w:instrText>
      </w:r>
      <w:r w:rsidR="005577A2">
        <w:rPr>
          <w:rFonts w:ascii="Arial" w:hAnsi="Arial" w:cs="Arial"/>
          <w:bCs/>
          <w:sz w:val="22"/>
          <w:szCs w:val="22"/>
        </w:rPr>
        <w:fldChar w:fldCharType="separate"/>
      </w:r>
      <w:r w:rsidR="0081559F">
        <w:rPr>
          <w:rFonts w:ascii="Arial" w:hAnsi="Arial" w:cs="Arial"/>
          <w:sz w:val="22"/>
        </w:rPr>
        <w:t>[38]</w:t>
      </w:r>
      <w:r w:rsidR="005577A2">
        <w:rPr>
          <w:rFonts w:ascii="Arial" w:hAnsi="Arial" w:cs="Arial"/>
          <w:bCs/>
          <w:sz w:val="22"/>
          <w:szCs w:val="22"/>
        </w:rPr>
        <w:fldChar w:fldCharType="end"/>
      </w:r>
    </w:p>
    <w:p w14:paraId="4C043927" w14:textId="77777777" w:rsidR="00E674A4" w:rsidRDefault="00E674A4" w:rsidP="001F1C09">
      <w:pPr>
        <w:ind w:left="720"/>
        <w:jc w:val="both"/>
        <w:rPr>
          <w:rFonts w:ascii="Arial" w:hAnsi="Arial" w:cs="Arial"/>
          <w:bCs/>
          <w:sz w:val="22"/>
          <w:szCs w:val="22"/>
        </w:rPr>
      </w:pPr>
    </w:p>
    <w:p w14:paraId="6B0C75EF" w14:textId="6D3871B5" w:rsidR="00A7095B" w:rsidRPr="00E60D9D" w:rsidRDefault="00A7095B" w:rsidP="001F1C09">
      <w:pPr>
        <w:ind w:left="720"/>
        <w:jc w:val="both"/>
        <w:rPr>
          <w:rFonts w:ascii="Arial" w:hAnsi="Arial" w:cs="Arial"/>
          <w:sz w:val="22"/>
          <w:szCs w:val="22"/>
        </w:rPr>
      </w:pPr>
      <w:r w:rsidRPr="00E60D9D">
        <w:rPr>
          <w:rFonts w:ascii="Arial" w:hAnsi="Arial" w:cs="Arial"/>
          <w:bCs/>
          <w:sz w:val="22"/>
          <w:szCs w:val="22"/>
        </w:rPr>
        <w:t xml:space="preserve">When calculating wage losses, we first </w:t>
      </w:r>
      <w:r w:rsidR="004F5B1B" w:rsidRPr="00E60D9D">
        <w:rPr>
          <w:rFonts w:ascii="Arial" w:hAnsi="Arial" w:cs="Arial"/>
          <w:bCs/>
          <w:sz w:val="22"/>
          <w:szCs w:val="22"/>
        </w:rPr>
        <w:t xml:space="preserve">predicted the employment-to-population ratio through 2030, based on values reported by ILOSTAT from 1990 to 2020. For this purpose, we used the </w:t>
      </w:r>
      <w:r w:rsidR="004F5B1B" w:rsidRPr="00E60D9D">
        <w:rPr>
          <w:rFonts w:ascii="Arial" w:hAnsi="Arial" w:cs="Arial"/>
          <w:sz w:val="22"/>
          <w:szCs w:val="22"/>
        </w:rPr>
        <w:t xml:space="preserve">Locally Weighted Scatter-plot Smoother (LOWESS) function available from Stata. </w:t>
      </w:r>
      <w:r w:rsidR="00EB1CCF" w:rsidRPr="00E60D9D">
        <w:rPr>
          <w:rFonts w:ascii="Arial" w:hAnsi="Arial" w:cs="Arial"/>
          <w:sz w:val="22"/>
          <w:szCs w:val="22"/>
        </w:rPr>
        <w:t xml:space="preserve">To calculate the regional daily wage rate for each country and year from 2021 to 2030, we first predicted the GNI/capita through 2040, using GNI/capita from 1950 to 2020 (available from the World Bank). We then calculated the monthly wage rate as described in section </w:t>
      </w:r>
      <w:r w:rsidR="00093BF5">
        <w:rPr>
          <w:rFonts w:ascii="Arial" w:hAnsi="Arial" w:cs="Arial"/>
          <w:sz w:val="22"/>
          <w:szCs w:val="22"/>
        </w:rPr>
        <w:t>3.D.1</w:t>
      </w:r>
      <w:r w:rsidR="00EB1CCF" w:rsidRPr="00E60D9D">
        <w:rPr>
          <w:rFonts w:ascii="Arial" w:hAnsi="Arial" w:cs="Arial"/>
          <w:sz w:val="22"/>
          <w:szCs w:val="22"/>
        </w:rPr>
        <w:t xml:space="preserve"> for each country. We then calculated the regional wage rate as a simple mean of the country wage rates.</w:t>
      </w:r>
    </w:p>
    <w:p w14:paraId="79A1857E" w14:textId="17E22B16" w:rsidR="00EB1CCF" w:rsidRDefault="00EB1CCF">
      <w:pPr>
        <w:ind w:left="720"/>
        <w:jc w:val="both"/>
        <w:rPr>
          <w:rFonts w:ascii="Arial" w:hAnsi="Arial" w:cs="Arial"/>
          <w:sz w:val="22"/>
          <w:szCs w:val="22"/>
        </w:rPr>
      </w:pPr>
    </w:p>
    <w:p w14:paraId="4AC05A8C" w14:textId="743A2235" w:rsidR="006167DE" w:rsidRPr="001F1C09" w:rsidRDefault="006167DE" w:rsidP="001F1C09">
      <w:pPr>
        <w:ind w:left="720"/>
        <w:jc w:val="both"/>
        <w:rPr>
          <w:rFonts w:ascii="Arial" w:hAnsi="Arial" w:cs="Arial"/>
          <w:sz w:val="22"/>
          <w:szCs w:val="22"/>
        </w:rPr>
      </w:pPr>
      <w:r w:rsidRPr="001F1C09">
        <w:rPr>
          <w:rFonts w:ascii="Arial" w:hAnsi="Arial" w:cs="Arial"/>
          <w:sz w:val="22"/>
          <w:szCs w:val="22"/>
        </w:rPr>
        <w:t xml:space="preserve">To model </w:t>
      </w:r>
      <w:r w:rsidR="009360B8" w:rsidRPr="001F1C09">
        <w:rPr>
          <w:rFonts w:ascii="Arial" w:hAnsi="Arial" w:cs="Arial"/>
          <w:sz w:val="22"/>
          <w:szCs w:val="22"/>
        </w:rPr>
        <w:t xml:space="preserve">GNI/capita </w:t>
      </w:r>
      <w:r w:rsidRPr="001F1C09">
        <w:rPr>
          <w:rFonts w:ascii="Arial" w:hAnsi="Arial" w:cs="Arial"/>
          <w:sz w:val="22"/>
          <w:szCs w:val="22"/>
        </w:rPr>
        <w:t xml:space="preserve">from 2020 to </w:t>
      </w:r>
      <w:r w:rsidR="008A202C" w:rsidRPr="001F1C09">
        <w:rPr>
          <w:rFonts w:ascii="Arial" w:hAnsi="Arial" w:cs="Arial"/>
          <w:sz w:val="22"/>
          <w:szCs w:val="22"/>
        </w:rPr>
        <w:t>20</w:t>
      </w:r>
      <w:r w:rsidR="008A202C">
        <w:rPr>
          <w:rFonts w:ascii="Arial" w:hAnsi="Arial" w:cs="Arial"/>
          <w:sz w:val="22"/>
          <w:szCs w:val="22"/>
        </w:rPr>
        <w:t>3</w:t>
      </w:r>
      <w:r w:rsidR="008A202C" w:rsidRPr="001F1C09">
        <w:rPr>
          <w:rFonts w:ascii="Arial" w:hAnsi="Arial" w:cs="Arial"/>
          <w:sz w:val="22"/>
          <w:szCs w:val="22"/>
        </w:rPr>
        <w:t>0</w:t>
      </w:r>
      <w:r w:rsidRPr="001F1C09">
        <w:rPr>
          <w:rFonts w:ascii="Arial" w:hAnsi="Arial" w:cs="Arial"/>
          <w:sz w:val="22"/>
          <w:szCs w:val="22"/>
        </w:rPr>
        <w:t>, we employed two approaches. In the first approach, we predicted future growth rates based on historical growth rates from 2000 to 2018 (available from the World Bank) using a non-parametric locally weighted smoothing regression with a bandwidth of 0.8. For this purpose, we used the Locally Weighted Scatter-plot Smoother (LOWESS) function available from Stata. We then applied the predicted growth rates recursively to each predicted value of per capita income. In the second approach, we identified a probability distribution function that best described the per capita income from 1960 to 2018, by iteratively fitting 14 distributions based on Maximum Likelihood Estimation (MLE) (using Matlab version R2017a). To determine the distribution that best described the data, we evaluated the significance level (P&lt;0.05), the Anderson-Darling statistic, the Akaike Information Criterion (AIC), which takes into account the log likelihood</w:t>
      </w:r>
      <w:r w:rsidRPr="001F1C09">
        <w:rPr>
          <w:rFonts w:ascii="Arial" w:hAnsi="Arial" w:cs="Arial"/>
          <w:sz w:val="22"/>
          <w:szCs w:val="22"/>
        </w:rPr>
        <w:fldChar w:fldCharType="begin"/>
      </w:r>
      <w:r w:rsidR="0081559F">
        <w:rPr>
          <w:rFonts w:ascii="Arial" w:hAnsi="Arial" w:cs="Arial"/>
          <w:sz w:val="22"/>
          <w:szCs w:val="22"/>
        </w:rPr>
        <w:instrText xml:space="preserve"> ADDIN ZOTERO_ITEM CSL_CITATION {"citationID":"K4qzbft0","properties":{"formattedCitation":"[39]","plainCitation":"[39]","noteIndex":0},"citationItems":[{"id":26966,"uris":["http://zotero.org/users/local/p8g0WsVO/items/JNQFGK4E"],"itemData":{"id":26966,"type":"article-journal","abstract":"The history of the development of statistical hypothesis testing in time series analysis is reviewed briefly and it is pointed out that the hypothesis testing procedure is not adequately defined as the procedure for statistical model identification. The classical maximum likelihood estimation procedure is reviewed and a new estimate minimum information theoretical criterion (AIC) estimate (MAICE) which is designed for the purpose of statistical identification is introduced. When there are several competing models the MAICE is defined by the model and the maximum likelihood estimates of the parameters which give the minimum of AIC defined by AIC = (-2)log-(maximum likelihood) + 2(number of independently adjusted parameters within the model). MAICE provides a versatile procedure for statistical model identification which is free from the ambiguities inherent in the application of conventional hypothesis testing procedure. The practical utility of MAICE in time series analysis is demonstrated with some numerical examples.","container-title":"IEEE Transactions on Automatic Control","DOI":"10.1109/TAC.1974.1100705","ISSN":"0018-9286","issue":"6","page":"716-723","source":"IEEE Xplore","title":"A new look at the statistical model identification","volume":"19","author":[{"family":"Akaike","given":"H."}],"issued":{"date-parts":[["1974",12]]}}}],"schema":"https://github.com/citation-style-language/schema/raw/master/csl-citation.json"} </w:instrText>
      </w:r>
      <w:r w:rsidRPr="001F1C09">
        <w:rPr>
          <w:rFonts w:ascii="Arial" w:hAnsi="Arial" w:cs="Arial"/>
          <w:sz w:val="22"/>
          <w:szCs w:val="22"/>
        </w:rPr>
        <w:fldChar w:fldCharType="separate"/>
      </w:r>
      <w:r w:rsidR="0081559F">
        <w:rPr>
          <w:rFonts w:ascii="Arial" w:hAnsi="Arial" w:cs="Arial"/>
          <w:sz w:val="22"/>
        </w:rPr>
        <w:t>[39]</w:t>
      </w:r>
      <w:r w:rsidRPr="001F1C09">
        <w:rPr>
          <w:rFonts w:ascii="Arial" w:hAnsi="Arial" w:cs="Arial"/>
          <w:sz w:val="22"/>
          <w:szCs w:val="22"/>
        </w:rPr>
        <w:fldChar w:fldCharType="end"/>
      </w:r>
      <w:r w:rsidRPr="001F1C09">
        <w:rPr>
          <w:rFonts w:ascii="Arial" w:hAnsi="Arial" w:cs="Arial"/>
          <w:sz w:val="22"/>
          <w:szCs w:val="22"/>
        </w:rPr>
        <w:t>) and the likelihood ratio test result. Once we had identified the probability distribution function, to evaluate its parameter values (for example the shape and scale of a Weibull distribution), we used a least-squares minimization routine that we implemented via the Microsoft Excel Optimizer. Using the parameter values and the distribution, we predicted future per capita income through 2050. The second approach was much more resource intensive and did not provide an improvement in fit that was justifiable. We therefore relied on the fitting from the first approach.</w:t>
      </w:r>
    </w:p>
    <w:p w14:paraId="42B902EF" w14:textId="77777777" w:rsidR="004E4EC1" w:rsidRPr="00EC4166" w:rsidRDefault="004E4EC1" w:rsidP="005577A2">
      <w:pPr>
        <w:rPr>
          <w:rFonts w:ascii="Arial" w:hAnsi="Arial" w:cs="Arial"/>
          <w:sz w:val="22"/>
          <w:szCs w:val="22"/>
        </w:rPr>
      </w:pPr>
    </w:p>
    <w:p w14:paraId="25F7D39B" w14:textId="4F826175" w:rsidR="0032375A" w:rsidRPr="00EC4166" w:rsidRDefault="00AA2EB9" w:rsidP="0041570D">
      <w:pPr>
        <w:pStyle w:val="Heading2"/>
      </w:pPr>
      <w:bookmarkStart w:id="43" w:name="_Toc64459924"/>
      <w:bookmarkStart w:id="44" w:name="_Toc81857630"/>
      <w:r>
        <w:lastRenderedPageBreak/>
        <w:t xml:space="preserve">Section </w:t>
      </w:r>
      <w:r w:rsidR="005B0BB7">
        <w:t>6</w:t>
      </w:r>
      <w:r>
        <w:t xml:space="preserve">. </w:t>
      </w:r>
      <w:r w:rsidR="0032375A">
        <w:t>Currency Conversion</w:t>
      </w:r>
      <w:bookmarkEnd w:id="43"/>
      <w:bookmarkEnd w:id="44"/>
    </w:p>
    <w:p w14:paraId="3919018A" w14:textId="77777777" w:rsidR="00EC4166" w:rsidRPr="00EC4166" w:rsidRDefault="00EC4166" w:rsidP="00EC4166">
      <w:pPr>
        <w:rPr>
          <w:rFonts w:ascii="Arial" w:hAnsi="Arial" w:cs="Arial"/>
          <w:i/>
          <w:sz w:val="22"/>
          <w:szCs w:val="22"/>
        </w:rPr>
      </w:pPr>
    </w:p>
    <w:p w14:paraId="0F5CEFFD" w14:textId="42220FD2" w:rsidR="00EC4166" w:rsidRPr="00EC4166" w:rsidRDefault="00EC4166" w:rsidP="001F1C09">
      <w:pPr>
        <w:ind w:left="720"/>
        <w:jc w:val="both"/>
        <w:rPr>
          <w:rFonts w:ascii="Arial" w:hAnsi="Arial" w:cs="Arial"/>
          <w:sz w:val="22"/>
          <w:szCs w:val="22"/>
        </w:rPr>
      </w:pPr>
      <w:r w:rsidRPr="00EC4166">
        <w:rPr>
          <w:rFonts w:ascii="Arial" w:hAnsi="Arial" w:cs="Arial"/>
          <w:sz w:val="22"/>
          <w:szCs w:val="22"/>
        </w:rPr>
        <w:t>We report our estimates in 20</w:t>
      </w:r>
      <w:r w:rsidR="005D7657">
        <w:rPr>
          <w:rFonts w:ascii="Arial" w:hAnsi="Arial" w:cs="Arial"/>
          <w:sz w:val="22"/>
          <w:szCs w:val="22"/>
        </w:rPr>
        <w:t>20</w:t>
      </w:r>
      <w:r w:rsidRPr="00EC4166">
        <w:rPr>
          <w:rFonts w:ascii="Arial" w:hAnsi="Arial" w:cs="Arial"/>
          <w:sz w:val="22"/>
          <w:szCs w:val="22"/>
        </w:rPr>
        <w:t xml:space="preserve"> US$ rates. When </w:t>
      </w:r>
      <w:r w:rsidR="005D7657">
        <w:rPr>
          <w:rFonts w:ascii="Arial" w:hAnsi="Arial" w:cs="Arial"/>
          <w:sz w:val="22"/>
          <w:szCs w:val="22"/>
        </w:rPr>
        <w:t xml:space="preserve">monetary </w:t>
      </w:r>
      <w:r w:rsidRPr="00EC4166">
        <w:rPr>
          <w:rFonts w:ascii="Arial" w:hAnsi="Arial" w:cs="Arial"/>
          <w:sz w:val="22"/>
          <w:szCs w:val="22"/>
        </w:rPr>
        <w:t>amounts were reported in international dollars (I$), we applied the purchasing power parity rates (PPP) to first convert to local currency units (LCUs) for the same year, then applied the appropriate deflators to inflate/deflate to 20</w:t>
      </w:r>
      <w:r w:rsidR="005D7657">
        <w:rPr>
          <w:rFonts w:ascii="Arial" w:hAnsi="Arial" w:cs="Arial"/>
          <w:sz w:val="22"/>
          <w:szCs w:val="22"/>
        </w:rPr>
        <w:t>20</w:t>
      </w:r>
      <w:r w:rsidRPr="00EC4166">
        <w:rPr>
          <w:rFonts w:ascii="Arial" w:hAnsi="Arial" w:cs="Arial"/>
          <w:sz w:val="22"/>
          <w:szCs w:val="22"/>
        </w:rPr>
        <w:t xml:space="preserve"> LCUs, then converted the 20</w:t>
      </w:r>
      <w:r w:rsidR="005D7657">
        <w:rPr>
          <w:rFonts w:ascii="Arial" w:hAnsi="Arial" w:cs="Arial"/>
          <w:sz w:val="22"/>
          <w:szCs w:val="22"/>
        </w:rPr>
        <w:t>20</w:t>
      </w:r>
      <w:r w:rsidRPr="00EC4166">
        <w:rPr>
          <w:rFonts w:ascii="Arial" w:hAnsi="Arial" w:cs="Arial"/>
          <w:sz w:val="22"/>
          <w:szCs w:val="22"/>
        </w:rPr>
        <w:t xml:space="preserve"> LCU</w:t>
      </w:r>
      <w:r w:rsidR="005D7657">
        <w:rPr>
          <w:rFonts w:ascii="Arial" w:hAnsi="Arial" w:cs="Arial"/>
          <w:sz w:val="22"/>
          <w:szCs w:val="22"/>
        </w:rPr>
        <w:t>s</w:t>
      </w:r>
      <w:r w:rsidRPr="00EC4166">
        <w:rPr>
          <w:rFonts w:ascii="Arial" w:hAnsi="Arial" w:cs="Arial"/>
          <w:sz w:val="22"/>
          <w:szCs w:val="22"/>
        </w:rPr>
        <w:t xml:space="preserve"> to 20</w:t>
      </w:r>
      <w:r w:rsidR="005D7657">
        <w:rPr>
          <w:rFonts w:ascii="Arial" w:hAnsi="Arial" w:cs="Arial"/>
          <w:sz w:val="22"/>
          <w:szCs w:val="22"/>
        </w:rPr>
        <w:t>20</w:t>
      </w:r>
      <w:r w:rsidRPr="00EC4166">
        <w:rPr>
          <w:rFonts w:ascii="Arial" w:hAnsi="Arial" w:cs="Arial"/>
          <w:sz w:val="22"/>
          <w:szCs w:val="22"/>
        </w:rPr>
        <w:t xml:space="preserve"> USD</w:t>
      </w:r>
      <w:r w:rsidR="005D7657">
        <w:rPr>
          <w:rFonts w:ascii="Arial" w:hAnsi="Arial" w:cs="Arial"/>
          <w:sz w:val="22"/>
          <w:szCs w:val="22"/>
        </w:rPr>
        <w:t>s</w:t>
      </w:r>
      <w:r w:rsidRPr="00EC4166">
        <w:rPr>
          <w:rFonts w:ascii="Arial" w:hAnsi="Arial" w:cs="Arial"/>
          <w:sz w:val="22"/>
          <w:szCs w:val="22"/>
        </w:rPr>
        <w:t xml:space="preserve"> using the official exchange rates. When amounts were reported in LCUs for a year other than 20</w:t>
      </w:r>
      <w:r w:rsidR="005D7657">
        <w:rPr>
          <w:rFonts w:ascii="Arial" w:hAnsi="Arial" w:cs="Arial"/>
          <w:sz w:val="22"/>
          <w:szCs w:val="22"/>
        </w:rPr>
        <w:t>20</w:t>
      </w:r>
      <w:r w:rsidRPr="00EC4166">
        <w:rPr>
          <w:rFonts w:ascii="Arial" w:hAnsi="Arial" w:cs="Arial"/>
          <w:sz w:val="22"/>
          <w:szCs w:val="22"/>
        </w:rPr>
        <w:t>, we first inflated/deflated to 20</w:t>
      </w:r>
      <w:r w:rsidR="005D7657">
        <w:rPr>
          <w:rFonts w:ascii="Arial" w:hAnsi="Arial" w:cs="Arial"/>
          <w:sz w:val="22"/>
          <w:szCs w:val="22"/>
        </w:rPr>
        <w:t>20</w:t>
      </w:r>
      <w:r w:rsidRPr="00EC4166">
        <w:rPr>
          <w:rFonts w:ascii="Arial" w:hAnsi="Arial" w:cs="Arial"/>
          <w:sz w:val="22"/>
          <w:szCs w:val="22"/>
        </w:rPr>
        <w:t xml:space="preserve"> using the appropriate deflators, then converted to 20</w:t>
      </w:r>
      <w:r w:rsidR="005D7657">
        <w:rPr>
          <w:rFonts w:ascii="Arial" w:hAnsi="Arial" w:cs="Arial"/>
          <w:sz w:val="22"/>
          <w:szCs w:val="22"/>
        </w:rPr>
        <w:t>20</w:t>
      </w:r>
      <w:r w:rsidRPr="00EC4166">
        <w:rPr>
          <w:rFonts w:ascii="Arial" w:hAnsi="Arial" w:cs="Arial"/>
          <w:sz w:val="22"/>
          <w:szCs w:val="22"/>
        </w:rPr>
        <w:t xml:space="preserve"> US$ rates by using the corresponding exchange rates. When amounts were reported in USDs for a year other than 20</w:t>
      </w:r>
      <w:r w:rsidR="005D7657">
        <w:rPr>
          <w:rFonts w:ascii="Arial" w:hAnsi="Arial" w:cs="Arial"/>
          <w:sz w:val="22"/>
          <w:szCs w:val="22"/>
        </w:rPr>
        <w:t>20</w:t>
      </w:r>
      <w:r w:rsidRPr="00EC4166">
        <w:rPr>
          <w:rFonts w:ascii="Arial" w:hAnsi="Arial" w:cs="Arial"/>
          <w:sz w:val="22"/>
          <w:szCs w:val="22"/>
        </w:rPr>
        <w:t>, we used the deflators to inflate/deflate to 20</w:t>
      </w:r>
      <w:r w:rsidR="005D7657">
        <w:rPr>
          <w:rFonts w:ascii="Arial" w:hAnsi="Arial" w:cs="Arial"/>
          <w:sz w:val="22"/>
          <w:szCs w:val="22"/>
        </w:rPr>
        <w:t>20</w:t>
      </w:r>
      <w:r w:rsidRPr="00EC4166">
        <w:rPr>
          <w:rFonts w:ascii="Arial" w:hAnsi="Arial" w:cs="Arial"/>
          <w:sz w:val="22"/>
          <w:szCs w:val="22"/>
        </w:rPr>
        <w:t xml:space="preserve"> as needed. All deflators, exchange rates, and PPPs were extracted from the World Bank, International Monetary Fund, Penn World Tables, the United Nations National Accounts, and the World Health Organization, and were imputed to provide a complete series for each of the variables between 1950 and 2017.</w:t>
      </w:r>
    </w:p>
    <w:p w14:paraId="3B7944B5" w14:textId="115DFA96" w:rsidR="00EC4166" w:rsidRDefault="00EC4166" w:rsidP="00EC4166">
      <w:pPr>
        <w:jc w:val="both"/>
        <w:rPr>
          <w:rFonts w:ascii="Arial" w:hAnsi="Arial" w:cs="Arial"/>
          <w:b/>
          <w:sz w:val="22"/>
          <w:szCs w:val="22"/>
        </w:rPr>
      </w:pPr>
    </w:p>
    <w:p w14:paraId="364DB337" w14:textId="4B30D96E" w:rsidR="00EC4166" w:rsidRPr="0029347F" w:rsidRDefault="00AA2EB9" w:rsidP="0041570D">
      <w:pPr>
        <w:pStyle w:val="Heading2"/>
      </w:pPr>
      <w:bookmarkStart w:id="45" w:name="_Toc2379551"/>
      <w:bookmarkStart w:id="46" w:name="_Toc64459926"/>
      <w:bookmarkStart w:id="47" w:name="_Toc81857631"/>
      <w:r>
        <w:t xml:space="preserve">Section 7. </w:t>
      </w:r>
      <w:r w:rsidR="00EC4166" w:rsidRPr="0029347F">
        <w:t>Sensitivity</w:t>
      </w:r>
      <w:bookmarkEnd w:id="45"/>
      <w:r w:rsidR="00942272">
        <w:t xml:space="preserve"> Analysis</w:t>
      </w:r>
      <w:bookmarkEnd w:id="46"/>
      <w:bookmarkEnd w:id="47"/>
    </w:p>
    <w:p w14:paraId="5DE10831" w14:textId="77777777" w:rsidR="00EC4166" w:rsidRPr="00EC4166" w:rsidRDefault="00EC4166" w:rsidP="00EC4166">
      <w:pPr>
        <w:rPr>
          <w:rFonts w:ascii="Arial" w:hAnsi="Arial" w:cs="Arial"/>
          <w:b/>
          <w:sz w:val="22"/>
          <w:szCs w:val="22"/>
        </w:rPr>
      </w:pPr>
    </w:p>
    <w:p w14:paraId="7F7CD198" w14:textId="2A3013A0" w:rsidR="00F427F9" w:rsidRPr="008B7FBA" w:rsidRDefault="00320213" w:rsidP="008D6407">
      <w:pPr>
        <w:ind w:left="720"/>
        <w:jc w:val="both"/>
        <w:rPr>
          <w:rFonts w:ascii="Arial" w:hAnsi="Arial" w:cs="Arial"/>
          <w:sz w:val="22"/>
          <w:szCs w:val="22"/>
        </w:rPr>
      </w:pPr>
      <w:r w:rsidRPr="008B7FBA">
        <w:rPr>
          <w:rFonts w:ascii="Arial" w:hAnsi="Arial" w:cs="Arial"/>
          <w:sz w:val="22"/>
          <w:szCs w:val="22"/>
        </w:rPr>
        <w:t>W</w:t>
      </w:r>
      <w:r w:rsidR="00F427F9" w:rsidRPr="008B7FBA">
        <w:rPr>
          <w:rFonts w:ascii="Arial" w:hAnsi="Arial" w:cs="Arial"/>
          <w:sz w:val="22"/>
          <w:szCs w:val="22"/>
        </w:rPr>
        <w:t xml:space="preserve">e sampled values for each parameter between their upper and lower bounds, which we either estimated or extracted from literature. We implemented the multiway simulation with 5,000 draws based on Latin Hypercube Sampling and randomization based on Mersenne Twister pseudorandom number generator. We assumed that each parameter was distributed normally, between and upper and lower bounds that we either estimated or extracted from literature (Table 7). We report sensitivity in terms of the range of </w:t>
      </w:r>
      <w:r w:rsidR="00695E98" w:rsidRPr="008B7FBA">
        <w:rPr>
          <w:rFonts w:ascii="Arial" w:hAnsi="Arial" w:cs="Arial"/>
          <w:sz w:val="22"/>
          <w:szCs w:val="22"/>
        </w:rPr>
        <w:t>costs</w:t>
      </w:r>
      <w:r w:rsidR="00F427F9" w:rsidRPr="008B7FBA">
        <w:rPr>
          <w:rFonts w:ascii="Arial" w:hAnsi="Arial" w:cs="Arial"/>
          <w:sz w:val="22"/>
          <w:szCs w:val="22"/>
        </w:rPr>
        <w:t xml:space="preserve"> corresponding to each parameter, and the distribution of the means (</w:t>
      </w:r>
      <w:r w:rsidR="00E67F84">
        <w:rPr>
          <w:rFonts w:ascii="Arial" w:hAnsi="Arial" w:cs="Arial"/>
          <w:sz w:val="22"/>
          <w:szCs w:val="22"/>
        </w:rPr>
        <w:t>Supplementary Appendix</w:t>
      </w:r>
      <w:r w:rsidR="00F427F9" w:rsidRPr="008B7FBA">
        <w:rPr>
          <w:rFonts w:ascii="Arial" w:hAnsi="Arial" w:cs="Arial"/>
          <w:sz w:val="22"/>
          <w:szCs w:val="22"/>
        </w:rPr>
        <w:t xml:space="preserve"> 2 Section </w:t>
      </w:r>
      <w:r w:rsidR="003E5F9D" w:rsidRPr="008B7FBA">
        <w:rPr>
          <w:rFonts w:ascii="Arial" w:hAnsi="Arial" w:cs="Arial"/>
          <w:sz w:val="22"/>
          <w:szCs w:val="22"/>
        </w:rPr>
        <w:t>12</w:t>
      </w:r>
      <w:r w:rsidR="00F427F9" w:rsidRPr="008B7FBA">
        <w:rPr>
          <w:rFonts w:ascii="Arial" w:hAnsi="Arial" w:cs="Arial"/>
          <w:sz w:val="22"/>
          <w:szCs w:val="22"/>
        </w:rPr>
        <w:t>).</w:t>
      </w:r>
    </w:p>
    <w:p w14:paraId="725882FB" w14:textId="2A712232" w:rsidR="00F427F9" w:rsidRDefault="00F427F9" w:rsidP="0030197B">
      <w:pPr>
        <w:jc w:val="both"/>
        <w:rPr>
          <w:rFonts w:ascii="Arial" w:hAnsi="Arial" w:cs="Arial"/>
          <w:bCs/>
          <w:noProof/>
        </w:rPr>
      </w:pPr>
    </w:p>
    <w:p w14:paraId="1DCEBC82" w14:textId="2D133905" w:rsidR="00F427F9" w:rsidRDefault="0022096A" w:rsidP="0022096A">
      <w:pPr>
        <w:pStyle w:val="Caption"/>
        <w:jc w:val="center"/>
        <w:rPr>
          <w:rFonts w:ascii="Arial" w:hAnsi="Arial" w:cs="Arial"/>
          <w:color w:val="000000" w:themeColor="text1"/>
          <w:sz w:val="22"/>
          <w:szCs w:val="22"/>
        </w:rPr>
      </w:pPr>
      <w:bookmarkStart w:id="48" w:name="_Toc111481800"/>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3</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Parameters considered in sensitivity analysis</w:t>
      </w:r>
      <w:bookmarkEnd w:id="48"/>
    </w:p>
    <w:p w14:paraId="293533AA" w14:textId="77777777" w:rsidR="00E30457" w:rsidRPr="00E30457" w:rsidRDefault="00E30457" w:rsidP="00E30457"/>
    <w:tbl>
      <w:tblPr>
        <w:tblStyle w:val="TableGrid"/>
        <w:tblW w:w="8730" w:type="dxa"/>
        <w:jc w:val="center"/>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610"/>
        <w:gridCol w:w="3060"/>
        <w:gridCol w:w="3060"/>
      </w:tblGrid>
      <w:tr w:rsidR="00695E98" w:rsidRPr="00F82336" w14:paraId="29BECB3C" w14:textId="77777777" w:rsidTr="008D6407">
        <w:trPr>
          <w:jc w:val="center"/>
        </w:trPr>
        <w:tc>
          <w:tcPr>
            <w:tcW w:w="2610" w:type="dxa"/>
            <w:tcBorders>
              <w:top w:val="single" w:sz="4" w:space="0" w:color="auto"/>
              <w:bottom w:val="single" w:sz="4" w:space="0" w:color="auto"/>
            </w:tcBorders>
            <w:shd w:val="clear" w:color="auto" w:fill="FFFFFF" w:themeFill="background1"/>
          </w:tcPr>
          <w:p w14:paraId="08DE3C29" w14:textId="77777777" w:rsidR="00695E98" w:rsidRPr="008D6407" w:rsidRDefault="00695E98" w:rsidP="00194096">
            <w:pPr>
              <w:pStyle w:val="Default"/>
              <w:jc w:val="center"/>
              <w:rPr>
                <w:rFonts w:ascii="Arial" w:hAnsi="Arial" w:cs="Arial"/>
                <w:b/>
                <w:i/>
                <w:iCs/>
                <w:sz w:val="20"/>
                <w:szCs w:val="20"/>
              </w:rPr>
            </w:pPr>
            <w:r w:rsidRPr="008D6407">
              <w:rPr>
                <w:rFonts w:ascii="Arial" w:hAnsi="Arial" w:cs="Arial"/>
                <w:b/>
                <w:i/>
                <w:iCs/>
                <w:sz w:val="20"/>
                <w:szCs w:val="20"/>
              </w:rPr>
              <w:t>Parameter</w:t>
            </w:r>
          </w:p>
        </w:tc>
        <w:tc>
          <w:tcPr>
            <w:tcW w:w="3060" w:type="dxa"/>
            <w:tcBorders>
              <w:top w:val="single" w:sz="4" w:space="0" w:color="auto"/>
              <w:bottom w:val="single" w:sz="4" w:space="0" w:color="auto"/>
            </w:tcBorders>
            <w:shd w:val="clear" w:color="auto" w:fill="FFFFFF" w:themeFill="background1"/>
          </w:tcPr>
          <w:p w14:paraId="50B6AD70" w14:textId="42BED19B" w:rsidR="00695E98" w:rsidRPr="008D6407" w:rsidRDefault="00796522" w:rsidP="00194096">
            <w:pPr>
              <w:jc w:val="center"/>
              <w:rPr>
                <w:rFonts w:ascii="Arial" w:hAnsi="Arial" w:cs="Arial"/>
                <w:b/>
                <w:i/>
                <w:iCs/>
                <w:sz w:val="20"/>
                <w:szCs w:val="20"/>
              </w:rPr>
            </w:pPr>
            <w:r w:rsidRPr="008D6407">
              <w:rPr>
                <w:rFonts w:ascii="Arial" w:hAnsi="Arial" w:cs="Arial"/>
                <w:b/>
                <w:i/>
                <w:iCs/>
                <w:sz w:val="20"/>
                <w:szCs w:val="20"/>
              </w:rPr>
              <w:t>Sensitivity Analysis</w:t>
            </w:r>
          </w:p>
        </w:tc>
        <w:tc>
          <w:tcPr>
            <w:tcW w:w="3060" w:type="dxa"/>
            <w:tcBorders>
              <w:top w:val="single" w:sz="4" w:space="0" w:color="auto"/>
              <w:bottom w:val="single" w:sz="4" w:space="0" w:color="auto"/>
            </w:tcBorders>
            <w:shd w:val="clear" w:color="auto" w:fill="FFFFFF" w:themeFill="background1"/>
          </w:tcPr>
          <w:p w14:paraId="0B28728A" w14:textId="404D4A84" w:rsidR="00695E98" w:rsidRPr="008D6407" w:rsidRDefault="00796522" w:rsidP="00194096">
            <w:pPr>
              <w:jc w:val="center"/>
              <w:rPr>
                <w:rFonts w:ascii="Arial" w:hAnsi="Arial" w:cs="Arial"/>
                <w:b/>
                <w:i/>
                <w:iCs/>
                <w:sz w:val="20"/>
                <w:szCs w:val="20"/>
              </w:rPr>
            </w:pPr>
            <w:r w:rsidRPr="008D6407">
              <w:rPr>
                <w:rFonts w:ascii="Arial" w:hAnsi="Arial" w:cs="Arial"/>
                <w:b/>
                <w:i/>
                <w:iCs/>
                <w:sz w:val="20"/>
                <w:szCs w:val="20"/>
              </w:rPr>
              <w:t>Source</w:t>
            </w:r>
          </w:p>
        </w:tc>
      </w:tr>
      <w:tr w:rsidR="00F82336" w:rsidRPr="00F82336" w14:paraId="240B2EF7" w14:textId="77777777" w:rsidTr="008D6407">
        <w:trPr>
          <w:jc w:val="center"/>
        </w:trPr>
        <w:tc>
          <w:tcPr>
            <w:tcW w:w="2610" w:type="dxa"/>
            <w:tcBorders>
              <w:top w:val="single" w:sz="4" w:space="0" w:color="auto"/>
            </w:tcBorders>
            <w:shd w:val="clear" w:color="auto" w:fill="FFFFFF" w:themeFill="background1"/>
          </w:tcPr>
          <w:p w14:paraId="3412F1B3" w14:textId="4FC47B91" w:rsidR="00F82336" w:rsidRPr="008D6407" w:rsidRDefault="00F82336" w:rsidP="008D6407">
            <w:pPr>
              <w:pStyle w:val="Default"/>
              <w:rPr>
                <w:rFonts w:ascii="Arial" w:hAnsi="Arial" w:cs="Arial"/>
                <w:bCs/>
                <w:i/>
                <w:iCs/>
                <w:noProof/>
                <w:sz w:val="20"/>
                <w:szCs w:val="20"/>
                <w:u w:val="single"/>
              </w:rPr>
            </w:pPr>
            <w:r w:rsidRPr="008D6407">
              <w:rPr>
                <w:rFonts w:ascii="Arial" w:hAnsi="Arial" w:cs="Arial"/>
                <w:bCs/>
                <w:i/>
                <w:iCs/>
                <w:noProof/>
                <w:sz w:val="20"/>
                <w:szCs w:val="20"/>
                <w:u w:val="single"/>
              </w:rPr>
              <w:t>Natural History</w:t>
            </w:r>
          </w:p>
        </w:tc>
        <w:tc>
          <w:tcPr>
            <w:tcW w:w="3060" w:type="dxa"/>
            <w:tcBorders>
              <w:top w:val="single" w:sz="4" w:space="0" w:color="auto"/>
            </w:tcBorders>
            <w:shd w:val="clear" w:color="auto" w:fill="FFFFFF" w:themeFill="background1"/>
          </w:tcPr>
          <w:p w14:paraId="55CF3ED0" w14:textId="77777777" w:rsidR="00F82336" w:rsidRPr="008D6407" w:rsidRDefault="00F82336" w:rsidP="008D6407">
            <w:pPr>
              <w:rPr>
                <w:rFonts w:ascii="Arial" w:hAnsi="Arial" w:cs="Arial"/>
                <w:i/>
                <w:iCs/>
                <w:sz w:val="20"/>
                <w:szCs w:val="20"/>
              </w:rPr>
            </w:pPr>
          </w:p>
        </w:tc>
        <w:tc>
          <w:tcPr>
            <w:tcW w:w="3060" w:type="dxa"/>
            <w:tcBorders>
              <w:top w:val="single" w:sz="4" w:space="0" w:color="auto"/>
            </w:tcBorders>
            <w:shd w:val="clear" w:color="auto" w:fill="FFFFFF" w:themeFill="background1"/>
          </w:tcPr>
          <w:p w14:paraId="0AA982CA" w14:textId="77777777" w:rsidR="00F82336" w:rsidRPr="008D6407" w:rsidRDefault="00F82336" w:rsidP="00F37314">
            <w:pPr>
              <w:rPr>
                <w:rFonts w:ascii="Arial" w:hAnsi="Arial" w:cs="Arial"/>
                <w:i/>
                <w:iCs/>
                <w:sz w:val="20"/>
                <w:szCs w:val="20"/>
              </w:rPr>
            </w:pPr>
          </w:p>
        </w:tc>
      </w:tr>
      <w:tr w:rsidR="00E30457" w:rsidRPr="00F82336" w14:paraId="368DB5E5" w14:textId="77777777" w:rsidTr="008D6407">
        <w:trPr>
          <w:jc w:val="center"/>
        </w:trPr>
        <w:tc>
          <w:tcPr>
            <w:tcW w:w="2610" w:type="dxa"/>
            <w:shd w:val="clear" w:color="auto" w:fill="FFFFFF" w:themeFill="background1"/>
          </w:tcPr>
          <w:p w14:paraId="46F884E8" w14:textId="754FE0F7" w:rsidR="00E30457" w:rsidRPr="008D6407" w:rsidRDefault="00E30457" w:rsidP="008D6407">
            <w:pPr>
              <w:pStyle w:val="Default"/>
              <w:rPr>
                <w:rFonts w:ascii="Arial" w:hAnsi="Arial" w:cs="Arial"/>
                <w:bCs/>
                <w:i/>
                <w:iCs/>
                <w:noProof/>
                <w:sz w:val="20"/>
                <w:szCs w:val="20"/>
              </w:rPr>
            </w:pPr>
            <w:r w:rsidRPr="008D6407">
              <w:rPr>
                <w:rFonts w:ascii="Arial" w:hAnsi="Arial" w:cs="Arial"/>
                <w:bCs/>
                <w:i/>
                <w:iCs/>
                <w:noProof/>
                <w:sz w:val="20"/>
                <w:szCs w:val="20"/>
              </w:rPr>
              <w:t>Proportion with genital herpes first episodes</w:t>
            </w:r>
          </w:p>
        </w:tc>
        <w:tc>
          <w:tcPr>
            <w:tcW w:w="3060" w:type="dxa"/>
            <w:shd w:val="clear" w:color="auto" w:fill="FFFFFF" w:themeFill="background1"/>
          </w:tcPr>
          <w:p w14:paraId="21EEA858" w14:textId="77777777" w:rsidR="00E30457" w:rsidRPr="008D6407" w:rsidRDefault="00E30457" w:rsidP="008D6407">
            <w:pPr>
              <w:rPr>
                <w:rFonts w:ascii="Arial" w:hAnsi="Arial" w:cs="Arial"/>
                <w:i/>
                <w:iCs/>
                <w:sz w:val="20"/>
                <w:szCs w:val="20"/>
              </w:rPr>
            </w:pPr>
          </w:p>
          <w:p w14:paraId="470F84A2" w14:textId="26DFB763" w:rsidR="00E30457" w:rsidRPr="008D6407" w:rsidRDefault="00D2238B" w:rsidP="008D6407">
            <w:pPr>
              <w:rPr>
                <w:rFonts w:ascii="Arial" w:hAnsi="Arial" w:cs="Arial"/>
                <w:bCs/>
                <w:i/>
                <w:iCs/>
                <w:noProof/>
                <w:sz w:val="20"/>
                <w:szCs w:val="20"/>
                <w:highlight w:val="yellow"/>
              </w:rPr>
            </w:pPr>
            <w:r w:rsidRPr="008D6407">
              <w:rPr>
                <w:rFonts w:ascii="Arial" w:hAnsi="Arial" w:cs="Arial"/>
                <w:i/>
                <w:iCs/>
                <w:sz w:val="20"/>
                <w:szCs w:val="20"/>
              </w:rPr>
              <w:t xml:space="preserve">Values between </w:t>
            </w:r>
            <w:r w:rsidR="00E30457" w:rsidRPr="008D6407">
              <w:rPr>
                <w:rFonts w:ascii="Arial" w:hAnsi="Arial" w:cs="Arial"/>
                <w:i/>
                <w:iCs/>
                <w:sz w:val="20"/>
                <w:szCs w:val="20"/>
              </w:rPr>
              <w:t>12.7%</w:t>
            </w:r>
            <w:r w:rsidRPr="008D6407">
              <w:rPr>
                <w:rFonts w:ascii="Arial" w:hAnsi="Arial" w:cs="Arial"/>
                <w:i/>
                <w:iCs/>
                <w:sz w:val="20"/>
                <w:szCs w:val="20"/>
              </w:rPr>
              <w:t xml:space="preserve"> and</w:t>
            </w:r>
            <w:r w:rsidR="00E30457" w:rsidRPr="008D6407">
              <w:rPr>
                <w:rFonts w:ascii="Arial" w:hAnsi="Arial" w:cs="Arial"/>
                <w:i/>
                <w:iCs/>
                <w:sz w:val="20"/>
                <w:szCs w:val="20"/>
              </w:rPr>
              <w:t xml:space="preserve"> 32.8%</w:t>
            </w:r>
            <w:r w:rsidRPr="008D6407">
              <w:rPr>
                <w:rFonts w:ascii="Arial" w:hAnsi="Arial" w:cs="Arial"/>
                <w:i/>
                <w:iCs/>
                <w:sz w:val="20"/>
                <w:szCs w:val="20"/>
              </w:rPr>
              <w:t xml:space="preserve"> distributed normally.</w:t>
            </w:r>
          </w:p>
        </w:tc>
        <w:tc>
          <w:tcPr>
            <w:tcW w:w="3060" w:type="dxa"/>
            <w:shd w:val="clear" w:color="auto" w:fill="FFFFFF" w:themeFill="background1"/>
          </w:tcPr>
          <w:p w14:paraId="79A705D3" w14:textId="77777777" w:rsidR="00E30457" w:rsidRPr="008D6407" w:rsidRDefault="00E30457" w:rsidP="00F37314">
            <w:pPr>
              <w:rPr>
                <w:rFonts w:ascii="Arial" w:hAnsi="Arial" w:cs="Arial"/>
                <w:i/>
                <w:iCs/>
                <w:sz w:val="20"/>
                <w:szCs w:val="20"/>
              </w:rPr>
            </w:pPr>
          </w:p>
          <w:p w14:paraId="39601837" w14:textId="11FDBD08" w:rsidR="00E30457" w:rsidRPr="008D6407" w:rsidRDefault="00E30457" w:rsidP="008D6407">
            <w:pPr>
              <w:rPr>
                <w:rFonts w:ascii="Arial" w:hAnsi="Arial" w:cs="Arial"/>
                <w:bCs/>
                <w:i/>
                <w:iCs/>
                <w:noProof/>
                <w:sz w:val="20"/>
                <w:szCs w:val="20"/>
                <w:highlight w:val="yellow"/>
              </w:rPr>
            </w:pPr>
            <w:r w:rsidRPr="008D6407">
              <w:rPr>
                <w:rFonts w:ascii="Arial" w:hAnsi="Arial" w:cs="Arial"/>
                <w:i/>
                <w:iCs/>
                <w:sz w:val="20"/>
                <w:szCs w:val="20"/>
              </w:rPr>
              <w:t>Langenberg et al.</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{"citationID":"tJZP2KGG","properties":{"formattedCitation":"[11]","plainCitation":"[11]","noteIndex":0},"citationItems":[{"id":1025,"uris":["http://zotero.org/users/local/p8g0WsVO/items/2FFEXT4D"],"itemData":{"id":1025,"type":"article-journal","abstract":"BACKGROUND AND METHODS: Herpes simplex virus (HSV) infections are endemic, but the clinical characteristics of newly acquired HSV type 1 (HSV-1) and HSV type 2 (HSV-2) infections in adults have not been rigorously defined. We monitored 2393 sexually active HSV-2-seronegative persons for clinical and serologic evidence of new HSV infection. Of the participants, 1508 were seropositive for HSV-1 and 885 were seronegative. Charts were reviewed in a blinded manner for classification of those with genitourinary or oropharyngeal symptoms. Charts were also reviewed for all 174 persons with HSV seroconversion.\nRESULTS: The rates of new HSV-1 and HSV-2 infections were 1.6 and 5.1 cases per 100 person-years, respectively. Of the 155 new HSV-2 infections, 57 (37 percent) were symptomatic, 47 of which (82 percent) were correctly diagnosed at presentation. Among the 74 patients given a clinical diagnosis of genital HSV-2 during the study, 60 were given a correct diagnosis and 14 were given an incorrect diagnosis of genital herpes, for a ratio of true positive results to false positive results of 4:1. Among the 98 persons with asymptomatic HSV-2 seroconversion, 15 percent had genital lesions at some time during follow-up. Women were more likely than men to acquire HSV-2 (P&lt;0.01) and to have symptomatic infection. Previous HSV-1 infection did not reduce the rate of HSV-2 infection, but it did increase the likelihood of asymptomatic seroconversion, as compared with symptomatic seroconversion, by a factor of 2.6 (P&lt;0.001). Of the 19 new HSV-1 infections, 12 were symptomatic. The rates of symptomatic genital HSV-1 infection and oropharyngeal HSV-1 infection were the same (0.5 case per 100 person-years).\nCONCLUSIONS: Nearly 40 percent of newly acquired HSV-2 infections and nearly two thirds of new HSV-1 infections are symptomatic. Among sexually active adults, new genital HSV-1 infections are as common as new oropharyngeal HSV-1 infections.","container-title":"The New England Journal of Medicine","DOI":"10.1056/NEJM199911043411904","ISSN":"0028-4793","issue":"19","journalAbbreviation":"N. Engl. J. Med.","language":"eng","note":"PMID: 10547406","page":"1432-1438","source":"PubMed","title":"A prospective study of new infections with herpes simplex virus type 1 and type 2. Chiron HSV Vaccine Study Group","volume":"341","author":[{"family":"Langenberg","given":"A. G."},{"family":"Corey","given":"L."},{"family":"Ashley","given":"R. L."},{"family":"Leong","given":"W. P."},{"family":"Straus","given":"S. E."}],"issued":{"date-parts":[["1999",11,4]]}}}],"schema":"https://github.com/citation-style-language/schema/raw/master/csl-citation.json"}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szCs w:val="20"/>
              </w:rPr>
              <w:t>[11]</w:t>
            </w:r>
            <w:r w:rsidRPr="008D6407">
              <w:rPr>
                <w:rFonts w:ascii="Arial" w:hAnsi="Arial" w:cs="Arial"/>
                <w:i/>
                <w:iCs/>
                <w:sz w:val="20"/>
                <w:szCs w:val="20"/>
              </w:rPr>
              <w:fldChar w:fldCharType="end"/>
            </w:r>
          </w:p>
        </w:tc>
      </w:tr>
      <w:tr w:rsidR="00E30457" w:rsidRPr="00F82336" w14:paraId="2027F868" w14:textId="77777777" w:rsidTr="008D6407">
        <w:trPr>
          <w:jc w:val="center"/>
        </w:trPr>
        <w:tc>
          <w:tcPr>
            <w:tcW w:w="2610" w:type="dxa"/>
            <w:shd w:val="clear" w:color="auto" w:fill="FFFFFF" w:themeFill="background1"/>
          </w:tcPr>
          <w:p w14:paraId="7A1DA495" w14:textId="0FF3EBB5" w:rsidR="00E30457" w:rsidRPr="008D6407" w:rsidRDefault="00E30457" w:rsidP="008D6407">
            <w:pPr>
              <w:pStyle w:val="Default"/>
              <w:rPr>
                <w:rFonts w:ascii="Arial" w:hAnsi="Arial" w:cs="Arial"/>
                <w:bCs/>
                <w:i/>
                <w:iCs/>
                <w:noProof/>
                <w:sz w:val="20"/>
                <w:szCs w:val="20"/>
              </w:rPr>
            </w:pPr>
            <w:r w:rsidRPr="008D6407">
              <w:rPr>
                <w:rFonts w:ascii="Arial" w:hAnsi="Arial" w:cs="Arial"/>
                <w:i/>
                <w:iCs/>
                <w:sz w:val="20"/>
                <w:szCs w:val="20"/>
              </w:rPr>
              <w:t xml:space="preserve">Proportion with </w:t>
            </w:r>
            <w:r w:rsidRPr="008D6407">
              <w:rPr>
                <w:rFonts w:ascii="Arial" w:hAnsi="Arial" w:cs="Arial"/>
                <w:bCs/>
                <w:i/>
                <w:iCs/>
                <w:noProof/>
                <w:sz w:val="20"/>
                <w:szCs w:val="20"/>
              </w:rPr>
              <w:t xml:space="preserve">genital herpes </w:t>
            </w:r>
            <w:r w:rsidRPr="008D6407">
              <w:rPr>
                <w:rFonts w:ascii="Arial" w:hAnsi="Arial" w:cs="Arial"/>
                <w:i/>
                <w:iCs/>
                <w:sz w:val="20"/>
                <w:szCs w:val="20"/>
              </w:rPr>
              <w:t>recurrences</w:t>
            </w:r>
          </w:p>
        </w:tc>
        <w:tc>
          <w:tcPr>
            <w:tcW w:w="3060" w:type="dxa"/>
            <w:shd w:val="clear" w:color="auto" w:fill="FFFFFF" w:themeFill="background1"/>
          </w:tcPr>
          <w:p w14:paraId="3026CA20" w14:textId="77777777" w:rsidR="00E30457" w:rsidRPr="008D6407" w:rsidRDefault="00E30457" w:rsidP="008D6407">
            <w:pPr>
              <w:rPr>
                <w:rFonts w:ascii="Arial" w:hAnsi="Arial" w:cs="Arial"/>
                <w:i/>
                <w:iCs/>
                <w:sz w:val="20"/>
                <w:szCs w:val="20"/>
              </w:rPr>
            </w:pPr>
          </w:p>
          <w:p w14:paraId="5698416A" w14:textId="51786515" w:rsidR="00E30457" w:rsidRPr="008D6407" w:rsidRDefault="00D2238B" w:rsidP="008D6407">
            <w:pPr>
              <w:rPr>
                <w:rFonts w:ascii="Arial" w:hAnsi="Arial" w:cs="Arial"/>
                <w:bCs/>
                <w:i/>
                <w:iCs/>
                <w:noProof/>
                <w:sz w:val="20"/>
                <w:szCs w:val="20"/>
              </w:rPr>
            </w:pPr>
            <w:r w:rsidRPr="008D6407">
              <w:rPr>
                <w:rFonts w:ascii="Arial" w:hAnsi="Arial" w:cs="Arial"/>
                <w:i/>
                <w:iCs/>
                <w:sz w:val="20"/>
                <w:szCs w:val="20"/>
              </w:rPr>
              <w:t xml:space="preserve">Values between </w:t>
            </w:r>
            <w:r w:rsidR="00E30457" w:rsidRPr="008D6407">
              <w:rPr>
                <w:rFonts w:ascii="Arial" w:hAnsi="Arial" w:cs="Arial"/>
                <w:i/>
                <w:iCs/>
                <w:sz w:val="20"/>
                <w:szCs w:val="20"/>
              </w:rPr>
              <w:t>69.5%</w:t>
            </w:r>
            <w:r w:rsidRPr="008D6407">
              <w:rPr>
                <w:rFonts w:ascii="Arial" w:hAnsi="Arial" w:cs="Arial"/>
                <w:i/>
                <w:iCs/>
                <w:sz w:val="20"/>
                <w:szCs w:val="20"/>
              </w:rPr>
              <w:t xml:space="preserve"> and </w:t>
            </w:r>
            <w:r w:rsidR="00E30457" w:rsidRPr="008D6407">
              <w:rPr>
                <w:rFonts w:ascii="Arial" w:hAnsi="Arial" w:cs="Arial"/>
                <w:i/>
                <w:iCs/>
                <w:sz w:val="20"/>
                <w:szCs w:val="20"/>
              </w:rPr>
              <w:t>92.2%</w:t>
            </w:r>
            <w:r w:rsidRPr="008D6407">
              <w:rPr>
                <w:rFonts w:ascii="Arial" w:hAnsi="Arial" w:cs="Arial"/>
                <w:i/>
                <w:iCs/>
                <w:sz w:val="20"/>
                <w:szCs w:val="20"/>
              </w:rPr>
              <w:t xml:space="preserve"> distributed normally.</w:t>
            </w:r>
          </w:p>
        </w:tc>
        <w:tc>
          <w:tcPr>
            <w:tcW w:w="3060" w:type="dxa"/>
            <w:shd w:val="clear" w:color="auto" w:fill="FFFFFF" w:themeFill="background1"/>
          </w:tcPr>
          <w:p w14:paraId="24C825F8" w14:textId="77777777" w:rsidR="00E30457" w:rsidRPr="008D6407" w:rsidRDefault="00E30457" w:rsidP="00F37314">
            <w:pPr>
              <w:rPr>
                <w:rFonts w:ascii="Arial" w:hAnsi="Arial" w:cs="Arial"/>
                <w:i/>
                <w:iCs/>
                <w:sz w:val="20"/>
                <w:szCs w:val="20"/>
              </w:rPr>
            </w:pPr>
          </w:p>
          <w:p w14:paraId="2A126E8E" w14:textId="7CD1D2B7" w:rsidR="00E30457" w:rsidRPr="008D6407" w:rsidRDefault="00E30457" w:rsidP="008D6407">
            <w:pPr>
              <w:rPr>
                <w:rFonts w:ascii="Arial" w:hAnsi="Arial" w:cs="Arial"/>
                <w:i/>
                <w:iCs/>
                <w:sz w:val="20"/>
                <w:szCs w:val="20"/>
              </w:rPr>
            </w:pPr>
            <w:r w:rsidRPr="008D6407">
              <w:rPr>
                <w:rFonts w:ascii="Arial" w:hAnsi="Arial" w:cs="Arial"/>
                <w:i/>
                <w:iCs/>
                <w:sz w:val="20"/>
                <w:szCs w:val="20"/>
              </w:rPr>
              <w:t>Beneditti</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{"citationID":"LOv9AhtV","properties":{"formattedCitation":"[12]","plainCitation":"[12]","noteIndex":0},"citationItems":[{"id":26779,"uris":["http://zotero.org/users/local/p8g0WsVO/items/SLHN6IIC"],"itemData":{"id":26779,"type":"article-journal","abstract":"OBJECTIVE: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szCs w:val="20"/>
              </w:rPr>
              <w:t>[12]</w:t>
            </w:r>
            <w:r w:rsidRPr="008D6407">
              <w:rPr>
                <w:rFonts w:ascii="Arial" w:hAnsi="Arial" w:cs="Arial"/>
                <w:i/>
                <w:iCs/>
                <w:sz w:val="20"/>
                <w:szCs w:val="20"/>
              </w:rPr>
              <w:fldChar w:fldCharType="end"/>
            </w:r>
            <w:r w:rsidRPr="008D6407">
              <w:rPr>
                <w:rFonts w:ascii="Arial" w:hAnsi="Arial" w:cs="Arial"/>
                <w:i/>
                <w:iCs/>
                <w:sz w:val="20"/>
                <w:szCs w:val="20"/>
              </w:rPr>
              <w:t xml:space="preserve"> and Corey et al.</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{"citationID":"PEOEmVle","properties":{"formattedCitation":"[13]","plainCitation":"[13]","noteIndex":0},"citationItems":[{"id":1703,"uris":["http://zotero.org/users/local/p8g0WsVO/items/QTNHXWNA"],"itemData":{"id":1703,"type":"article-journal","abstract":"CONTEXT: In the last 3 decades, herpes simplex virus type 2 (HSV-2) infection seroprevalence and neonatal herpes have increased substantially. An effective vaccine for the prevention of genital herpes could help control this epidemic.\nOBJECTIVE: To evaluate the efficacy of a vaccine for prevention of HSV-2 infection.\nDESIGN: Two randomized, double-blind, placebo-controlled multicenter trials of a recombinant subunit vaccine containing 30 microg each of 2 major HSV-2 surface glycoproteins (gB2 and gD2) against which neutralizing antibodies are directed, administered at months 0, 1, and 6. Control subjects were given a citrate buffer vehicle. Participants were followed up for 1 year after the third immunization.\nSETTING AND PARTICIPANTS: We enrolled 2393 persons from December 10, 1993, to April 4, 1995, who were HSV-2 and human immunodeficiency virus seronegative. One trial with 18 centers enrolled 531 HSV-2-seronegative partners of HSV-2-infected persons; the other, with 22 centers, enrolled 1862 persons attending sexually transmitted disease clinics. A total of 2268 (94.8%) met inclusion criteria and were included in the analysis with 1135 randomized to placebo and 2012 to vaccine.\nMAIN OUTCOME MEASURE: Time to acquisition of HSV-2 infection, defined by seroconversion or isolation of HSV-2 in culture during the study period by randomization group.\nRESULTS: Time-to-event curves indicated a 50% lower acquisition rate among vaccine vs placebo recipients during the initial 5 months of the trial; however, overall vaccine efficacy was 9% (95% confidence interval, -29% to 36%). Acquisition rates of HSV-2 were 4.6 and 4.2 per 100 patient-years in the placebo and vaccine recipients, respectively (P =.58). Follow-up of vaccine recipients acquiring HSV-2 infection showed vaccination had no significant influence on duration of clinical first genital HSV-2 episodes (vaccine, median of 7.1 days; placebo, 6.5 days; P&gt;.10) or subsequent frequency of reactivation (median monthly recurrence rate with vaccine, 0.2; with placebo, 0.3; P&gt;.10). The vaccine induced high levels of HSV-2-specific neutralizing antibodies in vaccinated persons who did and did not develop genital herpes.\nCONCLUSIONS: Efficient and sustained protection from sexual acquisition of HSV-2 infection will require more than high titers of specific neutralizing antibodies. Protection against sexually transmitted viruses involving exposure over a prolonged period will require a higher degree of vaccine efficacy than that achieved in this study.","container-title":"JAMA","ISSN":"0098-7484","issue":"4","journalAbbreviation":"JAMA","language":"eng","note":"PMID: 10432030","page":"331-340","source":"PubMed","title":"Recombinant glycoprotein vaccine for the prevention of genital HSV-2 infection: two randomized controlled trials. Chiron HSV Vaccine Study Group","title-short":"Recombinant glycoprotein vaccine for the prevention of genital HSV-2 infection","volume":"282","author":[{"family":"Corey","given":"L."},{"family":"Langenberg","given":"A. G."},{"family":"Ashley","given":"R."},{"family":"Sekulovich","given":"R. E."},{"family":"Izu","given":"A. E."},{"family":"Douglas","given":"J. M."},{"family":"Handsfield","given":"H. H."},{"family":"Warren","given":"T."},{"family":"Marr","given":"L."},{"family":"Tyring","given":"S."},{"family":"DiCarlo","given":"R."},{"family":"Adimora","given":"A. A."},{"family":"Leone","given":"P."},{"family":"Dekker","given":"C. L."},{"family":"Burke","given":"R. L."},{"family":"Leong","given":"W. P."},{"family":"Straus","given":"S. E."}],"issued":{"date-parts":[["1999",7,28]]}}}],"schema":"https://github.com/citation-style-language/schema/raw/master/csl-citation.json"}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szCs w:val="20"/>
              </w:rPr>
              <w:t>[13]</w:t>
            </w:r>
            <w:r w:rsidRPr="008D6407">
              <w:rPr>
                <w:rFonts w:ascii="Arial" w:hAnsi="Arial" w:cs="Arial"/>
                <w:i/>
                <w:iCs/>
                <w:sz w:val="20"/>
                <w:szCs w:val="20"/>
              </w:rPr>
              <w:fldChar w:fldCharType="end"/>
            </w:r>
          </w:p>
        </w:tc>
      </w:tr>
      <w:tr w:rsidR="00E30457" w:rsidRPr="00F82336" w14:paraId="7158F369" w14:textId="77777777" w:rsidTr="008D6407">
        <w:trPr>
          <w:jc w:val="center"/>
        </w:trPr>
        <w:tc>
          <w:tcPr>
            <w:tcW w:w="2610" w:type="dxa"/>
            <w:shd w:val="clear" w:color="auto" w:fill="FFFFFF" w:themeFill="background1"/>
          </w:tcPr>
          <w:p w14:paraId="1B6155E5" w14:textId="3F44FAFA" w:rsidR="00E30457" w:rsidRPr="008D6407" w:rsidRDefault="00E30457" w:rsidP="008D6407">
            <w:pPr>
              <w:pStyle w:val="Default"/>
              <w:rPr>
                <w:rFonts w:ascii="Arial" w:hAnsi="Arial" w:cs="Arial"/>
                <w:i/>
                <w:iCs/>
                <w:sz w:val="20"/>
                <w:szCs w:val="20"/>
              </w:rPr>
            </w:pPr>
            <w:r w:rsidRPr="008D6407">
              <w:rPr>
                <w:rFonts w:ascii="Arial" w:hAnsi="Arial" w:cs="Arial"/>
                <w:i/>
                <w:iCs/>
                <w:sz w:val="20"/>
                <w:szCs w:val="20"/>
              </w:rPr>
              <w:t>Number of clinic visits for recurrences</w:t>
            </w:r>
          </w:p>
        </w:tc>
        <w:tc>
          <w:tcPr>
            <w:tcW w:w="3060" w:type="dxa"/>
            <w:shd w:val="clear" w:color="auto" w:fill="FFFFFF" w:themeFill="background1"/>
          </w:tcPr>
          <w:p w14:paraId="3D2A9558" w14:textId="7E09F344" w:rsidR="00E30457"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Values between 0 and 12 distributed normally</w:t>
            </w:r>
          </w:p>
        </w:tc>
        <w:tc>
          <w:tcPr>
            <w:tcW w:w="3060" w:type="dxa"/>
            <w:shd w:val="clear" w:color="auto" w:fill="FFFFFF" w:themeFill="background1"/>
          </w:tcPr>
          <w:p w14:paraId="25B023C5" w14:textId="37949259" w:rsidR="00E30457"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Assumed</w:t>
            </w:r>
          </w:p>
        </w:tc>
      </w:tr>
      <w:tr w:rsidR="00E30457" w:rsidRPr="00F82336" w14:paraId="73178E4C" w14:textId="77777777" w:rsidTr="008D6407">
        <w:trPr>
          <w:jc w:val="center"/>
        </w:trPr>
        <w:tc>
          <w:tcPr>
            <w:tcW w:w="2610" w:type="dxa"/>
            <w:shd w:val="clear" w:color="auto" w:fill="FFFFFF" w:themeFill="background1"/>
          </w:tcPr>
          <w:p w14:paraId="03DA405D" w14:textId="265EB8C2" w:rsidR="00E30457" w:rsidRPr="008D6407" w:rsidRDefault="00E30457" w:rsidP="008D6407">
            <w:pPr>
              <w:pStyle w:val="Default"/>
              <w:rPr>
                <w:rFonts w:ascii="Arial" w:hAnsi="Arial" w:cs="Arial"/>
                <w:i/>
                <w:iCs/>
                <w:sz w:val="20"/>
                <w:szCs w:val="20"/>
              </w:rPr>
            </w:pPr>
            <w:r w:rsidRPr="008D6407">
              <w:rPr>
                <w:rFonts w:ascii="Arial" w:hAnsi="Arial" w:cs="Arial"/>
                <w:i/>
                <w:iCs/>
                <w:sz w:val="20"/>
                <w:szCs w:val="20"/>
              </w:rPr>
              <w:t xml:space="preserve">Duration of a </w:t>
            </w:r>
            <w:r w:rsidRPr="008D6407">
              <w:rPr>
                <w:rFonts w:ascii="Arial" w:hAnsi="Arial" w:cs="Arial"/>
                <w:bCs/>
                <w:i/>
                <w:iCs/>
                <w:noProof/>
                <w:sz w:val="20"/>
                <w:szCs w:val="20"/>
              </w:rPr>
              <w:t xml:space="preserve">genital herpes </w:t>
            </w:r>
            <w:r w:rsidRPr="008D6407">
              <w:rPr>
                <w:rFonts w:ascii="Arial" w:hAnsi="Arial" w:cs="Arial"/>
                <w:i/>
                <w:iCs/>
                <w:sz w:val="20"/>
                <w:szCs w:val="20"/>
              </w:rPr>
              <w:t>first episode</w:t>
            </w:r>
          </w:p>
        </w:tc>
        <w:tc>
          <w:tcPr>
            <w:tcW w:w="3060" w:type="dxa"/>
            <w:shd w:val="clear" w:color="auto" w:fill="FFFFFF" w:themeFill="background1"/>
          </w:tcPr>
          <w:p w14:paraId="66E3D240" w14:textId="08366F42" w:rsidR="00E30457"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 xml:space="preserve">Values between </w:t>
            </w:r>
            <w:r w:rsidRPr="008D6407">
              <w:rPr>
                <w:rFonts w:ascii="Arial" w:hAnsi="Arial" w:cs="Arial"/>
                <w:i/>
                <w:iCs/>
                <w:sz w:val="20"/>
                <w:szCs w:val="20"/>
              </w:rPr>
              <w:t>18.3 days and 22.8 days distributed normally</w:t>
            </w:r>
          </w:p>
        </w:tc>
        <w:tc>
          <w:tcPr>
            <w:tcW w:w="3060" w:type="dxa"/>
            <w:shd w:val="clear" w:color="auto" w:fill="FFFFFF" w:themeFill="background1"/>
          </w:tcPr>
          <w:p w14:paraId="4D05D05E" w14:textId="73096470" w:rsidR="00E30457" w:rsidRPr="008D6407" w:rsidRDefault="009A2C99" w:rsidP="008D6407">
            <w:pPr>
              <w:rPr>
                <w:rFonts w:ascii="Arial" w:hAnsi="Arial" w:cs="Arial"/>
                <w:bCs/>
                <w:i/>
                <w:iCs/>
                <w:noProof/>
                <w:sz w:val="20"/>
                <w:szCs w:val="20"/>
              </w:rPr>
            </w:pPr>
            <w:r w:rsidRPr="008D6407">
              <w:rPr>
                <w:rFonts w:ascii="Arial" w:hAnsi="Arial" w:cs="Arial"/>
                <w:i/>
                <w:iCs/>
                <w:sz w:val="20"/>
                <w:szCs w:val="20"/>
              </w:rPr>
              <w:t>Beneditti</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{"citationID":"LkbSmsRZ","properties":{"formattedCitation":"[12]","plainCitation":"[12]","noteIndex":0},"citationItems":[{"id":26779,"uris":["http://zotero.org/users/local/p8g0WsVO/items/SLHN6IIC"],"itemData":{"id":26779,"type":"article-journal","abstract":"OBJECTIVE: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szCs w:val="20"/>
              </w:rPr>
              <w:t>[12]</w:t>
            </w:r>
            <w:r w:rsidRPr="008D6407">
              <w:rPr>
                <w:rFonts w:ascii="Arial" w:hAnsi="Arial" w:cs="Arial"/>
                <w:i/>
                <w:iCs/>
                <w:sz w:val="20"/>
                <w:szCs w:val="20"/>
              </w:rPr>
              <w:fldChar w:fldCharType="end"/>
            </w:r>
            <w:r w:rsidRPr="008D6407">
              <w:rPr>
                <w:rFonts w:ascii="Arial" w:hAnsi="Arial" w:cs="Arial"/>
                <w:i/>
                <w:iCs/>
                <w:sz w:val="20"/>
                <w:szCs w:val="20"/>
              </w:rPr>
              <w:t xml:space="preserve"> and Corey et al.</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{"citationID":"IdzAss7K","properties":{"formattedCitation":"[13]","plainCitation":"[13]","noteIndex":0},"citationItems":[{"id":1703,"uris":["http://zotero.org/users/local/p8g0WsVO/items/QTNHXWNA"],"itemData":{"id":1703,"type":"article-journal","abstract":"CONTEXT: In the last 3 decades, herpes simplex virus type 2 (HSV-2) infection seroprevalence and neonatal herpes have increased substantially. An effective vaccine for the prevention of genital herpes could help control this epidemic.\nOBJECTIVE: To evaluate the efficacy of a vaccine for prevention of HSV-2 infection.\nDESIGN: Two randomized, double-blind, placebo-controlled multicenter trials of a recombinant subunit vaccine containing 30 microg each of 2 major HSV-2 surface glycoproteins (gB2 and gD2) against which neutralizing antibodies are directed, administered at months 0, 1, and 6. Control subjects were given a citrate buffer vehicle. Participants were followed up for 1 year after the third immunization.\nSETTING AND PARTICIPANTS: We enrolled 2393 persons from December 10, 1993, to April 4, 1995, who were HSV-2 and human immunodeficiency virus seronegative. One trial with 18 centers enrolled 531 HSV-2-seronegative partners of HSV-2-infected persons; the other, with 22 centers, enrolled 1862 persons attending sexually transmitted disease clinics. A total of 2268 (94.8%) met inclusion criteria and were included in the analysis with 1135 randomized to placebo and 2012 to vaccine.\nMAIN OUTCOME MEASURE: Time to acquisition of HSV-2 infection, defined by seroconversion or isolation of HSV-2 in culture during the study period by randomization group.\nRESULTS: Time-to-event curves indicated a 50% lower acquisition rate among vaccine vs placebo recipients during the initial 5 months of the trial; however, overall vaccine efficacy was 9% (95% confidence interval, -29% to 36%). Acquisition rates of HSV-2 were 4.6 and 4.2 per 100 patient-years in the placebo and vaccine recipients, respectively (P =.58). Follow-up of vaccine recipients acquiring HSV-2 infection showed vaccination had no significant influence on duration of clinical first genital HSV-2 episodes (vaccine, median of 7.1 days; placebo, 6.5 days; P&gt;.10) or subsequent frequency of reactivation (median monthly recurrence rate with vaccine, 0.2; with placebo, 0.3; P&gt;.10). The vaccine induced high levels of HSV-2-specific neutralizing antibodies in vaccinated persons who did and did not develop genital herpes.\nCONCLUSIONS: Efficient and sustained protection from sexual acquisition of HSV-2 infection will require more than high titers of specific neutralizing antibodies. Protection against sexually transmitted viruses involving exposure over a prolonged period will require a higher degree of vaccine efficacy than that achieved in this study.","container-title":"JAMA","ISSN":"0098-7484","issue":"4","journalAbbreviation":"JAMA","language":"eng","note":"PMID: 10432030","page":"331-340","source":"PubMed","title":"Recombinant glycoprotein vaccine for the prevention of genital HSV-2 infection: two randomized controlled trials. Chiron HSV Vaccine Study Group","title-short":"Recombinant glycoprotein vaccine for the prevention of genital HSV-2 infection","volume":"282","author":[{"family":"Corey","given":"L."},{"family":"Langenberg","given":"A. G."},{"family":"Ashley","given":"R."},{"family":"Sekulovich","given":"R. E."},{"family":"Izu","given":"A. E."},{"family":"Douglas","given":"J. M."},{"family":"Handsfield","given":"H. H."},{"family":"Warren","given":"T."},{"family":"Marr","given":"L."},{"family":"Tyring","given":"S."},{"family":"DiCarlo","given":"R."},{"family":"Adimora","given":"A. A."},{"family":"Leone","given":"P."},{"family":"Dekker","given":"C. L."},{"family":"Burke","given":"R. L."},{"family":"Leong","given":"W. P."},{"family":"Straus","given":"S. E."}],"issued":{"date-parts":[["1999",7,28]]}}}],"schema":"https://github.com/citation-style-language/schema/raw/master/csl-citation.json"}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szCs w:val="20"/>
              </w:rPr>
              <w:t>[13]</w:t>
            </w:r>
            <w:r w:rsidRPr="008D6407">
              <w:rPr>
                <w:rFonts w:ascii="Arial" w:hAnsi="Arial" w:cs="Arial"/>
                <w:i/>
                <w:iCs/>
                <w:sz w:val="20"/>
                <w:szCs w:val="20"/>
              </w:rPr>
              <w:fldChar w:fldCharType="end"/>
            </w:r>
          </w:p>
        </w:tc>
      </w:tr>
      <w:tr w:rsidR="00D2238B" w:rsidRPr="00F82336" w14:paraId="79670D89" w14:textId="77777777" w:rsidTr="008D6407">
        <w:trPr>
          <w:jc w:val="center"/>
        </w:trPr>
        <w:tc>
          <w:tcPr>
            <w:tcW w:w="2610" w:type="dxa"/>
            <w:shd w:val="clear" w:color="auto" w:fill="FFFFFF" w:themeFill="background1"/>
          </w:tcPr>
          <w:p w14:paraId="5B17C2FB" w14:textId="6C92F87D" w:rsidR="00D2238B" w:rsidRPr="008D6407" w:rsidRDefault="00D2238B" w:rsidP="008D6407">
            <w:pPr>
              <w:pStyle w:val="Default"/>
              <w:rPr>
                <w:rFonts w:ascii="Arial" w:hAnsi="Arial" w:cs="Arial"/>
                <w:i/>
                <w:iCs/>
                <w:sz w:val="20"/>
                <w:szCs w:val="20"/>
              </w:rPr>
            </w:pPr>
            <w:r w:rsidRPr="008D6407">
              <w:rPr>
                <w:rFonts w:ascii="Arial" w:hAnsi="Arial" w:cs="Arial"/>
                <w:i/>
                <w:iCs/>
                <w:sz w:val="20"/>
                <w:szCs w:val="20"/>
              </w:rPr>
              <w:t xml:space="preserve">Duration of a </w:t>
            </w:r>
            <w:r w:rsidRPr="008D6407">
              <w:rPr>
                <w:rFonts w:ascii="Arial" w:hAnsi="Arial" w:cs="Arial"/>
                <w:bCs/>
                <w:i/>
                <w:iCs/>
                <w:noProof/>
                <w:sz w:val="20"/>
                <w:szCs w:val="20"/>
              </w:rPr>
              <w:t xml:space="preserve">genital herpes </w:t>
            </w:r>
            <w:r w:rsidRPr="008D6407">
              <w:rPr>
                <w:rFonts w:ascii="Arial" w:hAnsi="Arial" w:cs="Arial"/>
                <w:i/>
                <w:iCs/>
                <w:sz w:val="20"/>
                <w:szCs w:val="20"/>
              </w:rPr>
              <w:t>recurrent episode</w:t>
            </w:r>
          </w:p>
        </w:tc>
        <w:tc>
          <w:tcPr>
            <w:tcW w:w="3060" w:type="dxa"/>
            <w:shd w:val="clear" w:color="auto" w:fill="FFFFFF" w:themeFill="background1"/>
          </w:tcPr>
          <w:p w14:paraId="399FEF00" w14:textId="4BFBB1F8" w:rsidR="00D2238B" w:rsidRPr="008D6407" w:rsidRDefault="00D2238B" w:rsidP="008D6407">
            <w:pPr>
              <w:rPr>
                <w:rFonts w:ascii="Arial" w:hAnsi="Arial" w:cs="Arial"/>
                <w:bCs/>
                <w:i/>
                <w:iCs/>
                <w:noProof/>
                <w:sz w:val="20"/>
                <w:szCs w:val="20"/>
              </w:rPr>
            </w:pPr>
            <w:r w:rsidRPr="008D6407">
              <w:rPr>
                <w:rFonts w:ascii="Arial" w:hAnsi="Arial" w:cs="Arial"/>
                <w:i/>
                <w:iCs/>
                <w:sz w:val="20"/>
                <w:szCs w:val="20"/>
              </w:rPr>
              <w:t>Values between 7.5 and 9.5 distributed normally</w:t>
            </w:r>
          </w:p>
        </w:tc>
        <w:tc>
          <w:tcPr>
            <w:tcW w:w="3060" w:type="dxa"/>
            <w:shd w:val="clear" w:color="auto" w:fill="FFFFFF" w:themeFill="background1"/>
          </w:tcPr>
          <w:p w14:paraId="47A0A858" w14:textId="0A355F2E" w:rsidR="00D2238B" w:rsidRPr="008D6407" w:rsidRDefault="00D2238B" w:rsidP="008D6407">
            <w:pPr>
              <w:rPr>
                <w:rFonts w:ascii="Arial" w:hAnsi="Arial" w:cs="Arial"/>
                <w:bCs/>
                <w:i/>
                <w:iCs/>
                <w:noProof/>
                <w:sz w:val="20"/>
                <w:szCs w:val="20"/>
              </w:rPr>
            </w:pPr>
            <w:r w:rsidRPr="008D6407">
              <w:rPr>
                <w:rFonts w:ascii="Arial" w:hAnsi="Arial" w:cs="Arial"/>
                <w:i/>
                <w:iCs/>
                <w:sz w:val="20"/>
                <w:szCs w:val="20"/>
              </w:rPr>
              <w:t>Corey et al.</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{"citationID":"IE0n5gm2","properties":{"formattedCitation":"[14]","plainCitation":"[14]","noteIndex":0},"citationItems":[{"id":27231,"uris":["http://zotero.org/users/local/p8g0WsVO/items/D2CLAHU9"],"itemData":{"id":27231,"type":"article-journal","abstract":"The clinical course and complications of 268 patients with first episodes and 362 with recurrent episodes of genital herpes infection were reviewed. Symptoms of genital herpes were more severe in women than in men. Primary first-episode genital herpes was accompanied by systemic symptoms (67%), local pain and itching (98%), dysuria (63%), and tender adenopathy (80%). Patients presented with several bilaterally distributed postular ulcerative lesions that lasted a mean of 19.0 days. Herpes simplex virus was isolated from the urethra, cervix, and pharynx of 82%, 88%, and 13% of women with first-episode primary genital herpes, and the urethra and pharynx of 28% and 7% of men. Complications included aseptic meningitis (8%), sacral autonomic nervous system dysfunction (2%), development of extragenital lesions (20%), and secondary yeast infections (11%). Recurrent episodes were characterized by small vesicular or ulcerative unilaterally distributed lesions that lasted a mean of 10.1 days. Systemic symptoms were uncommon and 25% of recurrent episodes were asymptomatic. The major concerns of patients were the frequency of recurrences and fear of transmitting infection to partners or infants.","container-title":"Annals of Internal Medicine","DOI":"10.7326/0003-4819-98-6-958","ISSN":"0003-4819","issue":"6","journalAbbreviation":"Ann. Intern. Med.","language":"eng","note":"PMID: 6344712","page":"958-972","source":"PubMed","title":"Genital herpes simplex virus infections: clinical manifestations, course, and complications","title-short":"Genital herpes simplex virus infections","volume":"98","author":[{"family":"Corey","given":"L."},{"family":"Adams","given":"H. G."},{"family":"Brown","given":"Z. A."},{"family":"Holmes","given":"K. K."}],"issued":{"date-parts":[["1983",6]]}}}],"schema":"https://github.com/citation-style-language/schema/raw/master/csl-citation.json"}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szCs w:val="20"/>
              </w:rPr>
              <w:t>[14]</w:t>
            </w:r>
            <w:r w:rsidRPr="008D6407">
              <w:rPr>
                <w:rFonts w:ascii="Arial" w:hAnsi="Arial" w:cs="Arial"/>
                <w:i/>
                <w:iCs/>
                <w:sz w:val="20"/>
                <w:szCs w:val="20"/>
              </w:rPr>
              <w:fldChar w:fldCharType="end"/>
            </w:r>
          </w:p>
        </w:tc>
      </w:tr>
      <w:tr w:rsidR="00D2238B" w:rsidRPr="00F82336" w14:paraId="052D24B5" w14:textId="77777777" w:rsidTr="008D6407">
        <w:trPr>
          <w:jc w:val="center"/>
        </w:trPr>
        <w:tc>
          <w:tcPr>
            <w:tcW w:w="2610" w:type="dxa"/>
            <w:shd w:val="clear" w:color="auto" w:fill="FFFFFF" w:themeFill="background1"/>
          </w:tcPr>
          <w:p w14:paraId="6752A70B" w14:textId="6C29E2BA" w:rsidR="00D2238B" w:rsidRPr="008D6407" w:rsidRDefault="00D2238B" w:rsidP="008D6407">
            <w:pPr>
              <w:pStyle w:val="Default"/>
              <w:rPr>
                <w:rFonts w:ascii="Arial" w:hAnsi="Arial" w:cs="Arial"/>
                <w:i/>
                <w:iCs/>
                <w:sz w:val="20"/>
                <w:szCs w:val="20"/>
              </w:rPr>
            </w:pPr>
            <w:r w:rsidRPr="008D6407">
              <w:rPr>
                <w:rFonts w:ascii="Arial" w:hAnsi="Arial" w:cs="Arial"/>
                <w:i/>
                <w:iCs/>
                <w:sz w:val="20"/>
                <w:szCs w:val="20"/>
              </w:rPr>
              <w:t>Care seeking proportion</w:t>
            </w:r>
          </w:p>
        </w:tc>
        <w:tc>
          <w:tcPr>
            <w:tcW w:w="3060" w:type="dxa"/>
            <w:shd w:val="clear" w:color="auto" w:fill="FFFFFF" w:themeFill="background1"/>
          </w:tcPr>
          <w:p w14:paraId="68DF3A0B" w14:textId="3A239EAA" w:rsidR="00D2238B" w:rsidRPr="008D6407" w:rsidRDefault="0055537D" w:rsidP="008D6407">
            <w:pPr>
              <w:pStyle w:val="ListParagraph"/>
              <w:ind w:left="360"/>
              <w:rPr>
                <w:rFonts w:ascii="Arial" w:hAnsi="Arial" w:cs="Arial"/>
                <w:bCs/>
                <w:i/>
                <w:iCs/>
                <w:noProof/>
                <w:sz w:val="20"/>
                <w:szCs w:val="20"/>
              </w:rPr>
            </w:pPr>
            <w:r>
              <w:rPr>
                <w:rFonts w:ascii="Arial" w:hAnsi="Arial" w:cs="Arial"/>
                <w:bCs/>
                <w:i/>
                <w:iCs/>
                <w:noProof/>
                <w:sz w:val="20"/>
                <w:szCs w:val="20"/>
              </w:rPr>
              <w:t>0.25-0.75</w:t>
            </w:r>
          </w:p>
        </w:tc>
        <w:tc>
          <w:tcPr>
            <w:tcW w:w="3060" w:type="dxa"/>
            <w:shd w:val="clear" w:color="auto" w:fill="FFFFFF" w:themeFill="background1"/>
          </w:tcPr>
          <w:p w14:paraId="56C2AB29" w14:textId="29CDEB05" w:rsidR="00D2238B" w:rsidRPr="008D6407" w:rsidRDefault="0055537D" w:rsidP="008D6407">
            <w:pPr>
              <w:rPr>
                <w:rFonts w:ascii="Arial" w:hAnsi="Arial" w:cs="Arial"/>
                <w:bCs/>
                <w:i/>
                <w:iCs/>
                <w:noProof/>
                <w:sz w:val="20"/>
                <w:szCs w:val="20"/>
              </w:rPr>
            </w:pPr>
            <w:r>
              <w:rPr>
                <w:rFonts w:ascii="Arial" w:hAnsi="Arial" w:cs="Arial"/>
                <w:bCs/>
                <w:i/>
                <w:iCs/>
                <w:noProof/>
                <w:sz w:val="20"/>
                <w:szCs w:val="20"/>
              </w:rPr>
              <w:t>Assumed based on estimates</w:t>
            </w:r>
          </w:p>
        </w:tc>
      </w:tr>
      <w:tr w:rsidR="00D2238B" w:rsidRPr="00F82336" w14:paraId="718273AC" w14:textId="77777777" w:rsidTr="008D6407">
        <w:trPr>
          <w:jc w:val="center"/>
        </w:trPr>
        <w:tc>
          <w:tcPr>
            <w:tcW w:w="2610" w:type="dxa"/>
            <w:shd w:val="clear" w:color="auto" w:fill="FFFFFF" w:themeFill="background1"/>
          </w:tcPr>
          <w:p w14:paraId="1F0E7680" w14:textId="77777777" w:rsidR="00D2238B" w:rsidRPr="008D6407" w:rsidRDefault="00D2238B" w:rsidP="008D6407">
            <w:pPr>
              <w:pStyle w:val="Default"/>
              <w:rPr>
                <w:rFonts w:ascii="Arial" w:hAnsi="Arial" w:cs="Arial"/>
                <w:i/>
                <w:iCs/>
                <w:sz w:val="20"/>
                <w:szCs w:val="20"/>
              </w:rPr>
            </w:pPr>
          </w:p>
        </w:tc>
        <w:tc>
          <w:tcPr>
            <w:tcW w:w="3060" w:type="dxa"/>
            <w:shd w:val="clear" w:color="auto" w:fill="FFFFFF" w:themeFill="background1"/>
          </w:tcPr>
          <w:p w14:paraId="08E4DA5B" w14:textId="77777777" w:rsidR="00D2238B" w:rsidRPr="008D6407" w:rsidRDefault="00D2238B" w:rsidP="008D6407">
            <w:pPr>
              <w:pStyle w:val="ListParagraph"/>
              <w:ind w:left="360"/>
              <w:rPr>
                <w:rFonts w:ascii="Arial" w:hAnsi="Arial" w:cs="Arial"/>
                <w:bCs/>
                <w:i/>
                <w:iCs/>
                <w:noProof/>
                <w:sz w:val="20"/>
                <w:szCs w:val="20"/>
              </w:rPr>
            </w:pPr>
          </w:p>
        </w:tc>
        <w:tc>
          <w:tcPr>
            <w:tcW w:w="3060" w:type="dxa"/>
            <w:shd w:val="clear" w:color="auto" w:fill="FFFFFF" w:themeFill="background1"/>
          </w:tcPr>
          <w:p w14:paraId="4E997DF8" w14:textId="77777777" w:rsidR="00D2238B" w:rsidRPr="008D6407" w:rsidRDefault="00D2238B" w:rsidP="008D6407">
            <w:pPr>
              <w:rPr>
                <w:rFonts w:ascii="Arial" w:hAnsi="Arial" w:cs="Arial"/>
                <w:bCs/>
                <w:i/>
                <w:iCs/>
                <w:noProof/>
                <w:sz w:val="20"/>
                <w:szCs w:val="20"/>
              </w:rPr>
            </w:pPr>
          </w:p>
        </w:tc>
      </w:tr>
      <w:tr w:rsidR="00F82336" w:rsidRPr="00F82336" w14:paraId="32CD5CF3" w14:textId="77777777" w:rsidTr="008D6407">
        <w:trPr>
          <w:jc w:val="center"/>
        </w:trPr>
        <w:tc>
          <w:tcPr>
            <w:tcW w:w="2610" w:type="dxa"/>
            <w:shd w:val="clear" w:color="auto" w:fill="FFFFFF" w:themeFill="background1"/>
          </w:tcPr>
          <w:p w14:paraId="282A03A9" w14:textId="72033963" w:rsidR="00F82336" w:rsidRPr="008D6407" w:rsidRDefault="00F82336" w:rsidP="008D6407">
            <w:pPr>
              <w:pStyle w:val="Default"/>
              <w:rPr>
                <w:rFonts w:ascii="Arial" w:hAnsi="Arial" w:cs="Arial"/>
                <w:i/>
                <w:iCs/>
                <w:sz w:val="20"/>
                <w:szCs w:val="20"/>
                <w:u w:val="single"/>
              </w:rPr>
            </w:pPr>
            <w:r w:rsidRPr="008D6407">
              <w:rPr>
                <w:rFonts w:ascii="Arial" w:hAnsi="Arial" w:cs="Arial"/>
                <w:i/>
                <w:iCs/>
                <w:sz w:val="20"/>
                <w:szCs w:val="20"/>
                <w:u w:val="single"/>
              </w:rPr>
              <w:t>Cost of Medicines</w:t>
            </w:r>
          </w:p>
        </w:tc>
        <w:tc>
          <w:tcPr>
            <w:tcW w:w="3060" w:type="dxa"/>
            <w:shd w:val="clear" w:color="auto" w:fill="FFFFFF" w:themeFill="background1"/>
          </w:tcPr>
          <w:p w14:paraId="6EDB3F83"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6C206B9D" w14:textId="77777777" w:rsidR="00F82336" w:rsidRPr="008D6407" w:rsidRDefault="00F82336" w:rsidP="008D6407">
            <w:pPr>
              <w:rPr>
                <w:rFonts w:ascii="Arial" w:hAnsi="Arial" w:cs="Arial"/>
                <w:bCs/>
                <w:i/>
                <w:iCs/>
                <w:noProof/>
                <w:sz w:val="20"/>
                <w:szCs w:val="20"/>
              </w:rPr>
            </w:pPr>
          </w:p>
        </w:tc>
      </w:tr>
      <w:tr w:rsidR="00D2238B" w:rsidRPr="00F82336" w14:paraId="11DC4980" w14:textId="77777777" w:rsidTr="008D6407">
        <w:trPr>
          <w:jc w:val="center"/>
        </w:trPr>
        <w:tc>
          <w:tcPr>
            <w:tcW w:w="2610" w:type="dxa"/>
            <w:shd w:val="clear" w:color="auto" w:fill="FFFFFF" w:themeFill="background1"/>
          </w:tcPr>
          <w:p w14:paraId="178F1E2E" w14:textId="73615FBB" w:rsidR="00D2238B" w:rsidRPr="008D6407" w:rsidRDefault="00D2238B" w:rsidP="008D6407">
            <w:pPr>
              <w:pStyle w:val="Default"/>
              <w:rPr>
                <w:rFonts w:ascii="Arial" w:hAnsi="Arial" w:cs="Arial"/>
                <w:i/>
                <w:iCs/>
                <w:sz w:val="20"/>
                <w:szCs w:val="20"/>
              </w:rPr>
            </w:pPr>
            <w:r w:rsidRPr="008D6407">
              <w:rPr>
                <w:rFonts w:ascii="Arial" w:hAnsi="Arial" w:cs="Arial"/>
                <w:i/>
                <w:iCs/>
                <w:sz w:val="20"/>
                <w:szCs w:val="20"/>
              </w:rPr>
              <w:t>Cost of medicines for first episodes</w:t>
            </w:r>
          </w:p>
        </w:tc>
        <w:tc>
          <w:tcPr>
            <w:tcW w:w="3060" w:type="dxa"/>
            <w:shd w:val="clear" w:color="auto" w:fill="FFFFFF" w:themeFill="background1"/>
          </w:tcPr>
          <w:p w14:paraId="68859796" w14:textId="07F51DA9" w:rsidR="00D2238B"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Values between US$0.93 and US$1.80 distributed normally</w:t>
            </w:r>
          </w:p>
        </w:tc>
        <w:tc>
          <w:tcPr>
            <w:tcW w:w="3060" w:type="dxa"/>
            <w:shd w:val="clear" w:color="auto" w:fill="FFFFFF" w:themeFill="background1"/>
          </w:tcPr>
          <w:p w14:paraId="68153D44" w14:textId="2B56F7CD" w:rsidR="00D2238B"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From MSH</w:t>
            </w:r>
            <w:r w:rsidR="00BD4663"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{"citationID":"Oxd3DSDN","properties":{"formattedCitation":"[40]","plainCitation":"[40]","noteIndex":0},"citationItems":[{"id":1231,"uris":["http://zotero.org/users/local/p8g0WsVO/items/KDRN6UFS"],"itemData":{"id":1231,"type":"webpage","language":"en","title":"International Medical Products Price Guide | Management Sciences for Health","URL":"/resources/international-medical-products-price-guide","accessed":{"date-parts":[["2018",3,19]]}}}],"schema":"https://github.com/citation-style-language/schema/raw/master/csl-citation.json"} </w:instrText>
            </w:r>
            <w:r w:rsidR="00BD4663" w:rsidRPr="008D6407">
              <w:rPr>
                <w:rFonts w:ascii="Arial" w:hAnsi="Arial" w:cs="Arial"/>
                <w:bCs/>
                <w:i/>
                <w:iCs/>
                <w:noProof/>
                <w:sz w:val="20"/>
                <w:szCs w:val="20"/>
              </w:rPr>
              <w:fldChar w:fldCharType="separate"/>
            </w:r>
            <w:r w:rsidR="0081559F">
              <w:rPr>
                <w:rFonts w:ascii="Arial" w:hAnsi="Arial" w:cs="Arial"/>
                <w:sz w:val="20"/>
              </w:rPr>
              <w:t>[40]</w:t>
            </w:r>
            <w:r w:rsidR="00BD4663" w:rsidRPr="008D6407">
              <w:rPr>
                <w:rFonts w:ascii="Arial" w:hAnsi="Arial" w:cs="Arial"/>
                <w:bCs/>
                <w:i/>
                <w:iCs/>
                <w:noProof/>
                <w:sz w:val="20"/>
                <w:szCs w:val="20"/>
              </w:rPr>
              <w:fldChar w:fldCharType="end"/>
            </w:r>
            <w:r w:rsidRPr="008D6407">
              <w:rPr>
                <w:rFonts w:ascii="Arial" w:hAnsi="Arial" w:cs="Arial"/>
                <w:bCs/>
                <w:i/>
                <w:iCs/>
                <w:noProof/>
                <w:sz w:val="20"/>
                <w:szCs w:val="20"/>
              </w:rPr>
              <w:t xml:space="preserve"> and modeled costs</w:t>
            </w:r>
          </w:p>
        </w:tc>
      </w:tr>
      <w:tr w:rsidR="00D2238B" w:rsidRPr="00F82336" w14:paraId="36593747" w14:textId="77777777" w:rsidTr="008D6407">
        <w:trPr>
          <w:jc w:val="center"/>
        </w:trPr>
        <w:tc>
          <w:tcPr>
            <w:tcW w:w="2610" w:type="dxa"/>
            <w:shd w:val="clear" w:color="auto" w:fill="FFFFFF" w:themeFill="background1"/>
          </w:tcPr>
          <w:p w14:paraId="22CDCF4C" w14:textId="773741FE" w:rsidR="00D2238B" w:rsidRPr="008D6407" w:rsidRDefault="00D2238B" w:rsidP="008D6407">
            <w:pPr>
              <w:pStyle w:val="Default"/>
              <w:rPr>
                <w:rFonts w:ascii="Arial" w:hAnsi="Arial" w:cs="Arial"/>
                <w:i/>
                <w:iCs/>
                <w:sz w:val="20"/>
                <w:szCs w:val="20"/>
              </w:rPr>
            </w:pPr>
            <w:r w:rsidRPr="008D6407">
              <w:rPr>
                <w:rFonts w:ascii="Arial" w:hAnsi="Arial" w:cs="Arial"/>
                <w:i/>
                <w:iCs/>
                <w:sz w:val="20"/>
                <w:szCs w:val="20"/>
              </w:rPr>
              <w:t>Cost of medicines for recurrences</w:t>
            </w:r>
          </w:p>
        </w:tc>
        <w:tc>
          <w:tcPr>
            <w:tcW w:w="3060" w:type="dxa"/>
            <w:shd w:val="clear" w:color="auto" w:fill="FFFFFF" w:themeFill="background1"/>
          </w:tcPr>
          <w:p w14:paraId="4C965446" w14:textId="7F55D86D" w:rsidR="00D2238B"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Values between US$0.47 and US$0.90 distributed normally</w:t>
            </w:r>
          </w:p>
        </w:tc>
        <w:tc>
          <w:tcPr>
            <w:tcW w:w="3060" w:type="dxa"/>
            <w:shd w:val="clear" w:color="auto" w:fill="FFFFFF" w:themeFill="background1"/>
          </w:tcPr>
          <w:p w14:paraId="3E2BEE13" w14:textId="00E773C6" w:rsidR="00D2238B" w:rsidRPr="008D6407" w:rsidRDefault="00BD4663" w:rsidP="008D6407">
            <w:pPr>
              <w:rPr>
                <w:rFonts w:ascii="Arial" w:hAnsi="Arial" w:cs="Arial"/>
                <w:bCs/>
                <w:i/>
                <w:iCs/>
                <w:noProof/>
                <w:sz w:val="20"/>
                <w:szCs w:val="20"/>
              </w:rPr>
            </w:pPr>
            <w:r w:rsidRPr="008D6407">
              <w:rPr>
                <w:rFonts w:ascii="Arial" w:hAnsi="Arial" w:cs="Arial"/>
                <w:bCs/>
                <w:i/>
                <w:iCs/>
                <w:noProof/>
                <w:sz w:val="20"/>
                <w:szCs w:val="20"/>
              </w:rPr>
              <w:t>From MSH</w:t>
            </w:r>
            <w:r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{"citationID":"uyA4K5R5","properties":{"formattedCitation":"[40]","plainCitation":"[40]","noteIndex":0},"citationItems":[{"id":1231,"uris":["http://zotero.org/users/local/p8g0WsVO/items/KDRN6UFS"],"itemData":{"id":1231,"type":"webpage","language":"en","title":"International Medical Products Price Guide | Management Sciences for Health","URL":"/resources/international-medical-products-price-guide","accessed":{"date-parts":[["2018",3,19]]}}}],"schema":"https://github.com/citation-style-language/schema/raw/master/csl-citation.json"} </w:instrText>
            </w:r>
            <w:r w:rsidRPr="008D6407">
              <w:rPr>
                <w:rFonts w:ascii="Arial" w:hAnsi="Arial" w:cs="Arial"/>
                <w:bCs/>
                <w:i/>
                <w:iCs/>
                <w:noProof/>
                <w:sz w:val="20"/>
                <w:szCs w:val="20"/>
              </w:rPr>
              <w:fldChar w:fldCharType="separate"/>
            </w:r>
            <w:r w:rsidR="0081559F">
              <w:rPr>
                <w:rFonts w:ascii="Arial" w:hAnsi="Arial" w:cs="Arial"/>
                <w:sz w:val="20"/>
              </w:rPr>
              <w:t>[40]</w:t>
            </w:r>
            <w:r w:rsidRPr="008D6407">
              <w:rPr>
                <w:rFonts w:ascii="Arial" w:hAnsi="Arial" w:cs="Arial"/>
                <w:bCs/>
                <w:i/>
                <w:iCs/>
                <w:noProof/>
                <w:sz w:val="20"/>
                <w:szCs w:val="20"/>
              </w:rPr>
              <w:fldChar w:fldCharType="end"/>
            </w:r>
            <w:r w:rsidRPr="008D6407">
              <w:rPr>
                <w:rFonts w:ascii="Arial" w:hAnsi="Arial" w:cs="Arial"/>
                <w:bCs/>
                <w:i/>
                <w:iCs/>
                <w:noProof/>
                <w:sz w:val="20"/>
                <w:szCs w:val="20"/>
              </w:rPr>
              <w:t xml:space="preserve"> and modeled costs</w:t>
            </w:r>
          </w:p>
        </w:tc>
      </w:tr>
      <w:tr w:rsidR="00D2238B" w:rsidRPr="00F82336" w14:paraId="325CBD5E" w14:textId="77777777" w:rsidTr="008D6407">
        <w:trPr>
          <w:jc w:val="center"/>
        </w:trPr>
        <w:tc>
          <w:tcPr>
            <w:tcW w:w="2610" w:type="dxa"/>
            <w:shd w:val="clear" w:color="auto" w:fill="FFFFFF" w:themeFill="background1"/>
          </w:tcPr>
          <w:p w14:paraId="2B263967" w14:textId="21F6F21D" w:rsidR="00D2238B" w:rsidRPr="008D6407" w:rsidRDefault="00D2238B" w:rsidP="008D6407">
            <w:pPr>
              <w:pStyle w:val="Default"/>
              <w:rPr>
                <w:rFonts w:ascii="Arial" w:hAnsi="Arial" w:cs="Arial"/>
                <w:i/>
                <w:iCs/>
                <w:sz w:val="20"/>
                <w:szCs w:val="20"/>
              </w:rPr>
            </w:pPr>
            <w:r w:rsidRPr="008D6407">
              <w:rPr>
                <w:rFonts w:ascii="Arial" w:hAnsi="Arial" w:cs="Arial"/>
                <w:i/>
                <w:iCs/>
                <w:sz w:val="20"/>
                <w:szCs w:val="20"/>
              </w:rPr>
              <w:t>Cost of medicines for frequent recurrences</w:t>
            </w:r>
          </w:p>
        </w:tc>
        <w:tc>
          <w:tcPr>
            <w:tcW w:w="3060" w:type="dxa"/>
            <w:shd w:val="clear" w:color="auto" w:fill="FFFFFF" w:themeFill="background1"/>
          </w:tcPr>
          <w:p w14:paraId="7474FFBE" w14:textId="3C7D116B" w:rsidR="00D2238B"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Same as for recurrences</w:t>
            </w:r>
          </w:p>
        </w:tc>
        <w:tc>
          <w:tcPr>
            <w:tcW w:w="3060" w:type="dxa"/>
            <w:shd w:val="clear" w:color="auto" w:fill="FFFFFF" w:themeFill="background1"/>
          </w:tcPr>
          <w:p w14:paraId="47841D16" w14:textId="01CF8452" w:rsidR="00D2238B" w:rsidRPr="008D6407" w:rsidRDefault="009A2C99" w:rsidP="008D6407">
            <w:pPr>
              <w:rPr>
                <w:rFonts w:ascii="Arial" w:hAnsi="Arial" w:cs="Arial"/>
                <w:bCs/>
                <w:i/>
                <w:iCs/>
                <w:noProof/>
                <w:sz w:val="20"/>
                <w:szCs w:val="20"/>
              </w:rPr>
            </w:pPr>
            <w:r w:rsidRPr="008D6407">
              <w:rPr>
                <w:rFonts w:ascii="Arial" w:hAnsi="Arial" w:cs="Arial"/>
                <w:bCs/>
                <w:i/>
                <w:iCs/>
                <w:noProof/>
                <w:sz w:val="20"/>
                <w:szCs w:val="20"/>
              </w:rPr>
              <w:t>Assumed</w:t>
            </w:r>
          </w:p>
        </w:tc>
      </w:tr>
      <w:tr w:rsidR="00D2238B" w:rsidRPr="00F82336" w14:paraId="0577EB5F" w14:textId="77777777" w:rsidTr="008D6407">
        <w:trPr>
          <w:jc w:val="center"/>
        </w:trPr>
        <w:tc>
          <w:tcPr>
            <w:tcW w:w="2610" w:type="dxa"/>
            <w:shd w:val="clear" w:color="auto" w:fill="FFFFFF" w:themeFill="background1"/>
          </w:tcPr>
          <w:p w14:paraId="4B59F354" w14:textId="77777777" w:rsidR="00D2238B" w:rsidRPr="008D6407" w:rsidRDefault="00D2238B" w:rsidP="008D6407">
            <w:pPr>
              <w:pStyle w:val="Default"/>
              <w:rPr>
                <w:rFonts w:ascii="Arial" w:hAnsi="Arial" w:cs="Arial"/>
                <w:i/>
                <w:iCs/>
                <w:sz w:val="20"/>
                <w:szCs w:val="20"/>
              </w:rPr>
            </w:pPr>
          </w:p>
        </w:tc>
        <w:tc>
          <w:tcPr>
            <w:tcW w:w="3060" w:type="dxa"/>
            <w:shd w:val="clear" w:color="auto" w:fill="FFFFFF" w:themeFill="background1"/>
          </w:tcPr>
          <w:p w14:paraId="54D8AFC9" w14:textId="77777777" w:rsidR="00D2238B" w:rsidRPr="008D6407" w:rsidRDefault="00D2238B" w:rsidP="008D6407">
            <w:pPr>
              <w:pStyle w:val="ListParagraph"/>
              <w:ind w:left="360"/>
              <w:rPr>
                <w:rFonts w:ascii="Arial" w:hAnsi="Arial" w:cs="Arial"/>
                <w:bCs/>
                <w:i/>
                <w:iCs/>
                <w:noProof/>
                <w:sz w:val="20"/>
                <w:szCs w:val="20"/>
              </w:rPr>
            </w:pPr>
          </w:p>
        </w:tc>
        <w:tc>
          <w:tcPr>
            <w:tcW w:w="3060" w:type="dxa"/>
            <w:shd w:val="clear" w:color="auto" w:fill="FFFFFF" w:themeFill="background1"/>
          </w:tcPr>
          <w:p w14:paraId="17DC9CCC" w14:textId="77777777" w:rsidR="00D2238B" w:rsidRPr="008D6407" w:rsidRDefault="00D2238B" w:rsidP="008D6407">
            <w:pPr>
              <w:rPr>
                <w:rFonts w:ascii="Arial" w:hAnsi="Arial" w:cs="Arial"/>
                <w:bCs/>
                <w:i/>
                <w:iCs/>
                <w:noProof/>
                <w:sz w:val="20"/>
                <w:szCs w:val="20"/>
              </w:rPr>
            </w:pPr>
          </w:p>
        </w:tc>
      </w:tr>
      <w:tr w:rsidR="00F82336" w:rsidRPr="00F82336" w14:paraId="31379A34" w14:textId="77777777" w:rsidTr="008D6407">
        <w:trPr>
          <w:jc w:val="center"/>
        </w:trPr>
        <w:tc>
          <w:tcPr>
            <w:tcW w:w="2610" w:type="dxa"/>
            <w:shd w:val="clear" w:color="auto" w:fill="FFFFFF" w:themeFill="background1"/>
          </w:tcPr>
          <w:p w14:paraId="4EA83A36" w14:textId="5C48A574" w:rsidR="00F82336" w:rsidRPr="008D6407" w:rsidRDefault="00F82336" w:rsidP="008D6407">
            <w:pPr>
              <w:pStyle w:val="Default"/>
              <w:rPr>
                <w:rFonts w:ascii="Arial" w:hAnsi="Arial" w:cs="Arial"/>
                <w:i/>
                <w:iCs/>
                <w:sz w:val="20"/>
                <w:szCs w:val="20"/>
                <w:u w:val="single"/>
              </w:rPr>
            </w:pPr>
            <w:r w:rsidRPr="008D6407">
              <w:rPr>
                <w:rFonts w:ascii="Arial" w:hAnsi="Arial" w:cs="Arial"/>
                <w:i/>
                <w:iCs/>
                <w:sz w:val="20"/>
                <w:szCs w:val="20"/>
                <w:u w:val="single"/>
              </w:rPr>
              <w:t>Wage Losses</w:t>
            </w:r>
          </w:p>
        </w:tc>
        <w:tc>
          <w:tcPr>
            <w:tcW w:w="3060" w:type="dxa"/>
            <w:shd w:val="clear" w:color="auto" w:fill="FFFFFF" w:themeFill="background1"/>
          </w:tcPr>
          <w:p w14:paraId="26CE1704"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4B55AF6C" w14:textId="77777777" w:rsidR="00F82336" w:rsidRPr="008D6407" w:rsidRDefault="00F82336" w:rsidP="008D6407">
            <w:pPr>
              <w:rPr>
                <w:rFonts w:ascii="Arial" w:hAnsi="Arial" w:cs="Arial"/>
                <w:bCs/>
                <w:i/>
                <w:iCs/>
                <w:noProof/>
                <w:sz w:val="20"/>
                <w:szCs w:val="20"/>
              </w:rPr>
            </w:pPr>
          </w:p>
        </w:tc>
      </w:tr>
      <w:tr w:rsidR="00F82336" w:rsidRPr="00F82336" w14:paraId="2EF492D0" w14:textId="77777777" w:rsidTr="008D6407">
        <w:trPr>
          <w:jc w:val="center"/>
        </w:trPr>
        <w:tc>
          <w:tcPr>
            <w:tcW w:w="2610" w:type="dxa"/>
            <w:shd w:val="clear" w:color="auto" w:fill="FFFFFF" w:themeFill="background1"/>
          </w:tcPr>
          <w:p w14:paraId="6AC9A6A3" w14:textId="261F0AB6"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Average number of workdays lost in preceding 3 months due to recurrences within the mean.</w:t>
            </w:r>
          </w:p>
        </w:tc>
        <w:tc>
          <w:tcPr>
            <w:tcW w:w="3060" w:type="dxa"/>
            <w:shd w:val="clear" w:color="auto" w:fill="FFFFFF" w:themeFill="background1"/>
          </w:tcPr>
          <w:p w14:paraId="550AAAEF" w14:textId="5730D5FB"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Values between 0 and 21 distributed normally</w:t>
            </w:r>
          </w:p>
        </w:tc>
        <w:tc>
          <w:tcPr>
            <w:tcW w:w="3060" w:type="dxa"/>
            <w:shd w:val="clear" w:color="auto" w:fill="FFFFFF" w:themeFill="background1"/>
          </w:tcPr>
          <w:p w14:paraId="154C6613" w14:textId="43898F19" w:rsidR="00F82336" w:rsidRPr="008D6407" w:rsidRDefault="00F82336" w:rsidP="008D6407">
            <w:pPr>
              <w:rPr>
                <w:rFonts w:ascii="Arial" w:hAnsi="Arial" w:cs="Arial"/>
                <w:bCs/>
                <w:i/>
                <w:iCs/>
                <w:noProof/>
                <w:sz w:val="20"/>
                <w:szCs w:val="20"/>
              </w:rPr>
            </w:pPr>
            <w:r w:rsidRPr="008D6407">
              <w:rPr>
                <w:rFonts w:ascii="Arial" w:hAnsi="Arial" w:cs="Arial"/>
                <w:i/>
                <w:iCs/>
                <w:sz w:val="20"/>
                <w:szCs w:val="20"/>
              </w:rPr>
              <w:t>Patel</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{"citationID":"TSkjKnPS","properties":{"formattedCitation":"[12]","plainCitation":"[12]","noteIndex":0},"citationItems":[{"id":26779,"uris":["http://zotero.org/users/local/p8g0WsVO/items/SLHN6IIC"],"itemData":{"id":26779,"type":"article-journal","abstract":"OBJECTIVE: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rPr>
              <w:t>[12]</w:t>
            </w:r>
            <w:r w:rsidRPr="008D6407">
              <w:rPr>
                <w:rFonts w:ascii="Arial" w:hAnsi="Arial" w:cs="Arial"/>
                <w:i/>
                <w:iCs/>
                <w:sz w:val="20"/>
                <w:szCs w:val="20"/>
              </w:rPr>
              <w:fldChar w:fldCharType="end"/>
            </w:r>
          </w:p>
        </w:tc>
      </w:tr>
      <w:tr w:rsidR="00F82336" w:rsidRPr="00F82336" w14:paraId="4BF58D21" w14:textId="77777777" w:rsidTr="008D6407">
        <w:trPr>
          <w:jc w:val="center"/>
        </w:trPr>
        <w:tc>
          <w:tcPr>
            <w:tcW w:w="2610" w:type="dxa"/>
            <w:shd w:val="clear" w:color="auto" w:fill="FFFFFF" w:themeFill="background1"/>
          </w:tcPr>
          <w:p w14:paraId="574E669F" w14:textId="394D0B06"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Average number of workdays lost in preceding 3 months due to recurrences exceeding the mean.</w:t>
            </w:r>
          </w:p>
        </w:tc>
        <w:tc>
          <w:tcPr>
            <w:tcW w:w="3060" w:type="dxa"/>
            <w:shd w:val="clear" w:color="auto" w:fill="FFFFFF" w:themeFill="background1"/>
          </w:tcPr>
          <w:p w14:paraId="75C3B740" w14:textId="1A5BFCD9" w:rsidR="00F82336" w:rsidRPr="008D6407" w:rsidRDefault="00F82336" w:rsidP="008D6407">
            <w:pPr>
              <w:pStyle w:val="ListParagraph"/>
              <w:ind w:left="360"/>
              <w:rPr>
                <w:rFonts w:ascii="Arial" w:hAnsi="Arial" w:cs="Arial"/>
                <w:bCs/>
                <w:i/>
                <w:iCs/>
                <w:noProof/>
                <w:sz w:val="20"/>
                <w:szCs w:val="20"/>
              </w:rPr>
            </w:pPr>
            <w:r w:rsidRPr="008D6407">
              <w:rPr>
                <w:rFonts w:ascii="Arial" w:hAnsi="Arial" w:cs="Arial"/>
                <w:bCs/>
                <w:i/>
                <w:iCs/>
                <w:noProof/>
                <w:sz w:val="20"/>
                <w:szCs w:val="20"/>
              </w:rPr>
              <w:t>Values between 0 and 21 distributed normally</w:t>
            </w:r>
          </w:p>
        </w:tc>
        <w:tc>
          <w:tcPr>
            <w:tcW w:w="3060" w:type="dxa"/>
            <w:shd w:val="clear" w:color="auto" w:fill="FFFFFF" w:themeFill="background1"/>
          </w:tcPr>
          <w:p w14:paraId="705A1C1E" w14:textId="5A3D1B23" w:rsidR="00F82336" w:rsidRPr="008D6407" w:rsidRDefault="00F82336" w:rsidP="008D6407">
            <w:pPr>
              <w:rPr>
                <w:rFonts w:ascii="Arial" w:hAnsi="Arial" w:cs="Arial"/>
                <w:bCs/>
                <w:i/>
                <w:iCs/>
                <w:noProof/>
                <w:sz w:val="20"/>
                <w:szCs w:val="20"/>
              </w:rPr>
            </w:pPr>
            <w:r w:rsidRPr="008D6407">
              <w:rPr>
                <w:rFonts w:ascii="Arial" w:hAnsi="Arial" w:cs="Arial"/>
                <w:i/>
                <w:iCs/>
                <w:sz w:val="20"/>
                <w:szCs w:val="20"/>
              </w:rPr>
              <w:t>Patel</w:t>
            </w:r>
            <w:r w:rsidRPr="008D6407">
              <w:rPr>
                <w:rFonts w:ascii="Arial" w:hAnsi="Arial" w:cs="Arial"/>
                <w:i/>
                <w:iCs/>
                <w:sz w:val="20"/>
                <w:szCs w:val="20"/>
              </w:rPr>
              <w:fldChar w:fldCharType="begin"/>
            </w:r>
            <w:r w:rsidR="0081559F">
              <w:rPr>
                <w:rFonts w:ascii="Arial" w:hAnsi="Arial" w:cs="Arial"/>
                <w:i/>
                <w:iCs/>
                <w:sz w:val="20"/>
                <w:szCs w:val="20"/>
              </w:rPr>
              <w:instrText xml:space="preserve"> ADDIN ZOTERO_ITEM CSL_CITATION {"citationID":"m7JmNW6X","properties":{"formattedCitation":"[12]","plainCitation":"[12]","noteIndex":0},"citationItems":[{"id":26779,"uris":["http://zotero.org/users/local/p8g0WsVO/items/SLHN6IIC"],"itemData":{"id":26779,"type":"article-journal","abstract":"OBJECTIVE: To evaluate the frequency of reactivation of genital herpes infection and to identify predictors for recurrence.\nDESIGN: Prospective, observational cohort study.\nSETTING: Research clinic.\nPATIENTS: 457 consecutive patients who did not have acute-phase serum antibodies to herpes simplex virus type 2 (HSV-2) but who did have herpes simplex virus (HSV) isolated from genital lesions.\nRESULTS: Eighty-nine percent of patients with HSV-2 had at least one recurrence during follow-up (median, 391 days); the median monthly recurrence rate was 0.34. Thirty-eight percent had at least 6 recurrences during the first year and 20% had more than 10 recurrences. The median monthly recurrence rate was 0.43 for men and 0.33 for women (difference, 0.10 [95% CI, 0.03 to 0.19]; P &lt; 0.01). Twenty-six percent of women and 8% of men had no or 1 recurrence in year 1 of follow-up, whereas 14% of women and 26% of men had more than 10 recurrences. Patients who had severe primary HSV-2 infection (duration, &gt; or = 35 days) had recurrences nearly twice as often (0.66 compared with 0.36 recurrences per month [95% CI, 0.18 to 0.57]) and had a shorter time to first recurrence when compared with those who had shorter first episodes.\nCONCLUSIONS: Almost all persons with initially symptomatic HSV-2 infection have symptomatic recurrences. More than 35% of such patients have frequent recurrences. Recurrence rates are especially high in persons with an extended first episode of infection, regardless of whether they receive antiviral chemotherapy with acyclovir. Men with genital HSV-2 infection have about 20% more recurrences than do women, a factor that may contribute to the higher rate of HSV-2 transmission from men to women than from women to men and to the continuing epidemic of genital herpes in the United States.","container-title":"Annals of Internal Medicine","ISSN":"0003-4819","issue":"11","journalAbbreviation":"Ann. Intern. Med.","language":"eng","note":"PMID: 7978697","page":"847-854","source":"PubMed","title":"Recurrence rates in genital herpes after symptomatic first-episode infection","volume":"121","author":[{"family":"Benedetti","given":"J."},{"family":"Corey","given":"L."},{"family":"Ashley","given":"R."}],"issued":{"date-parts":[["1994",12,1]]}}}],"schema":"https://github.com/citation-style-language/schema/raw/master/csl-citation.json"} </w:instrText>
            </w:r>
            <w:r w:rsidRPr="008D6407">
              <w:rPr>
                <w:rFonts w:ascii="Arial" w:hAnsi="Arial" w:cs="Arial"/>
                <w:i/>
                <w:iCs/>
                <w:sz w:val="20"/>
                <w:szCs w:val="20"/>
              </w:rPr>
              <w:fldChar w:fldCharType="separate"/>
            </w:r>
            <w:r w:rsidR="0081559F">
              <w:rPr>
                <w:rFonts w:ascii="Arial" w:hAnsi="Arial" w:cs="Arial"/>
                <w:i/>
                <w:iCs/>
                <w:sz w:val="20"/>
              </w:rPr>
              <w:t>[12]</w:t>
            </w:r>
            <w:r w:rsidRPr="008D6407">
              <w:rPr>
                <w:rFonts w:ascii="Arial" w:hAnsi="Arial" w:cs="Arial"/>
                <w:i/>
                <w:iCs/>
                <w:sz w:val="20"/>
                <w:szCs w:val="20"/>
              </w:rPr>
              <w:fldChar w:fldCharType="end"/>
            </w:r>
          </w:p>
        </w:tc>
      </w:tr>
      <w:tr w:rsidR="00F82336" w:rsidRPr="00F82336" w14:paraId="32A96381" w14:textId="77777777" w:rsidTr="008D6407">
        <w:trPr>
          <w:jc w:val="center"/>
        </w:trPr>
        <w:tc>
          <w:tcPr>
            <w:tcW w:w="2610" w:type="dxa"/>
            <w:shd w:val="clear" w:color="auto" w:fill="FFFFFF" w:themeFill="background1"/>
          </w:tcPr>
          <w:p w14:paraId="7E610857" w14:textId="77777777" w:rsidR="00F82336" w:rsidRPr="008D6407" w:rsidRDefault="00F82336" w:rsidP="008D6407">
            <w:pPr>
              <w:pStyle w:val="Default"/>
              <w:rPr>
                <w:rFonts w:ascii="Arial" w:hAnsi="Arial" w:cs="Arial"/>
                <w:i/>
                <w:iCs/>
                <w:sz w:val="20"/>
                <w:szCs w:val="20"/>
              </w:rPr>
            </w:pPr>
          </w:p>
        </w:tc>
        <w:tc>
          <w:tcPr>
            <w:tcW w:w="3060" w:type="dxa"/>
            <w:shd w:val="clear" w:color="auto" w:fill="FFFFFF" w:themeFill="background1"/>
          </w:tcPr>
          <w:p w14:paraId="6B89EEF5"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25A128DD" w14:textId="77777777" w:rsidR="00F82336" w:rsidRPr="008D6407" w:rsidRDefault="00F82336" w:rsidP="008D6407">
            <w:pPr>
              <w:rPr>
                <w:rFonts w:ascii="Arial" w:hAnsi="Arial" w:cs="Arial"/>
                <w:bCs/>
                <w:i/>
                <w:iCs/>
                <w:noProof/>
                <w:sz w:val="20"/>
                <w:szCs w:val="20"/>
              </w:rPr>
            </w:pPr>
          </w:p>
        </w:tc>
      </w:tr>
      <w:tr w:rsidR="00F82336" w:rsidRPr="00F82336" w14:paraId="70B20201" w14:textId="77777777" w:rsidTr="008D6407">
        <w:trPr>
          <w:jc w:val="center"/>
        </w:trPr>
        <w:tc>
          <w:tcPr>
            <w:tcW w:w="2610" w:type="dxa"/>
            <w:shd w:val="clear" w:color="auto" w:fill="FFFFFF" w:themeFill="background1"/>
          </w:tcPr>
          <w:p w14:paraId="57B938D5" w14:textId="74830746" w:rsidR="00F82336" w:rsidRPr="008D6407" w:rsidRDefault="00F82336" w:rsidP="008D6407">
            <w:pPr>
              <w:pStyle w:val="Default"/>
              <w:rPr>
                <w:rFonts w:ascii="Arial" w:hAnsi="Arial" w:cs="Arial"/>
                <w:i/>
                <w:iCs/>
                <w:sz w:val="20"/>
                <w:szCs w:val="20"/>
                <w:u w:val="single"/>
              </w:rPr>
            </w:pPr>
            <w:r w:rsidRPr="008D6407">
              <w:rPr>
                <w:rFonts w:ascii="Arial" w:hAnsi="Arial" w:cs="Arial"/>
                <w:i/>
                <w:iCs/>
                <w:sz w:val="20"/>
                <w:szCs w:val="20"/>
                <w:u w:val="single"/>
              </w:rPr>
              <w:t>Consumption Value of QALY</w:t>
            </w:r>
            <w:r w:rsidR="00194096" w:rsidRPr="008D6407">
              <w:rPr>
                <w:rFonts w:ascii="Arial" w:hAnsi="Arial" w:cs="Arial"/>
                <w:i/>
                <w:iCs/>
                <w:sz w:val="20"/>
                <w:szCs w:val="20"/>
                <w:u w:val="single"/>
              </w:rPr>
              <w:t xml:space="preserve"> Losses</w:t>
            </w:r>
          </w:p>
        </w:tc>
        <w:tc>
          <w:tcPr>
            <w:tcW w:w="3060" w:type="dxa"/>
            <w:shd w:val="clear" w:color="auto" w:fill="FFFFFF" w:themeFill="background1"/>
          </w:tcPr>
          <w:p w14:paraId="77C62D8D"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08CE62D4" w14:textId="77777777" w:rsidR="00F82336" w:rsidRPr="008D6407" w:rsidRDefault="00F82336" w:rsidP="008D6407">
            <w:pPr>
              <w:rPr>
                <w:rFonts w:ascii="Arial" w:hAnsi="Arial" w:cs="Arial"/>
                <w:bCs/>
                <w:i/>
                <w:iCs/>
                <w:noProof/>
                <w:sz w:val="20"/>
                <w:szCs w:val="20"/>
              </w:rPr>
            </w:pPr>
          </w:p>
        </w:tc>
      </w:tr>
      <w:tr w:rsidR="00F82336" w:rsidRPr="00F82336" w14:paraId="4B3F3818" w14:textId="77777777" w:rsidTr="008D6407">
        <w:trPr>
          <w:jc w:val="center"/>
        </w:trPr>
        <w:tc>
          <w:tcPr>
            <w:tcW w:w="2610" w:type="dxa"/>
            <w:shd w:val="clear" w:color="auto" w:fill="FFFFFF" w:themeFill="background1"/>
          </w:tcPr>
          <w:p w14:paraId="410E1088" w14:textId="7636CE8B"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Income elasticity</w:t>
            </w:r>
          </w:p>
        </w:tc>
        <w:tc>
          <w:tcPr>
            <w:tcW w:w="3060" w:type="dxa"/>
            <w:shd w:val="clear" w:color="auto" w:fill="FFFFFF" w:themeFill="background1"/>
          </w:tcPr>
          <w:p w14:paraId="539D13A3" w14:textId="359132A4"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Values between 0.5 to 1.5 distributed normally</w:t>
            </w:r>
          </w:p>
        </w:tc>
        <w:tc>
          <w:tcPr>
            <w:tcW w:w="3060" w:type="dxa"/>
            <w:shd w:val="clear" w:color="auto" w:fill="FFFFFF" w:themeFill="background1"/>
          </w:tcPr>
          <w:p w14:paraId="4C073313" w14:textId="07BEE9F6"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From Robinson et al</w:t>
            </w:r>
            <w:r w:rsidR="00BD4663"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{"citationID":"T5qvRXHb","properties":{"formattedCitation":"[22]","plainCitation":"[22]","noteIndex":0},"citationItems":[{"id":26938,"uris":["http://zotero.org/users/local/p8g0WsVO/items/NDCWEDRG"],"itemData":{"id":26938,"type":"article-journal","abstract":"The income elasticity of the value per statistical life (VSL) is an important parameter for policy analysis. Mortality risk reductions often dominate the quantified benefits of environmental and other policies, and estimates of their value are frequently transferred across countries with significantly different income levels. U.S. regulatory agencies typically assume that a 1.0 percent change in real income over time will lead to a 0.4 to 0.6 percent change in the VSL. While elasticities within this range are supported by substantial research, they appear nonsensical if applied to populations with significantly smaller incomes. When transferring values between high and lower income countries, analysts often instead assume an elasticity of 1.0, but the resulting VSL estimates appear large in comparison to income. Elasticities greater than 1.0 are supported by research on the relationship between long-term economic growth and the VSL, by cross-country comparisons, and by new research that estimates the VSL by income quantile. Caution is needed when applying these higher elasticities, however, because the resulting VSLs appear smaller than expected future earnings or consumption in some cases, contrary to theory. In addition to indicating the need for more research, this comparison suggests that, in the interim, VSL estimates should be bounded below by estimates of future income or consumption.","container-title":"Journal of Benefit-Cost Analysis","DOI":"10.2202/2152-2812.1009","ISSN":"2194-5888, 2152-2812","issue":"1","language":"en","page":"1-29","source":"Cambridge Core","title":"The Income Elasticity of the Value per Statistical Life: Transferring Estimates between High and Low Income Populations","title-short":"The Income Elasticity of the Value per Statistical Life","URL":"https://www.cambridge.org/core/journals/journal-of-benefit-cost-analysis/article/income-elasticity-of-the-value-per-statistical-life-transferring-estimates-between-high-and-low-income-populations/3AE5B0BB1034B7D898E2C9B3C1507794#","volume":"2","author":[{"family":"Hammitt","given":"James K."},{"family":"Robinson","given":"Lisa A."}],"accessed":{"date-parts":[["2019",3,1]]},"issued":{"date-parts":[["2011",1]]}}}],"schema":"https://github.com/citation-style-language/schema/raw/master/csl-citation.json"} </w:instrText>
            </w:r>
            <w:r w:rsidR="00BD4663" w:rsidRPr="008D6407">
              <w:rPr>
                <w:rFonts w:ascii="Arial" w:hAnsi="Arial" w:cs="Arial"/>
                <w:bCs/>
                <w:i/>
                <w:iCs/>
                <w:noProof/>
                <w:sz w:val="20"/>
                <w:szCs w:val="20"/>
              </w:rPr>
              <w:fldChar w:fldCharType="separate"/>
            </w:r>
            <w:r w:rsidR="0081559F">
              <w:rPr>
                <w:rFonts w:ascii="Arial" w:hAnsi="Arial" w:cs="Arial"/>
                <w:i/>
                <w:iCs/>
                <w:sz w:val="20"/>
              </w:rPr>
              <w:t>[22]</w:t>
            </w:r>
            <w:r w:rsidR="00BD4663" w:rsidRPr="008D6407">
              <w:rPr>
                <w:rFonts w:ascii="Arial" w:hAnsi="Arial" w:cs="Arial"/>
                <w:bCs/>
                <w:i/>
                <w:iCs/>
                <w:noProof/>
                <w:sz w:val="20"/>
                <w:szCs w:val="20"/>
              </w:rPr>
              <w:fldChar w:fldCharType="end"/>
            </w:r>
            <w:r w:rsidRPr="008D6407">
              <w:rPr>
                <w:rFonts w:ascii="Arial" w:hAnsi="Arial" w:cs="Arial"/>
                <w:bCs/>
                <w:i/>
                <w:iCs/>
                <w:noProof/>
                <w:sz w:val="20"/>
                <w:szCs w:val="20"/>
              </w:rPr>
              <w:t>.</w:t>
            </w:r>
          </w:p>
        </w:tc>
      </w:tr>
      <w:tr w:rsidR="00F82336" w:rsidRPr="00F82336" w14:paraId="6298AFAF" w14:textId="77777777" w:rsidTr="008D6407">
        <w:trPr>
          <w:jc w:val="center"/>
        </w:trPr>
        <w:tc>
          <w:tcPr>
            <w:tcW w:w="2610" w:type="dxa"/>
            <w:shd w:val="clear" w:color="auto" w:fill="FFFFFF" w:themeFill="background1"/>
          </w:tcPr>
          <w:p w14:paraId="541B62B2" w14:textId="77777777" w:rsidR="00F82336" w:rsidRPr="008D6407" w:rsidRDefault="00F82336" w:rsidP="008D6407">
            <w:pPr>
              <w:pStyle w:val="Default"/>
              <w:rPr>
                <w:rFonts w:ascii="Arial" w:hAnsi="Arial" w:cs="Arial"/>
                <w:i/>
                <w:iCs/>
                <w:sz w:val="20"/>
                <w:szCs w:val="20"/>
              </w:rPr>
            </w:pPr>
          </w:p>
        </w:tc>
        <w:tc>
          <w:tcPr>
            <w:tcW w:w="3060" w:type="dxa"/>
            <w:shd w:val="clear" w:color="auto" w:fill="FFFFFF" w:themeFill="background1"/>
          </w:tcPr>
          <w:p w14:paraId="39A631F6"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37D78867" w14:textId="77777777" w:rsidR="00F82336" w:rsidRPr="008D6407" w:rsidRDefault="00F82336" w:rsidP="008D6407">
            <w:pPr>
              <w:rPr>
                <w:rFonts w:ascii="Arial" w:hAnsi="Arial" w:cs="Arial"/>
                <w:bCs/>
                <w:i/>
                <w:iCs/>
                <w:noProof/>
                <w:sz w:val="20"/>
                <w:szCs w:val="20"/>
              </w:rPr>
            </w:pPr>
          </w:p>
        </w:tc>
      </w:tr>
      <w:tr w:rsidR="00F82336" w:rsidRPr="00F82336" w14:paraId="537F6F43" w14:textId="77777777" w:rsidTr="008D6407">
        <w:trPr>
          <w:jc w:val="center"/>
        </w:trPr>
        <w:tc>
          <w:tcPr>
            <w:tcW w:w="2610" w:type="dxa"/>
            <w:shd w:val="clear" w:color="auto" w:fill="FFFFFF" w:themeFill="background1"/>
          </w:tcPr>
          <w:p w14:paraId="35466C88" w14:textId="46533477" w:rsidR="00F82336" w:rsidRPr="008D6407" w:rsidRDefault="00F82336" w:rsidP="008D6407">
            <w:pPr>
              <w:pStyle w:val="Default"/>
              <w:rPr>
                <w:rFonts w:ascii="Arial" w:hAnsi="Arial" w:cs="Arial"/>
                <w:i/>
                <w:iCs/>
                <w:sz w:val="20"/>
                <w:szCs w:val="20"/>
                <w:u w:val="single"/>
              </w:rPr>
            </w:pPr>
            <w:r w:rsidRPr="008D6407">
              <w:rPr>
                <w:rFonts w:ascii="Arial" w:hAnsi="Arial" w:cs="Arial"/>
                <w:i/>
                <w:iCs/>
                <w:sz w:val="20"/>
                <w:szCs w:val="20"/>
                <w:u w:val="single"/>
              </w:rPr>
              <w:t>Attributable HIV Cases</w:t>
            </w:r>
          </w:p>
        </w:tc>
        <w:tc>
          <w:tcPr>
            <w:tcW w:w="3060" w:type="dxa"/>
            <w:shd w:val="clear" w:color="auto" w:fill="FFFFFF" w:themeFill="background1"/>
          </w:tcPr>
          <w:p w14:paraId="69BE5C92"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46F22B99" w14:textId="77777777" w:rsidR="00F82336" w:rsidRPr="008D6407" w:rsidRDefault="00F82336" w:rsidP="008D6407">
            <w:pPr>
              <w:rPr>
                <w:rFonts w:ascii="Arial" w:hAnsi="Arial" w:cs="Arial"/>
                <w:bCs/>
                <w:i/>
                <w:iCs/>
                <w:noProof/>
                <w:sz w:val="20"/>
                <w:szCs w:val="20"/>
              </w:rPr>
            </w:pPr>
          </w:p>
        </w:tc>
      </w:tr>
      <w:tr w:rsidR="00F82336" w:rsidRPr="00F82336" w14:paraId="0B768067" w14:textId="77777777" w:rsidTr="008D6407">
        <w:trPr>
          <w:jc w:val="center"/>
        </w:trPr>
        <w:tc>
          <w:tcPr>
            <w:tcW w:w="2610" w:type="dxa"/>
            <w:shd w:val="clear" w:color="auto" w:fill="FFFFFF" w:themeFill="background1"/>
          </w:tcPr>
          <w:p w14:paraId="7C5CE8E7" w14:textId="4AB332A6"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Relative risk of HIV due to prevalent HSV-2</w:t>
            </w:r>
          </w:p>
        </w:tc>
        <w:tc>
          <w:tcPr>
            <w:tcW w:w="3060" w:type="dxa"/>
            <w:shd w:val="clear" w:color="auto" w:fill="FFFFFF" w:themeFill="background1"/>
          </w:tcPr>
          <w:p w14:paraId="135FEA05" w14:textId="524E8B47"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Values between 2.2 and 3.4, distributed normally</w:t>
            </w:r>
          </w:p>
        </w:tc>
        <w:tc>
          <w:tcPr>
            <w:tcW w:w="3060" w:type="dxa"/>
            <w:shd w:val="clear" w:color="auto" w:fill="FFFFFF" w:themeFill="background1"/>
          </w:tcPr>
          <w:p w14:paraId="61A17E48" w14:textId="4BCC6947"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From Looker et al.</w:t>
            </w:r>
            <w:r w:rsidR="00BD4663"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KPum9ZdA","properties":{"formattedCitation":"[41]","plainCitation":"[41]","noteIndex":0},"citationItems":[{"id":28676,"uris":["http://zotero.org/users/local/p8g0WsVO/items/XHKIHSUI"],"itemData":{"id":28676,"type":"article-journal","abstract":"&lt;h2&gt;Summary&lt;/h2&gt;&lt;h3&gt;Background&lt;/h3&gt;&lt;p&gt;A 2017 systematic review and meta-analysis of 55 prospective studies found the adjusted risk of HIV acquisition to be at least tripled in individuals with herpes simplex virus type 2 (HSV-2) infection. We aimed to assess the potential contribution of HSV-2 infection to HIV incidence, given an effect of HSV-2 on HIV acquisition.&lt;/p&gt;&lt;h3&gt;Methods&lt;/h3&gt;&lt;p&gt;We used a classic epidemiological formula to estimate the global and regional (WHO regional) population attributable fraction (PAF) and number of incident HIV infections attributable to HSV-2 infection by age (15–24 years, 25–49 years, and 15–49 years), sex, and timing of HSV-2 infection (established &lt;i&gt;vs&lt;/i&gt; recently acquired). Estimates were calculated by incorporating HSV-2 and HIV infection data with pooled relative risk (RR) estimates for the effect of HSV-2 infection on HIV acquisition from a systematic review and meta-analysis. Because HSV-2 and HIV have shared sexual and other risk factors, in addition to HSV-related biological factors that increase HIV risk, we only used RR estimates that were adjusted for potential confounders.&lt;/p&gt;&lt;h3&gt;Findings&lt;/h3&gt;&lt;p&gt;An estimated 420 000 (95% uncertainty interval 317 000–546 000; PAF 29·6% [22·9–37·1]) of 1·4 million sexually acquired incident HIV infections in individuals aged 15–49 years in 2016 were attributable to HSV-2 infection. The contribution of HSV-2 to HIV was largest for the WHO African region (PAF 37·1% [28·7–46·3]), women (34·8% [23·5–45·0]), individuals aged 25–49 years (32·4% [25·4–40·2]), and established HSV-2 infection (26·8% [19·7–34·5]).&lt;/p&gt;&lt;h3&gt;Interpretation&lt;/h3&gt;&lt;p&gt;A large burden of HIV is likely to be attributable to HSV-2 infection, even if the effect of HSV-2 infection on HIV had been imperfectly measured in studies providing adjusted RR estimates, potentially because of residual confounding. The contribution is likely to be greatest in areas where HSV-2 is highly prevalent, particularly Africa. New preventive interventions against HSV-2 infection could not only improve the quality of life of millions of people by reducing the prevalence of herpetic genital ulcer disease, but could also have an additional, indirect effect on HIV transmission.&lt;/p&gt;&lt;h3&gt;Funding&lt;/h3&gt;&lt;p&gt;WHO.&lt;/p&gt;","container-title":"The Lancet Infectious Diseases","DOI":"10.1016/S1473-3099(19)30470-0","ISSN":"1473-3099, 1474-4457","issue":"2","journalAbbreviation":"The Lancet Infectious Diseases","language":"English","note":"publisher: Elsevier\nPMID: 31753763","page":"240-249","source":"www.thelancet.com","title":"Global and regional estimates of the contribution of herpes simplex virus type 2 infection to HIV incidence: a population attributable fraction analysis using published epidemiological data","title-short":"Global and regional estimates of the contribution of herpes simplex virus type 2 infection to HIV incidence","URL":"https://www.thelancet.com/journals/laninf/article/PIIS1473-3099(19)30470-0/abstract","volume":"20","author":[{"family":"Looker","given":"Katharine J."},{"family":"Welton","given":"Nicky J."},{"family":"Sabin","given":"Keith M."},{"family":"Dalal","given":"Shona"},{"family":"Vickerman","given":"Peter"},{"family":"Turner","given":"Katherine M. E."},{"family":"Boily","given":"Marie-Claude"},{"family":"Gottlieb","given":"Sami L."}],"accessed":{"date-parts":[["2020",7,28]]},"issued":{"date-parts":[["2020",2,1]]}}}],"schema":"https://github.com/citation-style-language/schema/raw/master/csl-citation.json"} </w:instrText>
            </w:r>
            <w:r w:rsidR="00BD4663" w:rsidRPr="008D6407">
              <w:rPr>
                <w:rFonts w:ascii="Arial" w:hAnsi="Arial" w:cs="Arial"/>
                <w:bCs/>
                <w:i/>
                <w:iCs/>
                <w:noProof/>
                <w:sz w:val="20"/>
                <w:szCs w:val="20"/>
              </w:rPr>
              <w:fldChar w:fldCharType="separate"/>
            </w:r>
            <w:r w:rsidR="0081559F">
              <w:rPr>
                <w:rFonts w:ascii="Arial" w:hAnsi="Arial" w:cs="Arial"/>
                <w:sz w:val="20"/>
              </w:rPr>
              <w:t>[41]</w:t>
            </w:r>
            <w:r w:rsidR="00BD4663" w:rsidRPr="008D6407">
              <w:rPr>
                <w:rFonts w:ascii="Arial" w:hAnsi="Arial" w:cs="Arial"/>
                <w:bCs/>
                <w:i/>
                <w:iCs/>
                <w:noProof/>
                <w:sz w:val="20"/>
                <w:szCs w:val="20"/>
              </w:rPr>
              <w:fldChar w:fldCharType="end"/>
            </w:r>
          </w:p>
        </w:tc>
      </w:tr>
      <w:tr w:rsidR="00BD4663" w:rsidRPr="00F82336" w14:paraId="572B8855" w14:textId="77777777" w:rsidTr="008D6407">
        <w:trPr>
          <w:jc w:val="center"/>
        </w:trPr>
        <w:tc>
          <w:tcPr>
            <w:tcW w:w="2610" w:type="dxa"/>
            <w:shd w:val="clear" w:color="auto" w:fill="FFFFFF" w:themeFill="background1"/>
          </w:tcPr>
          <w:p w14:paraId="05E1FC37" w14:textId="3713CD5B" w:rsidR="00BD4663" w:rsidRPr="008D6407" w:rsidRDefault="00BD4663" w:rsidP="008D6407">
            <w:pPr>
              <w:pStyle w:val="Default"/>
              <w:rPr>
                <w:rFonts w:ascii="Arial" w:hAnsi="Arial" w:cs="Arial"/>
                <w:i/>
                <w:iCs/>
                <w:sz w:val="20"/>
                <w:szCs w:val="20"/>
              </w:rPr>
            </w:pPr>
            <w:r w:rsidRPr="008D6407">
              <w:rPr>
                <w:rFonts w:ascii="Arial" w:hAnsi="Arial" w:cs="Arial"/>
                <w:i/>
                <w:iCs/>
                <w:sz w:val="20"/>
                <w:szCs w:val="20"/>
              </w:rPr>
              <w:t>Relative risk of HIV due to incident HSV-2</w:t>
            </w:r>
          </w:p>
        </w:tc>
        <w:tc>
          <w:tcPr>
            <w:tcW w:w="3060" w:type="dxa"/>
            <w:shd w:val="clear" w:color="auto" w:fill="FFFFFF" w:themeFill="background1"/>
          </w:tcPr>
          <w:p w14:paraId="49957F1B" w14:textId="19D9CFC0" w:rsidR="00BD4663" w:rsidRPr="008D6407" w:rsidRDefault="00BD4663" w:rsidP="008D6407">
            <w:pPr>
              <w:rPr>
                <w:rFonts w:ascii="Arial" w:hAnsi="Arial" w:cs="Arial"/>
                <w:bCs/>
                <w:i/>
                <w:iCs/>
                <w:noProof/>
                <w:sz w:val="20"/>
                <w:szCs w:val="20"/>
              </w:rPr>
            </w:pPr>
            <w:r w:rsidRPr="008D6407">
              <w:rPr>
                <w:rFonts w:ascii="Arial" w:hAnsi="Arial" w:cs="Arial"/>
                <w:bCs/>
                <w:i/>
                <w:iCs/>
                <w:noProof/>
                <w:sz w:val="20"/>
                <w:szCs w:val="20"/>
              </w:rPr>
              <w:t>Values between 2.2 and 10.1 distributed normally.</w:t>
            </w:r>
          </w:p>
        </w:tc>
        <w:tc>
          <w:tcPr>
            <w:tcW w:w="3060" w:type="dxa"/>
            <w:shd w:val="clear" w:color="auto" w:fill="FFFFFF" w:themeFill="background1"/>
          </w:tcPr>
          <w:p w14:paraId="073A0056" w14:textId="198C91E4" w:rsidR="00BD4663" w:rsidRPr="008D6407" w:rsidRDefault="00BD4663" w:rsidP="008D6407">
            <w:pPr>
              <w:rPr>
                <w:rFonts w:ascii="Arial" w:hAnsi="Arial" w:cs="Arial"/>
                <w:bCs/>
                <w:i/>
                <w:iCs/>
                <w:noProof/>
                <w:sz w:val="20"/>
                <w:szCs w:val="20"/>
              </w:rPr>
            </w:pPr>
            <w:r w:rsidRPr="008D6407">
              <w:rPr>
                <w:rFonts w:ascii="Arial" w:hAnsi="Arial" w:cs="Arial"/>
                <w:bCs/>
                <w:i/>
                <w:iCs/>
                <w:noProof/>
                <w:sz w:val="20"/>
                <w:szCs w:val="20"/>
              </w:rPr>
              <w:t>From Looker et al.</w:t>
            </w:r>
            <w:r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ixpeyuhu","properties":{"formattedCitation":"[41]","plainCitation":"[41]","noteIndex":0},"citationItems":[{"id":28676,"uris":["http://zotero.org/users/local/p8g0WsVO/items/XHKIHSUI"],"itemData":{"id":28676,"type":"article-journal","abstract":"&lt;h2&gt;Summary&lt;/h2&gt;&lt;h3&gt;Background&lt;/h3&gt;&lt;p&gt;A 2017 systematic review and meta-analysis of 55 prospective studies found the adjusted risk of HIV acquisition to be at least tripled in individuals with herpes simplex virus type 2 (HSV-2) infection. We aimed to assess the potential contribution of HSV-2 infection to HIV incidence, given an effect of HSV-2 on HIV acquisition.&lt;/p&gt;&lt;h3&gt;Methods&lt;/h3&gt;&lt;p&gt;We used a classic epidemiological formula to estimate the global and regional (WHO regional) population attributable fraction (PAF) and number of incident HIV infections attributable to HSV-2 infection by age (15–24 years, 25–49 years, and 15–49 years), sex, and timing of HSV-2 infection (established &lt;i&gt;vs&lt;/i&gt; recently acquired). Estimates were calculated by incorporating HSV-2 and HIV infection data with pooled relative risk (RR) estimates for the effect of HSV-2 infection on HIV acquisition from a systematic review and meta-analysis. Because HSV-2 and HIV have shared sexual and other risk factors, in addition to HSV-related biological factors that increase HIV risk, we only used RR estimates that were adjusted for potential confounders.&lt;/p&gt;&lt;h3&gt;Findings&lt;/h3&gt;&lt;p&gt;An estimated 420 000 (95% uncertainty interval 317 000–546 000; PAF 29·6% [22·9–37·1]) of 1·4 million sexually acquired incident HIV infections in individuals aged 15–49 years in 2016 were attributable to HSV-2 infection. The contribution of HSV-2 to HIV was largest for the WHO African region (PAF 37·1% [28·7–46·3]), women (34·8% [23·5–45·0]), individuals aged 25–49 years (32·4% [25·4–40·2]), and established HSV-2 infection (26·8% [19·7–34·5]).&lt;/p&gt;&lt;h3&gt;Interpretation&lt;/h3&gt;&lt;p&gt;A large burden of HIV is likely to be attributable to HSV-2 infection, even if the effect of HSV-2 infection on HIV had been imperfectly measured in studies providing adjusted RR estimates, potentially because of residual confounding. The contribution is likely to be greatest in areas where HSV-2 is highly prevalent, particularly Africa. New preventive interventions against HSV-2 infection could not only improve the quality of life of millions of people by reducing the prevalence of herpetic genital ulcer disease, but could also have an additional, indirect effect on HIV transmission.&lt;/p&gt;&lt;h3&gt;Funding&lt;/h3&gt;&lt;p&gt;WHO.&lt;/p&gt;","container-title":"The Lancet Infectious Diseases","DOI":"10.1016/S1473-3099(19)30470-0","ISSN":"1473-3099, 1474-4457","issue":"2","journalAbbreviation":"The Lancet Infectious Diseases","language":"English","note":"publisher: Elsevier\nPMID: 31753763","page":"240-249","source":"www.thelancet.com","title":"Global and regional estimates of the contribution of herpes simplex virus type 2 infection to HIV incidence: a population attributable fraction analysis using published epidemiological data","title-short":"Global and regional estimates of the contribution of herpes simplex virus type 2 infection to HIV incidence","URL":"https://www.thelancet.com/journals/laninf/article/PIIS1473-3099(19)30470-0/abstract","volume":"20","author":[{"family":"Looker","given":"Katharine J."},{"family":"Welton","given":"Nicky J."},{"family":"Sabin","given":"Keith M."},{"family":"Dalal","given":"Shona"},{"family":"Vickerman","given":"Peter"},{"family":"Turner","given":"Katherine M. E."},{"family":"Boily","given":"Marie-Claude"},{"family":"Gottlieb","given":"Sami L."}],"accessed":{"date-parts":[["2020",7,28]]},"issued":{"date-parts":[["2020",2,1]]}}}],"schema":"https://github.com/citation-style-language/schema/raw/master/csl-citation.json"} </w:instrText>
            </w:r>
            <w:r w:rsidRPr="008D6407">
              <w:rPr>
                <w:rFonts w:ascii="Arial" w:hAnsi="Arial" w:cs="Arial"/>
                <w:bCs/>
                <w:i/>
                <w:iCs/>
                <w:noProof/>
                <w:sz w:val="20"/>
                <w:szCs w:val="20"/>
              </w:rPr>
              <w:fldChar w:fldCharType="separate"/>
            </w:r>
            <w:r w:rsidR="0081559F">
              <w:rPr>
                <w:rFonts w:ascii="Arial" w:hAnsi="Arial" w:cs="Arial"/>
                <w:sz w:val="20"/>
              </w:rPr>
              <w:t>[41]</w:t>
            </w:r>
            <w:r w:rsidRPr="008D6407">
              <w:rPr>
                <w:rFonts w:ascii="Arial" w:hAnsi="Arial" w:cs="Arial"/>
                <w:bCs/>
                <w:i/>
                <w:iCs/>
                <w:noProof/>
                <w:sz w:val="20"/>
                <w:szCs w:val="20"/>
              </w:rPr>
              <w:fldChar w:fldCharType="end"/>
            </w:r>
          </w:p>
        </w:tc>
      </w:tr>
      <w:tr w:rsidR="00F82336" w:rsidRPr="00F82336" w14:paraId="652F8AC6" w14:textId="77777777" w:rsidTr="008D6407">
        <w:trPr>
          <w:jc w:val="center"/>
        </w:trPr>
        <w:tc>
          <w:tcPr>
            <w:tcW w:w="2610" w:type="dxa"/>
            <w:shd w:val="clear" w:color="auto" w:fill="FFFFFF" w:themeFill="background1"/>
          </w:tcPr>
          <w:p w14:paraId="510AFB20" w14:textId="77777777" w:rsidR="00F82336" w:rsidRPr="008D6407" w:rsidRDefault="00F82336" w:rsidP="008D6407">
            <w:pPr>
              <w:pStyle w:val="Default"/>
              <w:rPr>
                <w:rFonts w:ascii="Arial" w:hAnsi="Arial" w:cs="Arial"/>
                <w:i/>
                <w:iCs/>
                <w:sz w:val="20"/>
                <w:szCs w:val="20"/>
              </w:rPr>
            </w:pPr>
          </w:p>
        </w:tc>
        <w:tc>
          <w:tcPr>
            <w:tcW w:w="3060" w:type="dxa"/>
            <w:shd w:val="clear" w:color="auto" w:fill="FFFFFF" w:themeFill="background1"/>
          </w:tcPr>
          <w:p w14:paraId="2D50D0B8"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1063F15F" w14:textId="77777777" w:rsidR="00F82336" w:rsidRPr="008D6407" w:rsidRDefault="00F82336" w:rsidP="008D6407">
            <w:pPr>
              <w:rPr>
                <w:rFonts w:ascii="Arial" w:hAnsi="Arial" w:cs="Arial"/>
                <w:bCs/>
                <w:i/>
                <w:iCs/>
                <w:noProof/>
                <w:sz w:val="20"/>
                <w:szCs w:val="20"/>
              </w:rPr>
            </w:pPr>
          </w:p>
        </w:tc>
      </w:tr>
      <w:tr w:rsidR="00F82336" w:rsidRPr="00F82336" w14:paraId="59EAEB5A" w14:textId="77777777" w:rsidTr="008D6407">
        <w:trPr>
          <w:jc w:val="center"/>
        </w:trPr>
        <w:tc>
          <w:tcPr>
            <w:tcW w:w="2610" w:type="dxa"/>
            <w:shd w:val="clear" w:color="auto" w:fill="FFFFFF" w:themeFill="background1"/>
          </w:tcPr>
          <w:p w14:paraId="7922120F" w14:textId="11B4FA98" w:rsidR="00F82336" w:rsidRPr="008D6407" w:rsidRDefault="00F82336" w:rsidP="008D6407">
            <w:pPr>
              <w:pStyle w:val="Default"/>
              <w:rPr>
                <w:rFonts w:ascii="Arial" w:hAnsi="Arial" w:cs="Arial"/>
                <w:i/>
                <w:iCs/>
                <w:sz w:val="20"/>
                <w:szCs w:val="20"/>
                <w:u w:val="single"/>
              </w:rPr>
            </w:pPr>
            <w:r w:rsidRPr="008D6407">
              <w:rPr>
                <w:rFonts w:ascii="Arial" w:hAnsi="Arial" w:cs="Arial"/>
                <w:i/>
                <w:iCs/>
                <w:sz w:val="20"/>
                <w:szCs w:val="20"/>
                <w:u w:val="single"/>
              </w:rPr>
              <w:t>Cost of ART</w:t>
            </w:r>
          </w:p>
        </w:tc>
        <w:tc>
          <w:tcPr>
            <w:tcW w:w="3060" w:type="dxa"/>
            <w:shd w:val="clear" w:color="auto" w:fill="FFFFFF" w:themeFill="background1"/>
          </w:tcPr>
          <w:p w14:paraId="2B1BB413"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60D802A9" w14:textId="77777777" w:rsidR="00F82336" w:rsidRPr="008D6407" w:rsidRDefault="00F82336" w:rsidP="008D6407">
            <w:pPr>
              <w:rPr>
                <w:rFonts w:ascii="Arial" w:hAnsi="Arial" w:cs="Arial"/>
                <w:bCs/>
                <w:i/>
                <w:iCs/>
                <w:noProof/>
                <w:sz w:val="20"/>
                <w:szCs w:val="20"/>
              </w:rPr>
            </w:pPr>
          </w:p>
        </w:tc>
      </w:tr>
      <w:tr w:rsidR="00F82336" w:rsidRPr="00F82336" w14:paraId="1A89ADA5" w14:textId="77777777" w:rsidTr="008D6407">
        <w:trPr>
          <w:jc w:val="center"/>
        </w:trPr>
        <w:tc>
          <w:tcPr>
            <w:tcW w:w="2610" w:type="dxa"/>
            <w:shd w:val="clear" w:color="auto" w:fill="FFFFFF" w:themeFill="background1"/>
          </w:tcPr>
          <w:p w14:paraId="4CB5FA71" w14:textId="7E40AE31"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Cost of ART provision for a new patient in 2020</w:t>
            </w:r>
          </w:p>
        </w:tc>
        <w:tc>
          <w:tcPr>
            <w:tcW w:w="3060" w:type="dxa"/>
            <w:shd w:val="clear" w:color="auto" w:fill="FFFFFF" w:themeFill="background1"/>
          </w:tcPr>
          <w:p w14:paraId="7B756E11" w14:textId="77777777"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For first line: Values between US$315-US$2566 distributed normally.</w:t>
            </w:r>
          </w:p>
          <w:p w14:paraId="35280EFD" w14:textId="77777777" w:rsidR="00F82336" w:rsidRPr="008D6407" w:rsidRDefault="00F82336" w:rsidP="008D6407">
            <w:pPr>
              <w:pStyle w:val="ListParagraph"/>
              <w:ind w:left="360"/>
              <w:rPr>
                <w:rFonts w:ascii="Arial" w:hAnsi="Arial" w:cs="Arial"/>
                <w:bCs/>
                <w:i/>
                <w:iCs/>
                <w:noProof/>
                <w:sz w:val="20"/>
                <w:szCs w:val="20"/>
              </w:rPr>
            </w:pPr>
          </w:p>
          <w:p w14:paraId="7C55A4B4" w14:textId="099DCE53"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For second line: Values between US$567 and US$US$3182</w:t>
            </w:r>
          </w:p>
        </w:tc>
        <w:tc>
          <w:tcPr>
            <w:tcW w:w="3060" w:type="dxa"/>
            <w:shd w:val="clear" w:color="auto" w:fill="FFFFFF" w:themeFill="background1"/>
          </w:tcPr>
          <w:p w14:paraId="7C9C7D8E" w14:textId="63D9F489"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From Stover et al.</w:t>
            </w:r>
            <w:r w:rsidR="00BD4663"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{"citationID":"JT1ff165","properties":{"formattedCitation":"[42]","plainCitation":"[42]","noteIndex":0},"citationItems":[{"id":27200,"uris":["http://zotero.org/users/local/p8g0WsVO/items/M79FUB6K"],"itemData":{"id":27200,"type":"article-journal","abstract":"In 2011 a new Investment Framework was proposed that described how the scale-up of key HIV interventions could dramatically reduce new HIV infections and AIDS-related deaths in low and middle income countries by 2015. This framework included ambitious coverage goals for prevention and treatment services for 2015, resulting in a reduction of new HIV infections by more than half, in line with the goals of the declaration of the UN High Level Meeting in June 2011. However, the approach suggested a leveling in the number of new infections at about 1 million annually—far from the UNAIDS goal of ending AIDS by 2030. In response, UNAIDS has developed the Fast-Track approach that is intended to provide a roadmap to the actions required to achieve this goal. The Fast-Track approach is predicated on a rapid scale-up of focused, effective prevention and treatment services over the next 5 years and then maintaining a high level of programme implementation until 2030. Fast-Track aims to reduce new infections and AIDS-related deaths by 90% from 2010 to 2030 and proposes a set of biomedical, behavioral and enabling intervention targets for 2020 and 2030 to achieve that goal, including the rapid scale-up initiative for antiretroviral treatment known as 90-90-90. Compared to a counterfactual scenario of constant coverage for all services at early-2015 levels, the Fast-Track approach would avert 18 million HIV infections and 11 million deaths from 2016 to 2030 globally. This paper describes the analysis that produced these targets and the estimated resources needed to achieve them in low- and middle-income countries. It indicates that it is possible to achieve these goals with a significant push to achieve rapid scale-up of key interventions between now and 2020. The annual resources required from all sources would rise to US$7.4Bn in low-income countries, US$8.2Bn in lower middle-income countries and US$10.5Bn in upper-middle-income-countries by 2020 before declining approximately 9% by 2030.","container-title":"PLOS ONE","DOI":"10.1371/journal.pone.0154893","ISSN":"1932-6203","issue":"5","journalAbbreviation":"PLOS ONE","language":"en","page":"e0154893","source":"PLoS Journals","title":"What Is Required to End the AIDS Epidemic as a Public Health Threat by 2030? The Cost and Impact of the Fast-Track Approach","title-short":"What Is Required to End the AIDS Epidemic as a Public Health Threat by 2030?","URL":"https://journals.plos.org/plosone/article?id=10.1371/journal.pone.0154893","volume":"11","author":[{"family":"Stover","given":"John"},{"family":"Bollinger","given":"Lori"},{"family":"Izazola","given":"Jose Antonio"},{"family":"Loures","given":"Luiz"},{"family":"DeLay","given":"Paul"},{"family":"Ghys","given":"Peter D."},{"family":"Group","given":"Fast Track","dropping-particle":"modeling working"}],"accessed":{"date-parts":[["2019",8,3]]},"issued":{"date-parts":[["2016",5,9]]}}}],"schema":"https://github.com/citation-style-language/schema/raw/master/csl-citation.json"} </w:instrText>
            </w:r>
            <w:r w:rsidR="00BD4663" w:rsidRPr="008D6407">
              <w:rPr>
                <w:rFonts w:ascii="Arial" w:hAnsi="Arial" w:cs="Arial"/>
                <w:bCs/>
                <w:i/>
                <w:iCs/>
                <w:noProof/>
                <w:sz w:val="20"/>
                <w:szCs w:val="20"/>
              </w:rPr>
              <w:fldChar w:fldCharType="separate"/>
            </w:r>
            <w:r w:rsidR="0081559F">
              <w:rPr>
                <w:rFonts w:ascii="Arial" w:hAnsi="Arial" w:cs="Arial"/>
                <w:sz w:val="20"/>
              </w:rPr>
              <w:t>[42]</w:t>
            </w:r>
            <w:r w:rsidR="00BD4663" w:rsidRPr="008D6407">
              <w:rPr>
                <w:rFonts w:ascii="Arial" w:hAnsi="Arial" w:cs="Arial"/>
                <w:bCs/>
                <w:i/>
                <w:iCs/>
                <w:noProof/>
                <w:sz w:val="20"/>
                <w:szCs w:val="20"/>
              </w:rPr>
              <w:fldChar w:fldCharType="end"/>
            </w:r>
          </w:p>
        </w:tc>
      </w:tr>
      <w:tr w:rsidR="00F82336" w:rsidRPr="00F82336" w14:paraId="4AD93924" w14:textId="77777777" w:rsidTr="008D6407">
        <w:trPr>
          <w:jc w:val="center"/>
        </w:trPr>
        <w:tc>
          <w:tcPr>
            <w:tcW w:w="2610" w:type="dxa"/>
            <w:shd w:val="clear" w:color="auto" w:fill="FFFFFF" w:themeFill="background1"/>
          </w:tcPr>
          <w:p w14:paraId="0C07E452" w14:textId="77777777" w:rsidR="00F82336" w:rsidRPr="008D6407" w:rsidRDefault="00F82336" w:rsidP="008D6407">
            <w:pPr>
              <w:pStyle w:val="Default"/>
              <w:rPr>
                <w:rFonts w:ascii="Arial" w:hAnsi="Arial" w:cs="Arial"/>
                <w:i/>
                <w:iCs/>
                <w:sz w:val="20"/>
                <w:szCs w:val="20"/>
              </w:rPr>
            </w:pPr>
          </w:p>
        </w:tc>
        <w:tc>
          <w:tcPr>
            <w:tcW w:w="3060" w:type="dxa"/>
            <w:shd w:val="clear" w:color="auto" w:fill="FFFFFF" w:themeFill="background1"/>
          </w:tcPr>
          <w:p w14:paraId="25CED576"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0ADFE823" w14:textId="77777777" w:rsidR="00F82336" w:rsidRPr="008D6407" w:rsidRDefault="00F82336" w:rsidP="008D6407">
            <w:pPr>
              <w:rPr>
                <w:rFonts w:ascii="Arial" w:hAnsi="Arial" w:cs="Arial"/>
                <w:bCs/>
                <w:i/>
                <w:iCs/>
                <w:noProof/>
                <w:sz w:val="20"/>
                <w:szCs w:val="20"/>
              </w:rPr>
            </w:pPr>
          </w:p>
        </w:tc>
      </w:tr>
      <w:tr w:rsidR="00F82336" w:rsidRPr="00F82336" w14:paraId="6C531872" w14:textId="77777777" w:rsidTr="008D6407">
        <w:trPr>
          <w:jc w:val="center"/>
        </w:trPr>
        <w:tc>
          <w:tcPr>
            <w:tcW w:w="2610" w:type="dxa"/>
            <w:shd w:val="clear" w:color="auto" w:fill="FFFFFF" w:themeFill="background1"/>
          </w:tcPr>
          <w:p w14:paraId="65CF3A8E" w14:textId="5AFAE4C3" w:rsidR="00F82336" w:rsidRPr="008D6407" w:rsidRDefault="00F82336" w:rsidP="008D6407">
            <w:pPr>
              <w:pStyle w:val="Default"/>
              <w:rPr>
                <w:rFonts w:ascii="Arial" w:hAnsi="Arial" w:cs="Arial"/>
                <w:i/>
                <w:iCs/>
                <w:sz w:val="20"/>
                <w:szCs w:val="20"/>
                <w:u w:val="single"/>
              </w:rPr>
            </w:pPr>
            <w:r w:rsidRPr="008D6407">
              <w:rPr>
                <w:rFonts w:ascii="Arial" w:hAnsi="Arial" w:cs="Arial"/>
                <w:i/>
                <w:iCs/>
                <w:sz w:val="20"/>
                <w:szCs w:val="20"/>
                <w:u w:val="single"/>
              </w:rPr>
              <w:t>HIV Wage Losses</w:t>
            </w:r>
          </w:p>
        </w:tc>
        <w:tc>
          <w:tcPr>
            <w:tcW w:w="3060" w:type="dxa"/>
            <w:shd w:val="clear" w:color="auto" w:fill="FFFFFF" w:themeFill="background1"/>
          </w:tcPr>
          <w:p w14:paraId="5A064123" w14:textId="77777777" w:rsidR="00F82336" w:rsidRPr="008D6407" w:rsidRDefault="00F82336" w:rsidP="008D6407">
            <w:pPr>
              <w:pStyle w:val="ListParagraph"/>
              <w:ind w:left="360"/>
              <w:rPr>
                <w:rFonts w:ascii="Arial" w:hAnsi="Arial" w:cs="Arial"/>
                <w:bCs/>
                <w:i/>
                <w:iCs/>
                <w:noProof/>
                <w:sz w:val="20"/>
                <w:szCs w:val="20"/>
              </w:rPr>
            </w:pPr>
          </w:p>
        </w:tc>
        <w:tc>
          <w:tcPr>
            <w:tcW w:w="3060" w:type="dxa"/>
            <w:shd w:val="clear" w:color="auto" w:fill="FFFFFF" w:themeFill="background1"/>
          </w:tcPr>
          <w:p w14:paraId="3CFDB69A" w14:textId="77777777" w:rsidR="00F82336" w:rsidRPr="008D6407" w:rsidRDefault="00F82336" w:rsidP="008D6407">
            <w:pPr>
              <w:rPr>
                <w:rFonts w:ascii="Arial" w:hAnsi="Arial" w:cs="Arial"/>
                <w:bCs/>
                <w:i/>
                <w:iCs/>
                <w:noProof/>
                <w:sz w:val="20"/>
                <w:szCs w:val="20"/>
              </w:rPr>
            </w:pPr>
          </w:p>
        </w:tc>
      </w:tr>
      <w:tr w:rsidR="00F82336" w:rsidRPr="00F82336" w14:paraId="5D5B9D80" w14:textId="77777777" w:rsidTr="008D6407">
        <w:trPr>
          <w:jc w:val="center"/>
        </w:trPr>
        <w:tc>
          <w:tcPr>
            <w:tcW w:w="2610" w:type="dxa"/>
            <w:shd w:val="clear" w:color="auto" w:fill="FFFFFF" w:themeFill="background1"/>
          </w:tcPr>
          <w:p w14:paraId="3BEAC089" w14:textId="43204374"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Proportion of the HIV population who are productive</w:t>
            </w:r>
          </w:p>
        </w:tc>
        <w:tc>
          <w:tcPr>
            <w:tcW w:w="3060" w:type="dxa"/>
            <w:shd w:val="clear" w:color="auto" w:fill="FFFFFF" w:themeFill="background1"/>
          </w:tcPr>
          <w:p w14:paraId="37E927AE" w14:textId="05FBE1E8"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Values between 80 and 90% distributed normally</w:t>
            </w:r>
          </w:p>
        </w:tc>
        <w:tc>
          <w:tcPr>
            <w:tcW w:w="3060" w:type="dxa"/>
            <w:shd w:val="clear" w:color="auto" w:fill="FFFFFF" w:themeFill="background1"/>
          </w:tcPr>
          <w:p w14:paraId="06A404DF" w14:textId="101192DD" w:rsidR="00F82336" w:rsidRPr="008D6407" w:rsidRDefault="00F82336" w:rsidP="008D6407">
            <w:pPr>
              <w:rPr>
                <w:rFonts w:ascii="Arial" w:hAnsi="Arial" w:cs="Arial"/>
                <w:bCs/>
                <w:i/>
                <w:iCs/>
                <w:noProof/>
                <w:sz w:val="20"/>
                <w:szCs w:val="20"/>
              </w:rPr>
            </w:pPr>
            <w:r w:rsidRPr="008D6407">
              <w:rPr>
                <w:rFonts w:ascii="Arial" w:hAnsi="Arial" w:cs="Arial"/>
                <w:bCs/>
                <w:i/>
                <w:iCs/>
                <w:noProof/>
                <w:sz w:val="20"/>
                <w:szCs w:val="20"/>
              </w:rPr>
              <w:t>From Resch et al.</w:t>
            </w:r>
            <w:r w:rsidR="00BD4663" w:rsidRPr="008D6407">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{"citationID":"u25EHnb2","properties":{"formattedCitation":"[43]","plainCitation":"[43]","noteIndex":0},"citationItems":[{"id":26699,"uris":["http://zotero.org/users/local/p8g0WsVO/items/TCXKGQJN"],"itemData":{"id":26699,"type":"article-journal","abstract":"Since the early 2000s, aid organizations and developing country governments have invested heavily in AIDS treatment. By 2010, more than five million people began receiving antiretroviral therapy (ART) – yet each year, 2.7 million people are becoming newly infected and another two million are dying without ever having received treatment. As the need for treatment grows without commensurate increase in the amount of available resources, it is critical to assess the health and economic gains being realized from increasingly large investments in ART. This study estimates total program costs and compares them with selected economic benefits of ART, for the current cohort of patients whose treatment is cofinanced by the Global Fund to Fight AIDS, Tuberculosis and Malaria. At end 2011, 3.5 million patients in low and middle income countries will be receiving ART through treatment programs cofinanced by the Global Fund. Using 2009 ART prices and program costs, we estimate that the discounted resource needs required for maintaining this cohort are $14.2 billion for the period 2011–2020. This investment is expected to save 18.5 million life-years and return $12 to $34 billion through increased labor productivity, averted orphan care, and deferred medical treatment for opportunistic infections and end-of-life care. Under alternative assumptions regarding the labor productivity effects of HIV infection, AIDS disease, and ART, the monetary benefits range from 81 percent to 287 percent of program costs over the same period. These results suggest that, in addition to the large health gains generated, the economic benefits of treatment will substantially offset, and likely exceed, program costs within 10 years of investment.","container-title":"PLOS ONE","DOI":"10.1371/journal.pone.0025310","ISSN":"1932-6203","issue":"10","journalAbbreviation":"PLOS ONE","language":"en","page":"e25310","source":"PLoS Journals","title":"Economic Returns to Investment in AIDS Treatment in Low and Middle Income Countries","URL":"https://journals.plos.org/plosone/article?id=10.1371/journal.pone.0025310","volume":"6","author":[{"family":"Resch","given":"Stephen"},{"family":"Korenromp","given":"Eline"},{"family":"Stover","given":"John"},{"family":"Blakley","given":"Matthew"},{"family":"Krubiner","given":"Carleigh"},{"family":"Thorien","given":"Kira"},{"family":"Hecht","given":"Robert"},{"family":"Atun","given":"Rifat"}],"accessed":{"date-parts":[["2018",12,25]]},"issued":{"date-parts":[["2011",10,5]]}}}],"schema":"https://github.com/citation-style-language/schema/raw/master/csl-citation.json"} </w:instrText>
            </w:r>
            <w:r w:rsidR="00BD4663" w:rsidRPr="008D6407">
              <w:rPr>
                <w:rFonts w:ascii="Arial" w:hAnsi="Arial" w:cs="Arial"/>
                <w:bCs/>
                <w:i/>
                <w:iCs/>
                <w:noProof/>
                <w:sz w:val="20"/>
                <w:szCs w:val="20"/>
              </w:rPr>
              <w:fldChar w:fldCharType="separate"/>
            </w:r>
            <w:r w:rsidR="0081559F">
              <w:rPr>
                <w:rFonts w:ascii="Arial" w:hAnsi="Arial" w:cs="Arial"/>
                <w:sz w:val="20"/>
              </w:rPr>
              <w:t>[43]</w:t>
            </w:r>
            <w:r w:rsidR="00BD4663" w:rsidRPr="008D6407">
              <w:rPr>
                <w:rFonts w:ascii="Arial" w:hAnsi="Arial" w:cs="Arial"/>
                <w:bCs/>
                <w:i/>
                <w:iCs/>
                <w:noProof/>
                <w:sz w:val="20"/>
                <w:szCs w:val="20"/>
              </w:rPr>
              <w:fldChar w:fldCharType="end"/>
            </w:r>
          </w:p>
        </w:tc>
      </w:tr>
      <w:tr w:rsidR="00F82336" w:rsidRPr="00F82336" w14:paraId="2228105C" w14:textId="77777777" w:rsidTr="008D6407">
        <w:trPr>
          <w:jc w:val="center"/>
        </w:trPr>
        <w:tc>
          <w:tcPr>
            <w:tcW w:w="2610" w:type="dxa"/>
            <w:shd w:val="clear" w:color="auto" w:fill="FFFFFF" w:themeFill="background1"/>
          </w:tcPr>
          <w:p w14:paraId="4482DCFE" w14:textId="3499BC42"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Reduction in productivity when on ART</w:t>
            </w:r>
          </w:p>
        </w:tc>
        <w:tc>
          <w:tcPr>
            <w:tcW w:w="3060" w:type="dxa"/>
            <w:shd w:val="clear" w:color="auto" w:fill="FFFFFF" w:themeFill="background1"/>
          </w:tcPr>
          <w:p w14:paraId="6B64C9F9" w14:textId="30754D12" w:rsidR="00F82336" w:rsidRPr="008D6407" w:rsidRDefault="00194096" w:rsidP="008D6407">
            <w:pPr>
              <w:rPr>
                <w:rFonts w:ascii="Arial" w:hAnsi="Arial" w:cs="Arial"/>
                <w:bCs/>
                <w:i/>
                <w:iCs/>
                <w:noProof/>
                <w:sz w:val="20"/>
                <w:szCs w:val="20"/>
              </w:rPr>
            </w:pPr>
            <w:r w:rsidRPr="008D6407">
              <w:rPr>
                <w:rFonts w:ascii="Arial" w:hAnsi="Arial" w:cs="Arial"/>
                <w:bCs/>
                <w:i/>
                <w:iCs/>
                <w:noProof/>
                <w:sz w:val="20"/>
                <w:szCs w:val="20"/>
              </w:rPr>
              <w:t>Values between 4% and 25% distributed normally.</w:t>
            </w:r>
          </w:p>
        </w:tc>
        <w:tc>
          <w:tcPr>
            <w:tcW w:w="3060" w:type="dxa"/>
            <w:shd w:val="clear" w:color="auto" w:fill="FFFFFF" w:themeFill="background1"/>
          </w:tcPr>
          <w:p w14:paraId="14A53D29" w14:textId="038C5BBA" w:rsidR="00F82336" w:rsidRPr="008D6407" w:rsidRDefault="00194096" w:rsidP="008D6407">
            <w:pPr>
              <w:rPr>
                <w:rFonts w:ascii="Arial" w:hAnsi="Arial" w:cs="Arial"/>
                <w:bCs/>
                <w:i/>
                <w:iCs/>
                <w:noProof/>
                <w:sz w:val="20"/>
                <w:szCs w:val="20"/>
              </w:rPr>
            </w:pPr>
            <w:r w:rsidRPr="008D6407">
              <w:rPr>
                <w:rFonts w:ascii="Arial" w:hAnsi="Arial" w:cs="Arial"/>
                <w:bCs/>
                <w:i/>
                <w:iCs/>
                <w:noProof/>
                <w:sz w:val="20"/>
                <w:szCs w:val="20"/>
              </w:rPr>
              <w:t>Based on literature review.</w:t>
            </w:r>
          </w:p>
        </w:tc>
      </w:tr>
      <w:tr w:rsidR="00F82336" w:rsidRPr="00F82336" w14:paraId="11048B31" w14:textId="77777777" w:rsidTr="008D6407">
        <w:trPr>
          <w:jc w:val="center"/>
        </w:trPr>
        <w:tc>
          <w:tcPr>
            <w:tcW w:w="2610" w:type="dxa"/>
            <w:shd w:val="clear" w:color="auto" w:fill="FFFFFF" w:themeFill="background1"/>
          </w:tcPr>
          <w:p w14:paraId="0C95C7EE" w14:textId="6BC81248"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Reduction in productivity when not on ART</w:t>
            </w:r>
          </w:p>
        </w:tc>
        <w:tc>
          <w:tcPr>
            <w:tcW w:w="3060" w:type="dxa"/>
            <w:shd w:val="clear" w:color="auto" w:fill="FFFFFF" w:themeFill="background1"/>
          </w:tcPr>
          <w:p w14:paraId="6923AD21" w14:textId="4374434D" w:rsidR="00F82336" w:rsidRPr="008D6407" w:rsidRDefault="00194096" w:rsidP="008D6407">
            <w:pPr>
              <w:rPr>
                <w:rFonts w:ascii="Arial" w:hAnsi="Arial" w:cs="Arial"/>
                <w:bCs/>
                <w:i/>
                <w:iCs/>
                <w:noProof/>
                <w:sz w:val="20"/>
                <w:szCs w:val="20"/>
              </w:rPr>
            </w:pPr>
            <w:r w:rsidRPr="008D6407">
              <w:rPr>
                <w:rFonts w:ascii="Arial" w:hAnsi="Arial" w:cs="Arial"/>
                <w:bCs/>
                <w:i/>
                <w:iCs/>
                <w:noProof/>
                <w:sz w:val="20"/>
                <w:szCs w:val="20"/>
              </w:rPr>
              <w:t>Values between 27% and 75% distributed normally.</w:t>
            </w:r>
          </w:p>
        </w:tc>
        <w:tc>
          <w:tcPr>
            <w:tcW w:w="3060" w:type="dxa"/>
            <w:shd w:val="clear" w:color="auto" w:fill="FFFFFF" w:themeFill="background1"/>
          </w:tcPr>
          <w:p w14:paraId="18B5C99F" w14:textId="66ED28CD" w:rsidR="00F82336" w:rsidRPr="008D6407" w:rsidRDefault="00194096" w:rsidP="008D6407">
            <w:pPr>
              <w:rPr>
                <w:rFonts w:ascii="Arial" w:hAnsi="Arial" w:cs="Arial"/>
                <w:bCs/>
                <w:i/>
                <w:iCs/>
                <w:noProof/>
                <w:sz w:val="20"/>
                <w:szCs w:val="20"/>
              </w:rPr>
            </w:pPr>
            <w:r w:rsidRPr="008D6407">
              <w:rPr>
                <w:rFonts w:ascii="Arial" w:hAnsi="Arial" w:cs="Arial"/>
                <w:bCs/>
                <w:i/>
                <w:iCs/>
                <w:noProof/>
                <w:sz w:val="20"/>
                <w:szCs w:val="20"/>
              </w:rPr>
              <w:t>Based on literature review.</w:t>
            </w:r>
          </w:p>
        </w:tc>
      </w:tr>
      <w:tr w:rsidR="00F82336" w:rsidRPr="00F82336" w14:paraId="40668EE5" w14:textId="77777777" w:rsidTr="008D6407">
        <w:trPr>
          <w:jc w:val="center"/>
        </w:trPr>
        <w:tc>
          <w:tcPr>
            <w:tcW w:w="2610" w:type="dxa"/>
            <w:shd w:val="clear" w:color="auto" w:fill="FFFFFF" w:themeFill="background1"/>
          </w:tcPr>
          <w:p w14:paraId="670CA232" w14:textId="0A0FC21B"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Number of absent days per year when on ART</w:t>
            </w:r>
          </w:p>
        </w:tc>
        <w:tc>
          <w:tcPr>
            <w:tcW w:w="3060" w:type="dxa"/>
            <w:shd w:val="clear" w:color="auto" w:fill="FFFFFF" w:themeFill="background1"/>
          </w:tcPr>
          <w:p w14:paraId="6AB74EA0" w14:textId="07E6C771" w:rsidR="00F82336" w:rsidRPr="008D6407" w:rsidRDefault="00AE44A4" w:rsidP="008D6407">
            <w:pPr>
              <w:rPr>
                <w:rFonts w:ascii="Arial" w:hAnsi="Arial" w:cs="Arial"/>
                <w:bCs/>
                <w:i/>
                <w:iCs/>
                <w:noProof/>
                <w:sz w:val="20"/>
                <w:szCs w:val="20"/>
              </w:rPr>
            </w:pPr>
            <w:r w:rsidRPr="008D6407">
              <w:rPr>
                <w:rFonts w:ascii="Arial" w:hAnsi="Arial" w:cs="Arial"/>
                <w:bCs/>
                <w:i/>
                <w:iCs/>
                <w:noProof/>
                <w:sz w:val="20"/>
                <w:szCs w:val="20"/>
              </w:rPr>
              <w:t>Values between 1 and 5 distributed normally</w:t>
            </w:r>
          </w:p>
        </w:tc>
        <w:tc>
          <w:tcPr>
            <w:tcW w:w="3060" w:type="dxa"/>
            <w:shd w:val="clear" w:color="auto" w:fill="FFFFFF" w:themeFill="background1"/>
          </w:tcPr>
          <w:p w14:paraId="155030A3" w14:textId="06B29D2B" w:rsidR="00F82336" w:rsidRPr="008D6407" w:rsidRDefault="00AE44A4" w:rsidP="008D6407">
            <w:pPr>
              <w:rPr>
                <w:rFonts w:ascii="Arial" w:hAnsi="Arial" w:cs="Arial"/>
                <w:bCs/>
                <w:i/>
                <w:iCs/>
                <w:noProof/>
                <w:sz w:val="20"/>
                <w:szCs w:val="20"/>
              </w:rPr>
            </w:pPr>
            <w:r w:rsidRPr="008D6407">
              <w:rPr>
                <w:rFonts w:ascii="Arial" w:hAnsi="Arial" w:cs="Arial"/>
                <w:bCs/>
                <w:i/>
                <w:iCs/>
                <w:noProof/>
                <w:sz w:val="20"/>
                <w:szCs w:val="20"/>
              </w:rPr>
              <w:t>Assumed</w:t>
            </w:r>
          </w:p>
        </w:tc>
      </w:tr>
      <w:tr w:rsidR="00F82336" w:rsidRPr="00F82336" w14:paraId="0304A65E" w14:textId="77777777" w:rsidTr="008D6407">
        <w:trPr>
          <w:jc w:val="center"/>
        </w:trPr>
        <w:tc>
          <w:tcPr>
            <w:tcW w:w="2610" w:type="dxa"/>
            <w:shd w:val="clear" w:color="auto" w:fill="FFFFFF" w:themeFill="background1"/>
          </w:tcPr>
          <w:p w14:paraId="3AE960D2" w14:textId="00578384" w:rsidR="00F82336" w:rsidRPr="008D6407" w:rsidRDefault="00F82336" w:rsidP="008D6407">
            <w:pPr>
              <w:pStyle w:val="Default"/>
              <w:rPr>
                <w:rFonts w:ascii="Arial" w:hAnsi="Arial" w:cs="Arial"/>
                <w:i/>
                <w:iCs/>
                <w:sz w:val="20"/>
                <w:szCs w:val="20"/>
              </w:rPr>
            </w:pPr>
            <w:r w:rsidRPr="008D6407">
              <w:rPr>
                <w:rFonts w:ascii="Arial" w:hAnsi="Arial" w:cs="Arial"/>
                <w:i/>
                <w:iCs/>
                <w:sz w:val="20"/>
                <w:szCs w:val="20"/>
              </w:rPr>
              <w:t>Number of absent days per year when not on ART</w:t>
            </w:r>
          </w:p>
        </w:tc>
        <w:tc>
          <w:tcPr>
            <w:tcW w:w="3060" w:type="dxa"/>
            <w:shd w:val="clear" w:color="auto" w:fill="FFFFFF" w:themeFill="background1"/>
          </w:tcPr>
          <w:p w14:paraId="2634331B" w14:textId="58F07868" w:rsidR="00F82336" w:rsidRPr="008D6407" w:rsidRDefault="00AE44A4" w:rsidP="008D6407">
            <w:pPr>
              <w:rPr>
                <w:rFonts w:ascii="Arial" w:hAnsi="Arial" w:cs="Arial"/>
                <w:bCs/>
                <w:i/>
                <w:iCs/>
                <w:noProof/>
                <w:sz w:val="20"/>
                <w:szCs w:val="20"/>
              </w:rPr>
            </w:pPr>
            <w:r w:rsidRPr="008D6407">
              <w:rPr>
                <w:rFonts w:ascii="Arial" w:hAnsi="Arial" w:cs="Arial"/>
                <w:bCs/>
                <w:i/>
                <w:iCs/>
                <w:noProof/>
                <w:sz w:val="20"/>
                <w:szCs w:val="20"/>
              </w:rPr>
              <w:t>Values between 2 and 10 distributed normally</w:t>
            </w:r>
          </w:p>
        </w:tc>
        <w:tc>
          <w:tcPr>
            <w:tcW w:w="3060" w:type="dxa"/>
            <w:shd w:val="clear" w:color="auto" w:fill="FFFFFF" w:themeFill="background1"/>
          </w:tcPr>
          <w:p w14:paraId="3B994BFB" w14:textId="714102A1" w:rsidR="00F82336" w:rsidRPr="008D6407" w:rsidRDefault="00AE44A4" w:rsidP="008D6407">
            <w:pPr>
              <w:rPr>
                <w:rFonts w:ascii="Arial" w:hAnsi="Arial" w:cs="Arial"/>
                <w:bCs/>
                <w:i/>
                <w:iCs/>
                <w:noProof/>
                <w:sz w:val="20"/>
                <w:szCs w:val="20"/>
              </w:rPr>
            </w:pPr>
            <w:r w:rsidRPr="008D6407">
              <w:rPr>
                <w:rFonts w:ascii="Arial" w:hAnsi="Arial" w:cs="Arial"/>
                <w:bCs/>
                <w:i/>
                <w:iCs/>
                <w:noProof/>
                <w:sz w:val="20"/>
                <w:szCs w:val="20"/>
              </w:rPr>
              <w:t>Assumed</w:t>
            </w:r>
          </w:p>
        </w:tc>
      </w:tr>
      <w:tr w:rsidR="008A202C" w:rsidRPr="00F82336" w14:paraId="04047D06" w14:textId="77777777" w:rsidTr="008D6407">
        <w:trPr>
          <w:jc w:val="center"/>
        </w:trPr>
        <w:tc>
          <w:tcPr>
            <w:tcW w:w="2610" w:type="dxa"/>
            <w:shd w:val="clear" w:color="auto" w:fill="FFFFFF" w:themeFill="background1"/>
          </w:tcPr>
          <w:p w14:paraId="71376ECF" w14:textId="77777777" w:rsidR="008A202C" w:rsidRPr="008D6407" w:rsidRDefault="008A202C" w:rsidP="008D6407">
            <w:pPr>
              <w:pStyle w:val="Default"/>
              <w:rPr>
                <w:rFonts w:ascii="Arial" w:hAnsi="Arial" w:cs="Arial"/>
                <w:i/>
                <w:iCs/>
                <w:sz w:val="20"/>
                <w:szCs w:val="20"/>
              </w:rPr>
            </w:pPr>
          </w:p>
        </w:tc>
        <w:tc>
          <w:tcPr>
            <w:tcW w:w="3060" w:type="dxa"/>
            <w:shd w:val="clear" w:color="auto" w:fill="FFFFFF" w:themeFill="background1"/>
          </w:tcPr>
          <w:p w14:paraId="76A2F0FC" w14:textId="77777777" w:rsidR="008A202C" w:rsidRPr="008D6407" w:rsidRDefault="008A202C" w:rsidP="008D6407">
            <w:pPr>
              <w:rPr>
                <w:rFonts w:ascii="Arial" w:hAnsi="Arial" w:cs="Arial"/>
                <w:bCs/>
                <w:i/>
                <w:iCs/>
                <w:noProof/>
                <w:sz w:val="20"/>
                <w:szCs w:val="20"/>
              </w:rPr>
            </w:pPr>
          </w:p>
        </w:tc>
        <w:tc>
          <w:tcPr>
            <w:tcW w:w="3060" w:type="dxa"/>
            <w:shd w:val="clear" w:color="auto" w:fill="FFFFFF" w:themeFill="background1"/>
          </w:tcPr>
          <w:p w14:paraId="6403E210" w14:textId="77777777" w:rsidR="008A202C" w:rsidRPr="008D6407" w:rsidRDefault="008A202C" w:rsidP="008D6407">
            <w:pPr>
              <w:rPr>
                <w:rFonts w:ascii="Arial" w:hAnsi="Arial" w:cs="Arial"/>
                <w:bCs/>
                <w:i/>
                <w:iCs/>
                <w:noProof/>
                <w:sz w:val="20"/>
                <w:szCs w:val="20"/>
              </w:rPr>
            </w:pPr>
          </w:p>
        </w:tc>
      </w:tr>
      <w:tr w:rsidR="008A202C" w:rsidRPr="00F82336" w14:paraId="065C902E" w14:textId="77777777" w:rsidTr="008D6407">
        <w:trPr>
          <w:jc w:val="center"/>
        </w:trPr>
        <w:tc>
          <w:tcPr>
            <w:tcW w:w="2610" w:type="dxa"/>
            <w:shd w:val="clear" w:color="auto" w:fill="FFFFFF" w:themeFill="background1"/>
          </w:tcPr>
          <w:p w14:paraId="7D5CE4CE" w14:textId="3F581C73" w:rsidR="008A202C" w:rsidRPr="008D6407" w:rsidRDefault="008A202C" w:rsidP="008D6407">
            <w:pPr>
              <w:pStyle w:val="Default"/>
              <w:rPr>
                <w:rFonts w:ascii="Arial" w:hAnsi="Arial" w:cs="Arial"/>
                <w:i/>
                <w:iCs/>
                <w:sz w:val="20"/>
                <w:szCs w:val="20"/>
              </w:rPr>
            </w:pPr>
            <w:r>
              <w:rPr>
                <w:rFonts w:ascii="Arial" w:hAnsi="Arial" w:cs="Arial"/>
                <w:i/>
                <w:iCs/>
                <w:sz w:val="20"/>
                <w:szCs w:val="20"/>
                <w:u w:val="single"/>
              </w:rPr>
              <w:t>Losses from 2019-2030</w:t>
            </w:r>
          </w:p>
        </w:tc>
        <w:tc>
          <w:tcPr>
            <w:tcW w:w="3060" w:type="dxa"/>
            <w:shd w:val="clear" w:color="auto" w:fill="FFFFFF" w:themeFill="background1"/>
          </w:tcPr>
          <w:p w14:paraId="6FC2BF06" w14:textId="77777777" w:rsidR="008A202C" w:rsidRPr="008D6407" w:rsidRDefault="008A202C" w:rsidP="008D6407">
            <w:pPr>
              <w:rPr>
                <w:rFonts w:ascii="Arial" w:hAnsi="Arial" w:cs="Arial"/>
                <w:bCs/>
                <w:i/>
                <w:iCs/>
                <w:noProof/>
                <w:sz w:val="20"/>
                <w:szCs w:val="20"/>
              </w:rPr>
            </w:pPr>
          </w:p>
        </w:tc>
        <w:tc>
          <w:tcPr>
            <w:tcW w:w="3060" w:type="dxa"/>
            <w:shd w:val="clear" w:color="auto" w:fill="FFFFFF" w:themeFill="background1"/>
          </w:tcPr>
          <w:p w14:paraId="1D2743B1" w14:textId="77777777" w:rsidR="008A202C" w:rsidRPr="008D6407" w:rsidRDefault="008A202C" w:rsidP="008D6407">
            <w:pPr>
              <w:rPr>
                <w:rFonts w:ascii="Arial" w:hAnsi="Arial" w:cs="Arial"/>
                <w:bCs/>
                <w:i/>
                <w:iCs/>
                <w:noProof/>
                <w:sz w:val="20"/>
                <w:szCs w:val="20"/>
              </w:rPr>
            </w:pPr>
          </w:p>
        </w:tc>
      </w:tr>
      <w:tr w:rsidR="008A202C" w:rsidRPr="00F82336" w14:paraId="14F3495E" w14:textId="77777777" w:rsidTr="008D6407">
        <w:trPr>
          <w:jc w:val="center"/>
        </w:trPr>
        <w:tc>
          <w:tcPr>
            <w:tcW w:w="2610" w:type="dxa"/>
            <w:shd w:val="clear" w:color="auto" w:fill="FFFFFF" w:themeFill="background1"/>
          </w:tcPr>
          <w:p w14:paraId="0AF60485" w14:textId="4793D4E6" w:rsidR="008A202C" w:rsidRPr="008B7FBA" w:rsidRDefault="008A202C" w:rsidP="008D6407">
            <w:pPr>
              <w:pStyle w:val="Default"/>
              <w:rPr>
                <w:rFonts w:ascii="Arial" w:hAnsi="Arial" w:cs="Arial"/>
                <w:i/>
                <w:iCs/>
                <w:sz w:val="20"/>
                <w:szCs w:val="20"/>
              </w:rPr>
            </w:pPr>
            <w:r w:rsidRPr="008B7FBA">
              <w:rPr>
                <w:rFonts w:ascii="Arial" w:hAnsi="Arial" w:cs="Arial"/>
                <w:i/>
                <w:iCs/>
                <w:sz w:val="20"/>
                <w:szCs w:val="20"/>
              </w:rPr>
              <w:t>Annual increase unit cost of medicines</w:t>
            </w:r>
          </w:p>
        </w:tc>
        <w:tc>
          <w:tcPr>
            <w:tcW w:w="3060" w:type="dxa"/>
            <w:shd w:val="clear" w:color="auto" w:fill="FFFFFF" w:themeFill="background1"/>
          </w:tcPr>
          <w:p w14:paraId="1B18283A" w14:textId="7BD93C6F" w:rsidR="008A202C" w:rsidRPr="008D6407" w:rsidRDefault="008A202C" w:rsidP="008D6407">
            <w:pPr>
              <w:rPr>
                <w:rFonts w:ascii="Arial" w:hAnsi="Arial" w:cs="Arial"/>
                <w:bCs/>
                <w:i/>
                <w:iCs/>
                <w:noProof/>
                <w:sz w:val="20"/>
                <w:szCs w:val="20"/>
              </w:rPr>
            </w:pPr>
            <w:r>
              <w:rPr>
                <w:rFonts w:ascii="Arial" w:hAnsi="Arial" w:cs="Arial"/>
                <w:bCs/>
                <w:i/>
                <w:iCs/>
                <w:noProof/>
                <w:sz w:val="20"/>
                <w:szCs w:val="20"/>
              </w:rPr>
              <w:t>Values between 2% and 15%, distributed normally.</w:t>
            </w:r>
          </w:p>
        </w:tc>
        <w:tc>
          <w:tcPr>
            <w:tcW w:w="3060" w:type="dxa"/>
            <w:shd w:val="clear" w:color="auto" w:fill="FFFFFF" w:themeFill="background1"/>
          </w:tcPr>
          <w:p w14:paraId="08CBFE9C" w14:textId="0AC6EF9C" w:rsidR="008A202C" w:rsidRPr="008D6407" w:rsidRDefault="008A202C" w:rsidP="008D6407">
            <w:pPr>
              <w:rPr>
                <w:rFonts w:ascii="Arial" w:hAnsi="Arial" w:cs="Arial"/>
                <w:bCs/>
                <w:i/>
                <w:iCs/>
                <w:noProof/>
                <w:sz w:val="20"/>
                <w:szCs w:val="20"/>
              </w:rPr>
            </w:pPr>
            <w:r>
              <w:rPr>
                <w:rFonts w:ascii="Arial" w:hAnsi="Arial" w:cs="Arial"/>
                <w:bCs/>
                <w:i/>
                <w:iCs/>
                <w:noProof/>
                <w:sz w:val="20"/>
                <w:szCs w:val="20"/>
              </w:rPr>
              <w:t>Assumed</w:t>
            </w:r>
          </w:p>
        </w:tc>
      </w:tr>
      <w:tr w:rsidR="00222206" w:rsidRPr="00F82336" w14:paraId="7959311B" w14:textId="77777777" w:rsidTr="008D6407">
        <w:trPr>
          <w:jc w:val="center"/>
        </w:trPr>
        <w:tc>
          <w:tcPr>
            <w:tcW w:w="2610" w:type="dxa"/>
            <w:shd w:val="clear" w:color="auto" w:fill="FFFFFF" w:themeFill="background1"/>
          </w:tcPr>
          <w:p w14:paraId="515BFE1F" w14:textId="3C1D188A" w:rsidR="00222206" w:rsidRPr="00222206" w:rsidRDefault="00222206" w:rsidP="008D6407">
            <w:pPr>
              <w:pStyle w:val="Default"/>
              <w:rPr>
                <w:rFonts w:ascii="Arial" w:hAnsi="Arial" w:cs="Arial"/>
                <w:i/>
                <w:iCs/>
                <w:sz w:val="20"/>
                <w:szCs w:val="20"/>
              </w:rPr>
            </w:pPr>
            <w:r>
              <w:rPr>
                <w:rFonts w:ascii="Arial" w:hAnsi="Arial" w:cs="Arial"/>
                <w:i/>
                <w:iCs/>
                <w:sz w:val="20"/>
                <w:szCs w:val="20"/>
              </w:rPr>
              <w:t>Discount rate</w:t>
            </w:r>
          </w:p>
        </w:tc>
        <w:tc>
          <w:tcPr>
            <w:tcW w:w="3060" w:type="dxa"/>
            <w:shd w:val="clear" w:color="auto" w:fill="FFFFFF" w:themeFill="background1"/>
          </w:tcPr>
          <w:p w14:paraId="5130D4FC" w14:textId="7B9D82BE" w:rsidR="00222206" w:rsidRDefault="00222206" w:rsidP="008D6407">
            <w:pPr>
              <w:rPr>
                <w:rFonts w:ascii="Arial" w:hAnsi="Arial" w:cs="Arial"/>
                <w:bCs/>
                <w:i/>
                <w:iCs/>
                <w:noProof/>
                <w:sz w:val="20"/>
                <w:szCs w:val="20"/>
              </w:rPr>
            </w:pPr>
            <w:r>
              <w:rPr>
                <w:rFonts w:ascii="Arial" w:hAnsi="Arial" w:cs="Arial"/>
                <w:bCs/>
                <w:i/>
                <w:iCs/>
                <w:noProof/>
                <w:sz w:val="20"/>
                <w:szCs w:val="20"/>
              </w:rPr>
              <w:t>Values between 0% and 6%, distributed normally.</w:t>
            </w:r>
          </w:p>
        </w:tc>
        <w:tc>
          <w:tcPr>
            <w:tcW w:w="3060" w:type="dxa"/>
            <w:shd w:val="clear" w:color="auto" w:fill="FFFFFF" w:themeFill="background1"/>
          </w:tcPr>
          <w:p w14:paraId="5967ACB3" w14:textId="76F7CFC2" w:rsidR="00222206" w:rsidRDefault="00222206" w:rsidP="008D6407">
            <w:pPr>
              <w:rPr>
                <w:rFonts w:ascii="Arial" w:hAnsi="Arial" w:cs="Arial"/>
                <w:bCs/>
                <w:i/>
                <w:iCs/>
                <w:noProof/>
                <w:sz w:val="20"/>
                <w:szCs w:val="20"/>
              </w:rPr>
            </w:pPr>
            <w:r w:rsidRPr="00222206">
              <w:rPr>
                <w:rFonts w:ascii="Arial" w:hAnsi="Arial" w:cs="Arial"/>
                <w:bCs/>
                <w:i/>
                <w:iCs/>
                <w:noProof/>
                <w:sz w:val="20"/>
                <w:szCs w:val="20"/>
              </w:rPr>
              <w:t>T</w:t>
            </w:r>
            <w:r>
              <w:rPr>
                <w:rFonts w:ascii="Arial" w:hAnsi="Arial" w:cs="Arial"/>
                <w:bCs/>
                <w:i/>
                <w:iCs/>
                <w:noProof/>
                <w:sz w:val="20"/>
                <w:szCs w:val="20"/>
              </w:rPr>
              <w:t>an</w:t>
            </w:r>
            <w:r w:rsidRPr="00222206">
              <w:rPr>
                <w:rFonts w:ascii="Arial" w:hAnsi="Arial" w:cs="Arial"/>
                <w:bCs/>
                <w:i/>
                <w:iCs/>
                <w:noProof/>
                <w:sz w:val="20"/>
                <w:szCs w:val="20"/>
              </w:rPr>
              <w:t>-T</w:t>
            </w:r>
            <w:r>
              <w:rPr>
                <w:rFonts w:ascii="Arial" w:hAnsi="Arial" w:cs="Arial"/>
                <w:bCs/>
                <w:i/>
                <w:iCs/>
                <w:noProof/>
                <w:sz w:val="20"/>
                <w:szCs w:val="20"/>
              </w:rPr>
              <w:t xml:space="preserve">orres </w:t>
            </w:r>
            <w:r w:rsidRPr="00222206">
              <w:rPr>
                <w:rFonts w:ascii="Arial" w:hAnsi="Arial" w:cs="Arial"/>
                <w:bCs/>
                <w:i/>
                <w:iCs/>
                <w:noProof/>
                <w:sz w:val="20"/>
                <w:szCs w:val="20"/>
              </w:rPr>
              <w:t>E</w:t>
            </w:r>
            <w:r>
              <w:rPr>
                <w:rFonts w:ascii="Arial" w:hAnsi="Arial" w:cs="Arial"/>
                <w:bCs/>
                <w:i/>
                <w:iCs/>
                <w:noProof/>
                <w:sz w:val="20"/>
                <w:szCs w:val="20"/>
              </w:rPr>
              <w:t>dejer et al.</w:t>
            </w:r>
            <w:r>
              <w:rPr>
                <w:rFonts w:ascii="Arial" w:hAnsi="Arial" w:cs="Arial"/>
                <w:bCs/>
                <w:i/>
                <w:iCs/>
                <w:noProof/>
                <w:sz w:val="20"/>
                <w:szCs w:val="20"/>
              </w:rPr>
              <w:fldChar w:fldCharType="begin"/>
            </w:r>
            <w:r w:rsidR="0081559F">
              <w:rPr>
                <w:rFonts w:ascii="Arial" w:hAnsi="Arial" w:cs="Arial"/>
                <w:bCs/>
                <w:i/>
                <w:iCs/>
                <w:noProof/>
                <w:sz w:val="20"/>
                <w:szCs w:val="20"/>
              </w:rPr>
              <w:instrText xml:space="preserve"> ADDIN ZOTERO_ITEM CSL_CITATION {"citationID":"ADgLDRW9","properties":{"formattedCitation":"[44]","plainCitation":"[44]","noteIndex":0},"citationItems":[{"id":845,"uris":["http://zotero.org/users/local/p8g0WsVO/items/J4DH2HGX"],"itemData":{"id":845,"type":"webpage","title":"Making choices in health: WHO guide to cost-effectiveness analysis","URL":"http://www.who.int/choice/publications/p_2003_generalised_cea.pdf","author":[{"family":"Tan-Torres Edejer","given":""}],"accessed":{"date-parts":[["2017",6,16]]}}}],"schema":"https://github.com/citation-style-language/schema/raw/master/csl-citation.json"} </w:instrText>
            </w:r>
            <w:r>
              <w:rPr>
                <w:rFonts w:ascii="Arial" w:hAnsi="Arial" w:cs="Arial"/>
                <w:bCs/>
                <w:i/>
                <w:iCs/>
                <w:noProof/>
                <w:sz w:val="20"/>
                <w:szCs w:val="20"/>
              </w:rPr>
              <w:fldChar w:fldCharType="separate"/>
            </w:r>
            <w:r w:rsidR="0081559F">
              <w:rPr>
                <w:rFonts w:ascii="Arial" w:hAnsi="Arial" w:cs="Arial"/>
                <w:sz w:val="20"/>
              </w:rPr>
              <w:t>[44]</w:t>
            </w:r>
            <w:r>
              <w:rPr>
                <w:rFonts w:ascii="Arial" w:hAnsi="Arial" w:cs="Arial"/>
                <w:bCs/>
                <w:i/>
                <w:iCs/>
                <w:noProof/>
                <w:sz w:val="20"/>
                <w:szCs w:val="20"/>
              </w:rPr>
              <w:fldChar w:fldCharType="end"/>
            </w:r>
          </w:p>
        </w:tc>
      </w:tr>
    </w:tbl>
    <w:p w14:paraId="2CCAD90E" w14:textId="77777777" w:rsidR="00584DD7" w:rsidRDefault="00584DD7" w:rsidP="001F1C09">
      <w:pPr>
        <w:ind w:left="720"/>
        <w:jc w:val="both"/>
        <w:rPr>
          <w:rFonts w:ascii="Arial" w:hAnsi="Arial" w:cs="Arial"/>
          <w:sz w:val="22"/>
          <w:szCs w:val="22"/>
        </w:rPr>
      </w:pPr>
    </w:p>
    <w:p w14:paraId="6192E76F" w14:textId="549802F8" w:rsidR="00AB5DEF" w:rsidRPr="0029347F" w:rsidRDefault="00AB5DEF" w:rsidP="0041570D">
      <w:pPr>
        <w:pStyle w:val="Heading2"/>
      </w:pPr>
      <w:bookmarkStart w:id="49" w:name="_Toc64459927"/>
      <w:bookmarkStart w:id="50" w:name="_Toc81857632"/>
      <w:r>
        <w:t>Section 8. Literature Review</w:t>
      </w:r>
      <w:bookmarkEnd w:id="49"/>
      <w:bookmarkEnd w:id="50"/>
    </w:p>
    <w:p w14:paraId="2D8EFD29" w14:textId="44385A5E" w:rsidR="00AB5DEF" w:rsidRDefault="00AB5DEF" w:rsidP="005D7657">
      <w:pPr>
        <w:jc w:val="both"/>
        <w:rPr>
          <w:rFonts w:ascii="Arial" w:hAnsi="Arial" w:cs="Arial"/>
          <w:b/>
          <w:sz w:val="22"/>
          <w:szCs w:val="22"/>
        </w:rPr>
      </w:pPr>
    </w:p>
    <w:p w14:paraId="4C4B5286" w14:textId="2393AEA1" w:rsidR="00AB5DEF" w:rsidRPr="001F1C09" w:rsidRDefault="00AB5DEF" w:rsidP="008D6407">
      <w:pPr>
        <w:ind w:left="720"/>
        <w:jc w:val="both"/>
        <w:rPr>
          <w:rFonts w:ascii="Arial" w:hAnsi="Arial" w:cs="Arial"/>
          <w:sz w:val="22"/>
          <w:szCs w:val="22"/>
        </w:rPr>
      </w:pPr>
      <w:r>
        <w:rPr>
          <w:rFonts w:ascii="Arial" w:hAnsi="Arial" w:cs="Arial"/>
          <w:sz w:val="22"/>
          <w:szCs w:val="22"/>
        </w:rPr>
        <w:lastRenderedPageBreak/>
        <w:t>We</w:t>
      </w:r>
      <w:r w:rsidRPr="001F1C09">
        <w:rPr>
          <w:rFonts w:ascii="Arial" w:hAnsi="Arial" w:cs="Arial"/>
          <w:sz w:val="22"/>
          <w:szCs w:val="22"/>
        </w:rPr>
        <w:t xml:space="preserve"> first searched for literature on the costs or economics of HSV diseases. </w:t>
      </w:r>
      <w:r>
        <w:rPr>
          <w:rFonts w:ascii="Arial" w:hAnsi="Arial" w:cs="Arial"/>
          <w:sz w:val="22"/>
          <w:szCs w:val="22"/>
        </w:rPr>
        <w:t>We</w:t>
      </w:r>
      <w:r w:rsidRPr="001F1C09">
        <w:rPr>
          <w:rFonts w:ascii="Arial" w:hAnsi="Arial" w:cs="Arial"/>
          <w:sz w:val="22"/>
          <w:szCs w:val="22"/>
        </w:rPr>
        <w:t xml:space="preserve"> then searched for literature that linked HSV diseases to individual, household, community, and </w:t>
      </w:r>
      <w:r>
        <w:rPr>
          <w:rFonts w:ascii="Arial" w:hAnsi="Arial" w:cs="Arial"/>
          <w:sz w:val="22"/>
          <w:szCs w:val="22"/>
        </w:rPr>
        <w:t>macroeconomic outcomes</w:t>
      </w:r>
      <w:r w:rsidRPr="001F1C09">
        <w:rPr>
          <w:rFonts w:ascii="Arial" w:hAnsi="Arial" w:cs="Arial"/>
          <w:sz w:val="22"/>
          <w:szCs w:val="22"/>
        </w:rPr>
        <w:t xml:space="preserve">. </w:t>
      </w:r>
      <w:r>
        <w:rPr>
          <w:rFonts w:ascii="Arial" w:hAnsi="Arial" w:cs="Arial"/>
          <w:sz w:val="22"/>
          <w:szCs w:val="22"/>
        </w:rPr>
        <w:t xml:space="preserve">We constructed a </w:t>
      </w:r>
      <w:r w:rsidRPr="001F1C09">
        <w:rPr>
          <w:rFonts w:ascii="Arial" w:hAnsi="Arial" w:cs="Arial"/>
          <w:sz w:val="22"/>
          <w:szCs w:val="22"/>
        </w:rPr>
        <w:t xml:space="preserve">list of impact areas </w:t>
      </w:r>
      <w:r>
        <w:rPr>
          <w:rFonts w:ascii="Arial" w:hAnsi="Arial" w:cs="Arial"/>
          <w:sz w:val="22"/>
          <w:szCs w:val="22"/>
        </w:rPr>
        <w:t xml:space="preserve">from the two reviews, then used those areas for targeted searches. </w:t>
      </w:r>
      <w:r w:rsidRPr="001F1C09">
        <w:rPr>
          <w:rFonts w:ascii="Arial" w:hAnsi="Arial" w:cs="Arial"/>
          <w:sz w:val="22"/>
          <w:szCs w:val="22"/>
        </w:rPr>
        <w:t xml:space="preserve">Lastly, </w:t>
      </w:r>
      <w:r>
        <w:rPr>
          <w:rFonts w:ascii="Arial" w:hAnsi="Arial" w:cs="Arial"/>
          <w:sz w:val="22"/>
          <w:szCs w:val="22"/>
        </w:rPr>
        <w:t>we</w:t>
      </w:r>
      <w:r w:rsidRPr="001F1C09">
        <w:rPr>
          <w:rFonts w:ascii="Arial" w:hAnsi="Arial" w:cs="Arial"/>
          <w:sz w:val="22"/>
          <w:szCs w:val="22"/>
        </w:rPr>
        <w:t xml:space="preserve"> searched for literature that identified prior compilations of </w:t>
      </w:r>
      <w:r>
        <w:rPr>
          <w:rFonts w:ascii="Arial" w:hAnsi="Arial" w:cs="Arial"/>
          <w:sz w:val="22"/>
          <w:szCs w:val="22"/>
        </w:rPr>
        <w:t xml:space="preserve">HSV outcomes or </w:t>
      </w:r>
      <w:r w:rsidRPr="001F1C09">
        <w:rPr>
          <w:rFonts w:ascii="Arial" w:hAnsi="Arial" w:cs="Arial"/>
          <w:sz w:val="22"/>
          <w:szCs w:val="22"/>
        </w:rPr>
        <w:t xml:space="preserve">disease reducing interventions. </w:t>
      </w:r>
      <w:r>
        <w:rPr>
          <w:rFonts w:ascii="Arial" w:hAnsi="Arial" w:cs="Arial"/>
          <w:sz w:val="22"/>
          <w:szCs w:val="22"/>
        </w:rPr>
        <w:t>We</w:t>
      </w:r>
      <w:r w:rsidRPr="001F1C09">
        <w:rPr>
          <w:rFonts w:ascii="Arial" w:hAnsi="Arial" w:cs="Arial"/>
          <w:sz w:val="22"/>
          <w:szCs w:val="22"/>
        </w:rPr>
        <w:t xml:space="preserve"> used the query strings listed in Table </w:t>
      </w:r>
      <w:r w:rsidR="00CA5C21">
        <w:rPr>
          <w:rFonts w:ascii="Arial" w:hAnsi="Arial" w:cs="Arial"/>
          <w:sz w:val="22"/>
          <w:szCs w:val="22"/>
        </w:rPr>
        <w:t>4</w:t>
      </w:r>
      <w:r w:rsidRPr="001F1C09">
        <w:rPr>
          <w:rFonts w:ascii="Arial" w:hAnsi="Arial" w:cs="Arial"/>
          <w:sz w:val="22"/>
          <w:szCs w:val="22"/>
        </w:rPr>
        <w:t xml:space="preserve"> along with the impact areas listed in Table </w:t>
      </w:r>
      <w:r w:rsidR="00CA5C21">
        <w:rPr>
          <w:rFonts w:ascii="Arial" w:hAnsi="Arial" w:cs="Arial"/>
          <w:sz w:val="22"/>
          <w:szCs w:val="22"/>
        </w:rPr>
        <w:t>5</w:t>
      </w:r>
      <w:r w:rsidRPr="001F1C09">
        <w:rPr>
          <w:rFonts w:ascii="Arial" w:hAnsi="Arial" w:cs="Arial"/>
          <w:sz w:val="22"/>
          <w:szCs w:val="22"/>
        </w:rPr>
        <w:t xml:space="preserve">. </w:t>
      </w:r>
      <w:r>
        <w:rPr>
          <w:rFonts w:ascii="Arial" w:hAnsi="Arial" w:cs="Arial"/>
          <w:sz w:val="22"/>
          <w:szCs w:val="22"/>
        </w:rPr>
        <w:t>We</w:t>
      </w:r>
      <w:r w:rsidRPr="001F1C09">
        <w:rPr>
          <w:rFonts w:ascii="Arial" w:hAnsi="Arial" w:cs="Arial"/>
          <w:sz w:val="22"/>
          <w:szCs w:val="22"/>
        </w:rPr>
        <w:t xml:space="preserve"> summarize </w:t>
      </w:r>
      <w:r>
        <w:rPr>
          <w:rFonts w:ascii="Arial" w:hAnsi="Arial" w:cs="Arial"/>
          <w:sz w:val="22"/>
          <w:szCs w:val="22"/>
        </w:rPr>
        <w:t>our</w:t>
      </w:r>
      <w:r w:rsidRPr="001F1C09">
        <w:rPr>
          <w:rFonts w:ascii="Arial" w:hAnsi="Arial" w:cs="Arial"/>
          <w:sz w:val="22"/>
          <w:szCs w:val="22"/>
        </w:rPr>
        <w:t xml:space="preserve"> results in </w:t>
      </w:r>
      <w:r>
        <w:rPr>
          <w:rFonts w:ascii="Arial" w:hAnsi="Arial" w:cs="Arial"/>
          <w:sz w:val="22"/>
          <w:szCs w:val="22"/>
        </w:rPr>
        <w:t xml:space="preserve">the PRISMA diagram in Figure </w:t>
      </w:r>
      <w:r w:rsidR="00CA5C21">
        <w:rPr>
          <w:rFonts w:ascii="Arial" w:hAnsi="Arial" w:cs="Arial"/>
          <w:sz w:val="22"/>
          <w:szCs w:val="22"/>
        </w:rPr>
        <w:t>2</w:t>
      </w:r>
      <w:r w:rsidRPr="001F1C09">
        <w:rPr>
          <w:rFonts w:ascii="Arial" w:hAnsi="Arial" w:cs="Arial"/>
          <w:sz w:val="22"/>
          <w:szCs w:val="22"/>
        </w:rPr>
        <w:t>.</w:t>
      </w:r>
    </w:p>
    <w:p w14:paraId="3E2A6FFC" w14:textId="1254C37E" w:rsidR="00025823" w:rsidRDefault="00025823" w:rsidP="0041570D">
      <w:pPr>
        <w:pStyle w:val="Heading2"/>
      </w:pPr>
    </w:p>
    <w:p w14:paraId="1D2025AF" w14:textId="4CB73918" w:rsidR="003F1DE7" w:rsidRPr="003F1DE7" w:rsidRDefault="003F1DE7" w:rsidP="008D6407">
      <w:pPr>
        <w:tabs>
          <w:tab w:val="left" w:pos="1693"/>
        </w:tabs>
        <w:ind w:left="720"/>
        <w:jc w:val="both"/>
        <w:rPr>
          <w:rFonts w:ascii="Arial" w:hAnsi="Arial" w:cs="Arial"/>
          <w:sz w:val="22"/>
          <w:szCs w:val="22"/>
        </w:rPr>
      </w:pPr>
      <w:r>
        <w:rPr>
          <w:rFonts w:ascii="Arial" w:hAnsi="Arial" w:cs="Arial"/>
          <w:sz w:val="22"/>
          <w:szCs w:val="22"/>
        </w:rPr>
        <w:t>We</w:t>
      </w:r>
      <w:r w:rsidRPr="003F1DE7">
        <w:rPr>
          <w:rFonts w:ascii="Arial" w:hAnsi="Arial" w:cs="Arial"/>
          <w:sz w:val="22"/>
          <w:szCs w:val="22"/>
        </w:rPr>
        <w:t xml:space="preserve"> reviewed a total of 2070 articles from the scoping reviews, which suggested that genital herpes is associated with emotional distress and stigma</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{"citationID":"6IXd75uF","properties":{"formattedCitation":"[45]","plainCitation":"[45]","noteIndex":0},"citationItems":[{"id":26848,"uris":["http://zotero.org/users/local/p8g0WsVO/items/NLDIY5N9"],"itemData":{"id":26848,"type":"article-journal","abstract":"OBJECTIVE: Depressed mood is common in pregnancy, is associated with stress, and could result in immune suppression that may lead to latent herpes viral reactivation. This study investigated whether depressed mood is associated with higher herpes viral IgG levels in pregnant women.\nMETHODS: Complete cross-sectional data from 247 pregnant women were available for this substudy. The data included demographics, scores on the Perceived Stress Scale and Profile of Mood States (POMS), and a panel of serum IgG levels for human herpesviruses.\nRESULTS: Only the herpes simplex virus type 2 (HSV-2) (genital herpes) IgG level was associated with Perceived Stress Scale and POMS-Depression/Dejection (POMS-D) score. Hierarchical multiple regression analysis was used to examine the association of POMS-D with herpesviral IgG levels adjusting for demographic variables. In the final model, African American race (β = .251, p &lt; .001), older age (β = .199, p = .002), single marital status (β = -.304, p &lt; .001), and depressed mood (β = .122, p = .04) were associated with HSV-2 IgG levels. In logistic regression, the strongest correlates of HSV IgG positivity were single marital status, followed by POMS-D scores and African American race.\nCONCLUSION: Genital herpes is a concern in pregnancy. Antibody titers may indicate asymptomatic viral shedding, viral reactivation, or primary viral infection. Antibody levels may be higher because of the immune changes during pregnancy and potential immune effects of depressed mood causing reactivation of latent HSV-2.","container-title":"Psychosomatic Medicine","DOI":"10.1097/PSY.0000000000000374","ISSN":"1534-7796","issue":"8","journalAbbreviation":"Psychosom Med","language":"eng","note":"PMID: 27490851\nPMCID: PMC5067962","page":"966-972","source":"PubMed","title":"Association of Depressed Mood With Herpes Simplex Virus-2 Immunoglobulin-G Levels in Pregnancy","volume":"78","author":[{"family":"Hsu","given":"Pao-Chu"},{"family":"Yolken","given":"Robert H."},{"family":"Postolache","given":"Teodor T."},{"family":"Beckie","given":"Theresa M."},{"family":"Munro","given":"Cindy L."},{"family":"Groer","given":"Maureen W."}],"issued":{"date-parts":[["2016"]]}}}],"schema":"https://github.com/citation-style-language/schema/raw/master/csl-citation.json"}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[45]</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{"citationID":"OKZJXzYH","properties":{"formattedCitation":"[46]","plainCitation":"[46]","noteIndex":0},"citationItems":[{"id":26871,"uris":["http://zotero.org/users/local/p8g0WsVO/items/69XQWW5B"],"itemData":{"id":26871,"type":"article-journal","abstract":"This article reviews the psychological consequences of genital herpes infection through the lens of a recently proposed framework for conceptualizing concealable stigmas. We incorporate research on identity, stigma, and the connection between psychological and physical health to outline how negative stigma-related psychological consequences perpetuate distress associated with genital herpes. Our review of the research suggests a model linking negative affect and poor coping to frequent recurrences of genital herpes outbreaks. Frequent outbreaks, in turn, increase the salience of the stigma, reinforcing a stigmatized self-schema, thereby creating negative psychological consequences, continuing the cycle. We conclude by discussing the implications of this model for future research and mental health treatment.","container-title":"Journal of Health Psychology","DOI":"10.1177/1359105310367528","ISSN":"1461-7277","issue":"1","journalAbbreviation":"J Health Psychol","language":"eng","note":"PMID: 20656766","page":"80-90","source":"PubMed","title":"The psychological impact of genital herpes stigma","volume":"16","author":[{"family":"Merin","given":"Abigail"},{"family":"Pachankis","given":"John E."}],"issued":{"date-parts":[["2011",1]]}}}],"schema":"https://github.com/citation-style-language/schema/raw/master/csl-citation.json"}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[46]</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{"citationID":"lhf5zQy1","properties":{"formattedCitation":"[47]","plainCitation":"[47]","noteIndex":0},"citationItems":[{"id":26873,"uris":["http://zotero.org/users/local/p8g0WsVO/items/VGGMDTFE"],"itemData":{"id":26873,"type":"article-journal","abstract":"The objectives of this study were to assess the nature and effect of stigma on disclosure of diagnosis to sexual partners among those with problematic disease. Data from questionnaires and semistructured interviews were collected and analysed. Data regarding anxiety were also collected using a validated tool. Ethical approval was received from the Chelsea and Westminster Healthcare National Health Service (NHS) Trust. Disclosure of diagnosis tended to occur in the context of established relationships. Herpes-related stigma was associated with non-disclosure of diagnosis to sexual partners. The point prevalence of moderate to severe anxiety in this sample was 32%. The use of suppressive medication did not affect anxiety scores. In conclusion, the reaction to a diagnosis of genital herpes is influenced by a socially constructed understanding and the decision to disclose or not is influenced by this. Stigma is a barrier to disclosure of genital herpes diagnosis. Management strategies aimed at encouraging disclosure to partners must address perceived stigma.","container-title":"International journal of STD &amp; AIDS","DOI":"10.1258/095646207781568484","ISSN":"0956-4624","issue":"9","journalAbbreviation":"Int J STD AIDS","language":"eng","note":"PMID: 17784999","page":"589-592","source":"PubMed","title":"Chronic genital herpes and disclosure.... The influence of stigma","volume":"18","author":[{"family":"Bickford","given":"J."},{"family":"Barton","given":"S. E."},{"family":"Mandalia","given":"S."}],"issued":{"date-parts":[["2007",9]]}}}],"schema":"https://github.com/citation-style-language/schema/raw/master/csl-citation.json"}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[47]</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{"citationID":"loxqbZF0","properties":{"formattedCitation":"[48]","plainCitation":"[48]","noteIndex":0},"citationItems":[{"id":26875,"uris":["http://zotero.org/users/local/p8g0WsVO/items/Y57GFBH4"],"itemData":{"id":26875,"type":"article-journal","abstract":"Stigma affects both herpes-infected and uninfected people. The stigma associated with genital herpes may influence a person's decision to seek care or disclose the infection to others. For uninfected people, the threat of the stigma associated with sexually transmitted infections (STIs) is an integral tool of clinical and public health approaches to genital herpes prevention. This paper reviews concepts of stigma in relation to the prevention and treatment of genital herpes and other STIs, and calls for those involved in STI care to weigh the extent that public health response is altruistic, moral and effective against the substantial, although incomplete, evidence of harm caused by stigma.","container-title":"Herpes: the journal of the IHMF","ISSN":"0969-7667","issue":"1","journalAbbreviation":"Herpes","language":"eng","note":"PMID: 15115631","page":"8-11","source":"PubMed","title":"The effects of stigma on genital herpes care-seeking behaviours","volume":"11","author":[{"family":"Fortenberry","given":"J. Dennis"}],"issued":{"date-parts":[["2004",4]]}}}],"schema":"https://github.com/citation-style-language/schema/raw/master/csl-citation.json"}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[48]</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{"citationID":"OtxaJ5QD","properties":{"formattedCitation":"[49]","plainCitation":"[49]","noteIndex":0},"citationItems":[{"id":26877,"uris":["http://zotero.org/users/local/p8g0WsVO/items/EYDJJ5PI"],"itemData":{"id":26877,"type":"article-journal","abstract":"This paper defines stigma and its characteristics, outlines strategies and consequences of stigma management, describes the theoretical basis of stigma, and offers methodological considerations for those applying stigma theory to the domain of genital herpes. Stigma is an interactional process, defined within societies, in which particular social identities are collectively devalued. The subjective experience of stigma may vary due to features associated with the stigmatizing condition (e.g. concealability, course, strain, aesthetic qualities, cause and peril). The interpersonal management of stigma may include secrecy, withdrawal, covering, informing or disclosing. Future research addressing herpes-associated stigma should benefit from theoretical frameworks including attribution theory, social-cognitive theory, preoccupation model of secrecy and the illness intrusiveness framework, although the difficulty in identifying and recruiting stigmatized individuals and the lack of domain-specific measures of herpes-related stigma remain barriers to progress.","container-title":"Herpes: the journal of the IHMF","ISSN":"0969-7667","issue":"1","journalAbbreviation":"Herpes","language":"eng","note":"PMID: 15115630","page":"4-7","source":"PubMed","title":"The theoretical basis of stigma as applied to genital herpes","volume":"11","author":[{"family":"Breitkopf","given":"Carmen Radecki"}],"issued":{"date-parts":[["2004",4]]}}}],"schema":"https://github.com/citation-style-language/schema/raw/master/csl-citation.json"}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[49]</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{"citationID":"Iatq4T3E","properties":{"formattedCitation":"[50]","plainCitation":"[50]","noteIndex":0},"citationItems":[{"id":26879,"uris":["http://zotero.org/users/local/p8g0WsVO/items/2SCP5JPH"],"itemData":{"id":26879,"type":"article-journal","abstract":"HIV associated stigma is still prevalent throughout Africa despite the spread of the epidemic. Stigma is also attached to sexually transmitted infections (STIs). Despite the importance of STIs, particularly genital ulceration in facilitating heterosexual HIV transmission, policymakers continue to focus mainly on other priorities. It would appear that this lack of public health initiative in tackling genital ulcers is itself an example of stigmatisation. Possible explanations for this include geographical variation in the data and a perception that genital ulcers are not a topic that can be discussed freely and openly. HIV policymakers in countries worst affected by HIV in Africa should examine their own opinions for bias when determining public health priorities for HIV prevention. The importance of genital ulcers should be reassessed and publicised.","container-title":"Sexually Transmitted Infections","ISSN":"1368-4973","issue":"2","journalAbbreviation":"Sex Transm Infect","language":"eng","note":"PMID: 12081179\nPMCID: PMC1744426","page":"143-146","source":"PubMed","title":"Genital ulcers, stigma, HIV, and STI control in sub-Saharan Africa","volume":"78","author":[{"family":"O'Farrell","given":"N."}],"issued":{"date-parts":[["2002",4]]}}}],"schema":"https://github.com/citation-style-language/schema/raw/master/csl-citation.json"}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[50]</w:t>
      </w:r>
      <w:r w:rsidRPr="003F1DE7">
        <w:rPr>
          <w:rFonts w:ascii="Arial" w:hAnsi="Arial" w:cs="Arial"/>
          <w:sz w:val="22"/>
          <w:szCs w:val="22"/>
        </w:rPr>
        <w:fldChar w:fldCharType="end"/>
      </w:r>
      <w:r w:rsidRPr="003F1DE7">
        <w:rPr>
          <w:rFonts w:ascii="Arial" w:hAnsi="Arial" w:cs="Arial"/>
          <w:sz w:val="22"/>
          <w:szCs w:val="22"/>
        </w:rPr>
        <w:t>, intimate partner violence</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{"citationID":"jaH2AJEb","properties":{"formattedCitation":"[51]","plainCitation":"[51]","noteIndex":0},"citationItems":[{"id":26820,"uris":["http://zotero.org/users/local/p8g0WsVO/items/FNQ3VKMG"],"itemData":{"id":26820,"type":"article-journal","abstract":"OBJECTIVES: To assess the course of immune control over Herpes simplex virus type 1 (HSV-1) through three salivary measures: neutralization of HSV-1, levels of specific antibody against HSV-1 (HSV-1-sIgA) and total immunoglobulin A (total sIgA), and to determine the factors that contribute to its recovery or deterioration. Several studies have demonstrated that intimate partner violence (IPV) affects immune responses in women, but none have investigated the impact longitudinally over time.\nMETHODS: Women (n = 60), who participated in our previous cross-sectional study (T-1) and who had been either physically/psychologically (n = 22) or psychologically abused (n = 14) by their partners, were evaluated 3 years later (T-2). A control group of women (n = 24) was included for comparison. Saliva samples were collected twice a day (8 AM-9 AM, and 8 PM-9 PM) on 2 days spaced 2 weeks apart. Information about psychological and lifestyle variables was obtained by structured interviews.\nRESULTS: Physically/psychologically abused women had a significant improvement in both the capacity to neutralize HSV-1 and HSV-sIgA levels, and at T-2 the capacity of their saliva to inhibit virus was no longer different from the other two groups. Regression analysis indicated that the cessation of physical IPV was the main predictor of this recovery.\nCONCLUSIONS: This study shows that recovery of immune control over HSV-1 is possible in women who had been exposed to physical/psychological IPV despite an initially low antiviral capacity. Other longitudinal studies are needed to determine which factors best predict the restoration of physical and emotional well-being in order to design more effective intervention programs.","container-title":"Psychosomatic Medicine","DOI":"10.1097/PSY.0b013e3181c5080a","ISSN":"1534-7796","issue":"1","journalAbbreviation":"Psychosom Med","language":"eng","note":"PMID: 19933506","page":"97-106","source":"PubMed","title":"Recovery of immune control over herpes simplex virus type 1 in female victims of intimate partner violence","volume":"72","author":[{"family":"Sanchez-Lorente","given":"Segunda"},{"family":"Blasco-Ros","given":"Concepcion"},{"family":"Coe","given":"Christopher L."},{"family":"Martinez","given":"Manuela"}],"issued":{"date-parts":[["2010",1]]}}}],"schema":"https://github.com/citation-style-language/schema/raw/master/csl-citation.json"}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[51]</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{"citationID":"eIrEV8ak","properties":{"formattedCitation":"[52]","plainCitation":"[52]","noteIndex":0},"citationItems":[{"id":26822,"uris":["http://zotero.org/users/local/p8g0WsVO/items/G5SZEDLA"],"itemData":{"id":26822,"type":"article-journal","abstract":"The goal of this study was to measure the prevalence of intimate partner violence (IPV) against women and to examine the independent association of sexual risk factors of women and their husbands/partners with IPV. We used data from 2,169 couples from the 2005 Rwanda Demographic and Health Survey. Face-to-face interviews were conducted, and multiple logistic regression was used to calculate adjusted odds ratios (AOR) and 95% confidence intervals (CI). A total of 560 (29.2%), 415 (22.2%), and 233 (12.4%) women reported any physical, psychological, or sexual IPV, respectively. History of genital ulcer in women was significantly associated with psychological IPV (AOR: 2.77; 95% CI: 1.67-4.59), whereas history of genital ulcer reported by husbands/partners was significantly associated with sexual IPV (AOR 2.80, 95% CI: 1.08-7.29). The number of lifetime sexual partners of husbands was positively associated with increasing odds of their wives being exposed to psychological IPV (p = 0.025) and physical IPV (p = .017). In a representative sample of couples, husbands/partners' sexual risk factors were associated with IPV reported by their wives. Genital ulcer appeared to be a risk marker for the presence of IPV victimization/perpetration.","container-title":"Women &amp; Health","DOI":"10.1080/03630242.2014.896444","ISSN":"1541-0331","issue":"4","journalAbbreviation":"Women Health","language":"eng","note":"PMID: 24617820","page":"301-316","source":"PubMed","title":"Sexual risk factors associated with intimate partner violence against women in Rwanda: a couples-based analysis","title-short":"Sexual risk factors associated with intimate partner violence against women in Rwanda","volume":"54","author":[{"family":"Kayibanda","given":"Jeanne Françoise"},{"family":"Bitera","given":"Raphaël"},{"family":"Demers","given":"Eric"},{"family":"Moisan","given":"Jocelyne"},{"family":"Alary","given":"Michel"}],"issued":{"date-parts":[["2014"]]}}}],"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[52]</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{"citationID":"bspb0rSk","properties":{"formattedCitation":"[53]","plainCitation":"[53]","noteIndex":0},"citationItems":[{"id":26824,"uris":["http://zotero.org/users/local/p8g0WsVO/items/5C6WTQQP"],"itemData":{"id":26824,"type":"article-journal","abstract":"PURPOSE: To examine associations between (1) youth violence victimization and perpetration and later sexually transmitted infections (STI) and (2) parent-family and school connectedness and later STI, and to explore the moderating role of connectedness on the associations between youth violence victimization and perpetration and later STI.\nMETHODS: We used data from Waves I and IV of the National Longitudinal Study of Adolescent Health, which provided a baseline weighted sample of 14,800 respondents. We used logistic regression to examine associations between youth violence and connectedness with self-reported ever STI diagnosis, including gonorrhea, chlamydia, syphilis, genital herpes, genital warts or human papillomavirus, or human immunodeficiency virus. If participants reported having an STI at Wave I they were excluded from the analysis.\nRESULTS: Controlling for biological sex, race/ethnicity, age, parent's highest education level, and parent's marital status, both youth violence victimization and perpetration were associated with an increased risk of later STI (adjusted odds ratio [AOR], 1.27, 95% confidence interval [CI], 1.07-1.52; and AOR, 1.21, 95% CI, 1.04-1.41, respectively). Parent-family and school connectedness in adolescence were associated with a decreased risk for later STI (AOR, .96, 95% CI, .95-.98; and AOR, .97, 95% CI, .95-.99, respectively); however, connectedness did not moderate the associations between nonsexual violence involvement and later STI.\nCONCLUSIONS: These results indicate that youth violence victimization and perpetration may be risk factors for STI later in life. Conversely, parent-family and school connectedness in adolescence appear to protect against subsequent STI. The findings suggest that provider efforts to address youth violence and connectedness in adolescence can promote positive sexual health outcomes in adulthood.","container-title":"The Journal of Adolescent Health: Official Publication of the Society for Adolescent Medicine","DOI":"10.1016/j.jadohealth.2013.09.008","ISSN":"1879-1972","issue":"3","journalAbbreviation":"J Adolesc Health","language":"eng","note":"PMID: 24268359","page":"312-318.e1","source":"PubMed","title":"Youth violence and connectedness in adolescence: what are the implications for later sexually transmitted infections?","title-short":"Youth violence and connectedness in adolescence","volume":"54","author":[{"family":"Steiner","given":"Riley J."},{"family":"Michael","given":"Shannon L."},{"family":"Hall","given":"Jeffrey E."},{"family":"Barrios","given":"Lisa C."},{"family":"Robin","given":"Leah"}],"issued":{"date-parts":[["2014",3]]}}}],"schema":"https://github.com/citation-style-language/schema/raw/master/csl-citation.json"}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[53]</w:t>
      </w:r>
      <w:r w:rsidRPr="003F1DE7">
        <w:rPr>
          <w:rFonts w:ascii="Arial" w:hAnsi="Arial" w:cs="Arial"/>
          <w:sz w:val="22"/>
          <w:szCs w:val="22"/>
        </w:rPr>
        <w:fldChar w:fldCharType="end"/>
      </w:r>
      <w:r w:rsidRPr="003F1DE7">
        <w:rPr>
          <w:rFonts w:ascii="Arial" w:hAnsi="Arial" w:cs="Arial"/>
          <w:sz w:val="22"/>
          <w:szCs w:val="22"/>
        </w:rPr>
        <w:t xml:space="preserve"> marital disruptions</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{"citationID":"eZxVU4zK","properties":{"formattedCitation":"[54]","plainCitation":"[54]","noteIndex":0},"citationItems":[{"id":26826,"uris":["http://zotero.org/users/local/p8g0WsVO/items/9DE8H4WE"],"itemData":{"id":26826,"type":"article-journal","abstract":"BACKGROUND: Early initiation of antiretroviral therapy reduces risk of transmission to the uninfected partner in HIV discordant couples, but there are relatively little observational data on HIV transmission within couples from non-trial settings. The aims of this paper are to estimate HIV incidence among HIV discordant couples using longstanding observational data from a rural Ugandan population and to identify factors associated with HIV transmission within couples, including the role of HSV-2 infection.\nMETHODS: Using existing data collected at population-wide annual serological and behavioural surveys in a rural district in southwest Uganda between 1989 and 2007, HIV discordant partners were identified. Stored serum samples were tested for HSV-2 serostatus using the Kalon ELISA test. HIV seroconversion rates and factors association with HIV seroconversion were analysed using Poisson regression.\nRESULTS: HIV status of both partners was known in 2465 couples and of these 259 (10.5%) were HIV serodiscordant. At enrollment, HSV-2 prevalence was 87.3% in HIV positive partners and 71.5% in HIV negative partners. Of the 259 discordant couples, 62 converted to HIV (seroconversion rate 7.11/100 PYAR, 95%CI; 5.54, 9.11) with the rate decreasing from 10.89 in 1990-1994 to 4.32 in 2005-2007. Factors independently associated with HIV seroconversion were female sex, non-Muslim religion, greater age difference (man older than woman by more than 15 years), higher viral load in the positive partner and earlier calendar period. HSV-2 was not independently associated with HIV acquisition (HR 1.62, 95%CI; 0.57, 4.55) or transmission (HR 0.61, 95%CI; 0.24, 1.57). No transmissions occurred in the 29 couples where the index partner was on ART during follow up (872 person-years on ART).\nDISCUSSION: HIV negative partners in serodiscordant couples have a high incidence of HIV if the index partner is not on antiretroviral therapy and should be provided with interventions such as couple counselling, condoms and antiretroviral treatment.","container-title":"PloS One","DOI":"10.1371/journal.pone.0055060","ISSN":"1932-6203","issue":"2","journalAbbreviation":"PLoS ONE","language":"eng","note":"PMID: 23390512\nPMCID: PMC3563659","page":"e55060","source":"PubMed","title":"HIV-1 transmission within marriage in rural Uganda: a longitudinal study","title-short":"HIV-1 transmission within marriage in rural Uganda","volume":"8","author":[{"family":"Biraro","given":"Samuel"},{"family":"Ruzagira","given":"Eugene"},{"family":"Kamali","given":"Anatoli"},{"family":"Whitworth","given":"James"},{"family":"Grosskurth","given":"Heiner"},{"family":"Weiss","given":"Helen A."}],"issued":{"date-parts":[["2013"]]}}}],"schema":"https://github.com/citation-style-language/schema/raw/master/csl-citation.json"}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[54]</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{"citationID":"3MeKoqYU","properties":{"formattedCitation":"[55]","plainCitation":"[55]","noteIndex":0},"citationItems":[{"id":26851,"uris":["http://zotero.org/users/local/p8g0WsVO/items/CJB2QLNJ"],"itemData":{"id":26851,"type":"article-journal","abstract":"OBJECTIVES: To determine risk factors for herpes simplex 2 (HSV2) infection in women in a polygynous rural Gambian population.\nMETHODS: Data from women who participated in a cross-sectional survey of reproductive health were matched to their own and, for women who had been or were married (ever-married), their spouses' data collected in a cross-sectional survey of fertility interests, including information on marital histories.\nRESULTS: Data were available on 150 never-married and 525 ever-married women. HSV2 prevalence was 16% amongst never-married women and 36% amongst ever-married women. For ever-married women, their own personal characteristics (age, ethnicity and genital cutting status) and events from their husbands' marriage history were important determinants of HSV2 infection. Women whose husbands married for the first time over age 35 were at greater risk than women whose husbands married by age 24 [odds ratio (OR) 2.72, 95% confidence interval (CI) 1.20-6.10]. Women whose husband reported interest in a new marriage were more likely to be HSV2 positive (OR 1.91, 95% CI 1.18-3.09). Women whose husbands were currently monogamous but had had previous marriages (OR 2.76, 95% CI 1.30-5.88) and women in currently polygynous marriages (OR 2.88, 95% CI 1.66-5.01) were three times as likely to be HSV2 positive as women who were their husband's only wife ever.\nCONCLUSION: Much transmission of HSV2 in this setting occurs within marriage where opportunity for personal protection is limited. High levels of transmission within marriage may undermine the impact of sexual behaviour change programmes aiming to reduce HSV2 and HIV incidence and complicate their evaluation.","container-title":"AIDS (London, England)","DOI":"10.1097/01.aids.0000042937.55529.05","ISSN":"0269-9370","issue":"1","journalAbbreviation":"AIDS","language":"eng","note":"PMID: 12478074","page":"97-103","source":"PubMed","title":"Herpes simplex 2 risk among women in a polygynous setting in rural West Africa","volume":"17","author":[{"family":"Halton","given":"Kate"},{"family":"Ratcliffe","given":"Amy A."},{"family":"Morison","given":"Linda"},{"family":"West","given":"Beryl"},{"family":"Shaw","given":"Matthew"},{"family":"Bailey","given":"Robin"},{"family":"Walraven","given":"Gijs"}],"issued":{"date-parts":[["2003",1,3]]}}}],"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[55]</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{"citationID":"ZXkk5C5L","properties":{"formattedCitation":"[56]","plainCitation":"[56]","noteIndex":0},"citationItems":[{"id":26853,"uris":["http://zotero.org/users/local/p8g0WsVO/items/YQ36FBAJ"],"itemData":{"id":26853,"type":"article-journal","abstract":"OBJECTIVES: To document the prevalence of reproductive tract infections (RTI) and sexually transmitted infections (STI) among women attending a basic healthcare clinic in Dhaka, Bangladesh, to identify risk factors associated with the diseases and to estimate the incidence of syphilis, hepatitis C (HCV), hepatitis B (HBV), and herpes simplex type 2 (HSV-2) infection.\nMETHODS: A cross sectional sample of 2335 consecutive women was examined during 1996-8. Women were interviewed about risk factors for RTI/STI and tested for Neisseria gonorrhoeae, Chlamydia trachomatis, Trichomonas vaginalis, Treponema pallidum, HIV, HCV, HBV, HSV-1 and HSV-2 infection as well as vaginal candidosis and bacterial vaginosis. Women with antibodies to T pallidum were retested at regular intervals. One year after ending the study seroconversion for syphilis, HBV, HCV, and HSV-2 infection was detected among women initially negative for the respective diseases.\nRESULTS: The overall prevalence rate of N gonorrhoeae, C trachomatis, T vaginalis, and T pallidum infection was 0.5%, 1.9%, 2.0%, and 2.9% respectively. Overall, 35% of the women had antibodies to hepatitis B core antigen, 0.9% had HCV, and 12% HSV-2 infection. Risk factors for gonorrhoea/C trachomatis infection were a husband not living at home or suspected of being unfaithful. HSV-2 infection was associated with the same risk factors and with a polygamous marriage. The prevalence of HSV-2 infection among women \"at risk\" was 23%. HIV infection was not diagnosed. Repeated serological examination indicated that only 32% of women with serological evidence of syphilis had active disease. The seroincidences of HBV, HCV, and HSV-2 were 0.03, 0.007, and 0.009 per person year. Seroconversion for syphilis was not observed.","container-title":"Sexually Transmitted Infections","ISSN":"1368-4973","issue":"2","journalAbbreviation":"Sex Transm Infect","language":"eng","note":"PMID: 11287690\nPMCID: PMC1744270","page":"114-119","source":"PubMed","title":"Sexually transmitted infections among married women in Dhaka, Bangladesh: unexpected high prevalence of herpes simplex type 2 infection","title-short":"Sexually transmitted infections among married women in Dhaka, Bangladesh","volume":"77","author":[{"family":"Bogaerts","given":"J."},{"family":"Ahmed","given":"J."},{"family":"Akhter","given":"N."},{"family":"Begum","given":"N."},{"family":"Rahman","given":"M."},{"family":"Nahar","given":"S."},{"family":"Van Ranst","given":"M."},{"family":"Verhaegen","given":"J."}],"issued":{"date-parts":[["2001",4]]}}}],"schema":"https://github.com/citation-style-language/schema/raw/master/csl-citation.json"}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[56]</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{"citationID":"JEWfVATY","properties":{"formattedCitation":"[57]","plainCitation":"[57]","noteIndex":0},"citationItems":[{"id":26855,"uris":["http://zotero.org/users/local/p8g0WsVO/items/5G5QL7GX"],"itemData":{"id":26855,"type":"article-journal","abstract":"Seventy-five married men found to be positive for HIV-1 in Harare, Zimbabwe, were interviewed in order to define behaviours associated with acquisition of infection and to determine factors associated with transmission of infection to their wives. The majority of infected men reported sexual intercourse with multiple heterosexual partners and female prostitutes, and gave a history of sexually transmitted diseases (STDs). All subjects denied homosexual activity and parenteral drug abuse. Serological testing of the wives of seropositive men showed that 45 (60%) were HIV-antibody-positive. Wives of men with AIDS and AIDS-related complex (ARC) and wives of men who gave a history of genital ulcer disease were more likely to be seropositive. The study demonstrates that HIV-1 infection in Zimbabwe occurs through heterosexual intercourse and is associated with other STDs. In addition, the study shows that male to female transmission of HIV-1 is facilitated by the presence of genital ulcers in infected men.","container-title":"AIDS (London, England)","ISSN":"0269-9370","issue":"8","journalAbbreviation":"AIDS","language":"eng","note":"PMID: 2508713","page":"519-523","source":"PubMed","title":"Genital ulcers and transmission of HIV among couples in Zimbabwe","volume":"3","author":[{"family":"Latif","given":"A. S."},{"family":"Katzenstein","given":"D. A."},{"family":"Bassett","given":"M. T."},{"family":"Houston","given":"S."},{"family":"Emmanuel","given":"J. C."},{"family":"Marowa","given":"E."}],"issued":{"date-parts":[["1989",8]]}}}],"schema":"https://github.com/citation-style-language/schema/raw/master/csl-citation.json"}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[57]</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{"citationID":"BCSArXUp","properties":{"formattedCitation":"[58]","plainCitation":"[58]","noteIndex":0},"citationItems":[{"id":26857,"uris":["http://zotero.org/users/local/p8g0WsVO/items/MVVUAS64"],"itemData":{"id":26857,"type":"article-journal","abstract":"During 1983-86, 225 patients were clinically diagnosed to have genital herpes (GH) at our clinic. Of these, 90 men and 55 women were currently married. All the spouses were screened clinically and through standardized techniques for isolation and typing of herpes simplex virus, serological testing and Papanicolaou smear. There were 90 couples in whom at least one spouse had GH and in 38 (42%) couples both partners had GH. Clinically, 49% of wives and 75% of husbands of GH patients were diagnosed to have the disease. The spouses of recurrent GH patients had a higher frequency of the disease than spouses of primary GH patients. Among spouses who were clinically asymptomatic, 40% had high serological titres suggestive of GH. Wives generally experienced more severe symptoms, especially pain in the lesions. Majority of lesions in both the partners were vesicles and ulcers. Prodromata were more among recurrent GH patients in both the partners. The frequency of recurrences wasalso similar in spouses. Seventy percent of wives and 40% of husbands could not identify any precipitating factor. Intercourse, physical stress and rich food were cited as possible factors in the remaining. All the wives had acquired the diseases through their husbands who were promiscuous. Fifty percent of husbands had been infected before marriage. Given the fact that asymptomatic carriers exist, it is better to consider all marital partners of GH as infected. Repeated and long-term follow, - up examination, particularly of wives of GH patients is therefore essential as an important socio-preventive aspect of this disease.","container-title":"Indian Journal of Dermatology, Venereology and Leprology","ISSN":"0973-3922","issue":"6","journalAbbreviation":"Indian J Dermatol Venereol Leprol","language":"eng","note":"PMID: 28134181","page":"288-292","source":"PubMed","title":"Genital Herpes in Marital Partners","volume":"54","author":[{"family":"Jacob","given":"Mary"},{"family":"Mathai","given":"Rache"}],"issued":{"date-parts":[["1988",12]]}}}],"schema":"https://github.com/citation-style-language/schema/raw/master/csl-citation.json"}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[58]</w:t>
      </w:r>
      <w:r w:rsidRPr="003F1DE7">
        <w:rPr>
          <w:rFonts w:ascii="Arial" w:hAnsi="Arial" w:cs="Arial"/>
          <w:sz w:val="22"/>
          <w:szCs w:val="22"/>
        </w:rPr>
        <w:fldChar w:fldCharType="end"/>
      </w:r>
      <w:r w:rsidRPr="003F1DE7">
        <w:rPr>
          <w:rFonts w:ascii="Arial" w:hAnsi="Arial" w:cs="Arial"/>
          <w:sz w:val="22"/>
          <w:szCs w:val="22"/>
        </w:rPr>
        <w:t xml:space="preserve"> reduced fertility</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{"citationID":"64oe1Lnd","properties":{"formattedCitation":"[59]","plainCitation":"[59]","noteIndex":0},"citationItems":[{"id":26834,"uris":["http://zotero.org/users/local/p8g0WsVO/items/L8QCVPCG"],"itemData":{"id":26834,"type":"article-journal","abstract":"OBJECTIVE: To assess the possibility that herpes simplex virus (HSV) infection could affect seminal parameters, we (1) standardize and validate a multiplex polymerase chain reaction (M-PCR) assay to detect HSV-1 and HSV-2 in semen, and (2) determine the prevalence of HSV-1/-2 in the semen of randomized male partners of couples seeking fertility evaluation.\nMATERIALS AND METHODS: A total of 279 semen samples were included in the study from men who visited the Sperm Analysis Section of São Camilo Laboratory of Maringá, Brazil, between November 2014 and July 2015. Eligible men were 18 years or older and had a semen analysis due fertility evaluation (after failing to conceive with their partner after 1 year of unprotected intercourse). Basic seminal parameters were analyzed, and HSV-1 and HSV-2 were detected by M-PCR.\nRESULTS: The M-PCR assay clearly distinguished and identified 2 HSV types in semen samples. HSV in total was detected in 10.7% of samples, of which 7.5% had HSV-1 exclusively and 3.2% had HSV-2 exclusively. We detected a significant association of HSV-2 infection with hematospermia and with a lower mean seminal volume, and between HSV-1 infection and a lower mean sperm count.\nCONCLUSION: These findings suggest that the male partners of infertile couples with HSV infections may have changes on the 2 equally important components of semen, spermatozoa and seminal fluid, which may influence fertility. Further studies enrolling a larger number of patients are necessary to confirm these data and to elucidate the clinical relevance of HSV presence in semen.","container-title":"Urology","DOI":"10.1016/j.urology.2017.11.050","ISSN":"1527-9995","journalAbbreviation":"Urology","language":"eng","note":"PMID: 29287977","page":"52-58","source":"PubMed","title":"Effects of Herpes Simplex Virus Infections on Seminal Parameters in Male Partners of Infertile Couples","volume":"113","author":[{"family":"Kurscheidt","given":"Fábio A."},{"family":"Damke","given":"Edilson"},{"family":"Bento","given":"Jaqueline C."},{"family":"Balani","given":"Valério A."},{"family":"Takeda","given":"Karen I."},{"family":"Piva","given":"Sérgio"},{"family":"Piva","given":"João P."},{"family":"Irie","given":"Mary M. T."},{"family":"Gimenes","given":"Fabrícia"},{"family":"Consolaro","given":"Marcia E. L."}],"issued":{"date-parts":[["2018",3]]}}}],"schema":"https://github.com/citation-style-language/schema/raw/master/csl-citation.json"}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[59]</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{"citationID":"IIUyMLjD","properties":{"formattedCitation":"[60]","plainCitation":"[60]","noteIndex":0},"citationItems":[{"id":26836,"uris":["http://zotero.org/users/local/p8g0WsVO/items/MHM6JNTD"],"itemData":{"id":26836,"type":"article-journal","abstract":"To investigate the effect of Herpes Simplex virus (HSV) on spermatogenesis, HSV in ejaculate was detected by a rapid cultural method in 268 infertile males and 47 healthy ones. The number of mobile spermatozoa in HSV infected samples was less than in non-infected samples (21 mln/mlversus 40 mln/ml, p = 0.0001). The relative number of morphologically normal gametes was 13% versus 19% (p = 0.002), respectively. The quantitative karyological test discovered that males with HSV-infected ejaculate have more degenerating sex cells while in high virus contamination (more than 10 virus particles in 1 ml) the number of spermatides and spermatocytes of the 1 order at diploten stage is low. Organic testicular culture was used for more detailed study of pathogenetic mechanisms of HSV impact on spermatogenesis. Testicular explants infection was associated with reduction in the number of spermatogones, spermatocytes and spermatides on culturing week 2. The above findings reveal some pathogenetic mechanisms underling fertility disorders in males with HSV infection: a gametotoxic effect of the virus reducing populations of spermatogones, spermatocytes and spermatide; affected mobility and morphological characteristics of spermatozoa. Detection of the mechanisms of HSV action on spermatogenesis opens a perspective of antivirus drug administration in combined treatment of male infertility.","container-title":"Urologiia (Moscow, Russia: 1999)","ISSN":"1728-2985","issue":"6","journalAbbreviation":"Urologiia","language":"rus","note":"PMID: 22448478","page":"32-36","source":"PubMed","title":"[Effect of herpes simplex virus on spermatogenesis]","author":[{"family":"Naumenko","given":"V. A."},{"family":"Tiulenev","given":"Iu A."},{"family":"Pushkar'","given":"D. Iu"},{"family":"Segal","given":"A. S."},{"family":"Kovalev","given":"V. A."},{"family":"Kurilo","given":"L. F."},{"family":"Shileĭko","given":"L. V."},{"family":"Klimova","given":"R. R."},{"family":"Al'khovskiĭ","given":"S. V."},{"family":"Kushch","given":"A. A."}],"issued":{"date-parts":[["2011",12]]}}}],"schema":"https://github.com/citation-style-language/schema/raw/master/csl-citation.json"}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[60]</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{"citationID":"fZRh9sjR","properties":{"formattedCitation":"[61]","plainCitation":"[61]","noteIndex":0},"citationItems":[{"id":26838,"uris":["http://zotero.org/users/local/p8g0WsVO/items/HGM9UIAD"],"itemData":{"id":26838,"type":"article-journal","abstract":"Incidence of Herpes simplex virus (HSV) was studied in ejaculates of 100 men. The examinees had neither history nor clinical symptoms of HSV genital infection. HSV was detected by a rapid cultural method in the ejaculate of 20 out of 100 examinees (20%). Of 67 males with infertility HSV was detected in 25%, in 19 males examined prophylactically and 14 patients with varicocele (a comparison group) it was found in 10.5 and 7% cases, respectively. Oligozoospermia was two times more frequent in HSV-containing ejaculates than in HSV-negative one. Mean values of the majority of sperm parameters in HSV-positive and HSV-negative groups did not differ statistically. However, it was revealed that such damage of the spermatozoa structure as microhead (consequence of the defective acrosome or reduced genome) and cytoplasm drops on the neck (a sign of immature forms) occurred more often in HSV-infected patients than in persons with HSV-negative ejaculate. Thus, asymptomatic HSV infection has a negative effect on male fertility.","container-title":"Urologiia (Moscow, Russia: 1999)","ISSN":"1728-2985","issue":"3","journalAbbreviation":"Urologiia","language":"rus","note":"PMID: 17722620","page":"56-59","source":"PubMed","title":"[Asymptomatic genital herpes infection and infertility in males]","author":[{"family":"Abdulmedzhidova","given":"A. G."},{"family":"Kurilo","given":"L. F."},{"family":"Shileĭko","given":"L. V."},{"family":"Makarova","given":"N. P."},{"family":"Klimova","given":"R. R."},{"family":"Kushch","given":"A. A."}],"issued":{"date-parts":[["2007",6]]}}}],"schema":"https://github.com/citation-style-language/schema/raw/master/csl-citation.json"}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[61]</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{"citationID":"ZuHW58yo","properties":{"formattedCitation":"[62]","plainCitation":"[62]","noteIndex":0},"citationItems":[{"id":26840,"uris":["http://zotero.org/users/local/p8g0WsVO/items/U68FXKHB"],"itemData":{"id":26840,"type":"article-journal","container-title":"Doklady biological sciences: proceedings of the Academy of Sciences of the USSR, Biological sciences sections","ISSN":"0012-4966","journalAbbreviation":"Dokl. Biol. Sci.","language":"eng","note":"PMID: 17515053","page":"82-86","source":"PubMed","title":"Detection of herpes simplex virus genomic DNA in spermatozoa of patients with fertility disorders by in situ hybridization","volume":"412","author":[{"family":"Bocharova","given":"E. N."},{"family":"Zavalishina","given":"L. E."},{"family":"Bragina","given":"E. E."},{"family":"Klimova","given":"R. R."},{"family":"Gusak","given":"Yu K."},{"family":"Kurilo","given":"L. F."},{"family":"Shileiko","given":"L. V."},{"family":"Petrov","given":"A. N."},{"family":"Frank","given":"G. A."},{"family":"Kushch","given":"A. A."}],"issued":{"date-parts":[["2007",2]]}}}],"schema":"https://github.com/citation-style-language/schema/raw/master/csl-citation.json"}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[62]</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{"citationID":"XnRH0nr9","properties":{"formattedCitation":"[63]","plainCitation":"[63]","noteIndex":0},"citationItems":[{"id":26829,"uris":["http://zotero.org/users/local/p8g0WsVO/items/HXUSMMNJ"],"itemData":{"id":26829,"type":"article-journal","abstract":"BACKGROUND: Human papillomavirus (HPV) infection is the main cause of invasive cervical cancer, but cofactors may act in conjunction with HPV. We performed a pooled analysis of seven case-control studies to examine the effect of one possible HPV cofactor, herpes simplex virus-2 (HSV-2) infection, in the etiology of invasive cervical cancer.\nMETHODS: Blood and exfoliated cervical specimens were obtained from 1263 case patients with invasive cervical cancer (1158 with squamous-cell carcinomas and 105 with adeno- or adenosquamous-cell carcinomas) and 1117 age-matched control subjects. Western blot analysis and/or an enzyme-linked immunosorbent assay were used to detect type-specific serum antibodies to HSV-2 and HSV-1, and Chlamydia trachomatis serum antibodies were detected using a micro-immunofluorescence assay. HPV DNA was detected using a polymerase chain reaction assay. Summary odds ratios (ORs) and 95% confidence intervals (CIs) were computed from unconditional logistic regression models.\nRESULTS: Overall, HSV-2 seropositivity was higher among case patients with squamous-cell carcinoma (44.4%, 95% CI = 41.5% to 47.3%) or adeno- or adenosquamous-cell carcinoma (43.8%, 95% CI = 34.2% to 53.5%) than among control subjects (25.6%, 95% CI = 23.0% to 28.2%). Cervical specimens from 1098 (94.8%) squamous-cell carcinoma case patients, 95 (90.5%) adeno- or adenosquamous carcinoma case patients, and 164 (14.7%) control subjects were positive for HPV DNA. Among the HPV DNA-positive women, HSV-2 seropositivity was associated with increased risks of squamous-cell carcinoma (OR = 2.19, 95% CI = 1.41 to 3.40) and adeno- or adenosquamous-cell carcinoma (OR = 3.37, 95% CI = 1.47 to 7.74) after adjustment for potential confounders. A similar association between HSV-2 seropositivity and squamous-cell carcinoma risk was observed after further controlling for markers of sexual behavior (OR = 1.96, 95% CI = 1.24 to 3.09). Among control subjects, HSV-2 seropositivity was associated with markers of sexual behavior, but not with cervical HPV DNA positivity.\nCONCLUSION: HSV-2 infection may act in conjunction with HPV infection to increase the risk of invasive cervical carcinoma.","container-title":"Journal of the National Cancer Institute","ISSN":"0027-8874","issue":"21","journalAbbreviation":"J. Natl. Cancer Inst.","language":"eng","note":"PMID: 12419786","page":"1604-1613","source":"PubMed","title":"Herpes simplex virus-2 as a human papillomavirus cofactor in the etiology of invasive cervical cancer","volume":"94","author":[{"family":"Smith","given":"Jennifer S."},{"family":"Herrero","given":"Rolando"},{"family":"Bosetti","given":"Cristina"},{"family":"Muñoz","given":"Nubia"},{"family":"Bosch","given":"F. Xavier"},{"family":"Eluf-Neto","given":"José"},{"family":"Castellsagué","given":"Xavier"},{"family":"Meijer","given":"Chris J. L. M."},{"family":"Van den Brule","given":"Adriaan J. C."},{"family":"Franceschi","given":"Silvia"},{"family":"Ashley","given":"Rhoda"},{"literal":"International Agency for Research on Cancer (IARC) Multicentric Cervical Cancer Study Group"}],"issued":{"date-parts":[["2002",11,6]]}}}],"schema":"https://github.com/citation-style-language/schema/raw/master/csl-citation.json"}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[63]</w:t>
      </w:r>
      <w:r w:rsidRPr="003F1DE7">
        <w:rPr>
          <w:rFonts w:ascii="Arial" w:hAnsi="Arial" w:cs="Arial"/>
          <w:sz w:val="22"/>
          <w:szCs w:val="22"/>
        </w:rPr>
        <w:fldChar w:fldCharType="end"/>
      </w:r>
      <w:r w:rsidRPr="003F1DE7">
        <w:rPr>
          <w:rFonts w:ascii="Arial" w:hAnsi="Arial" w:cs="Arial"/>
          <w:sz w:val="22"/>
          <w:szCs w:val="22"/>
        </w:rPr>
        <w:t xml:space="preserve"> increased risk of antiviral resistance</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{"citationID":"Rr51a3QU","properties":{"formattedCitation":"[64]","plainCitation":"[64]","noteIndex":0},"citationItems":[{"id":26861,"uris":["http://zotero.org/users/local/p8g0WsVO/items/GBWK5DSD"],"itemData":{"id":26861,"type":"article-journal","abstract":"PURPOSE OF REVIEW: Acyclovir (ACV) is the first-line treatment for the management of herpes simplex virus 1 (HSV-1) and 2 (HSV-2) diseases. Long-term administration of the drug for the treatment of chronic infections in the immunocompromised host can lead to the development of ACV-resistance. This review provides an update of the mutations linked to drug-resistance and issues to be considered in the management of HSV infections refractory to antiviral therapy.\nRECENT FINDINGS: Recent data have shown that HSV drug-resistance should be taken into account not only in immunocompromised individuals but also in immunocompetent persons when HSV infections involve 'immune-privileged sites'. Thus, drug-resistance typing is recommended in cases of ACV unresponsive herpetic keratitis and herpes simplex encephalitis. Several issues regarding HSV drug-resistance were highlighted by recent studies. Phenotypic and genotypic antiviral resistance may vary not only from different compartments but also over time, highlighting the importance of characterizing longitudinal HSV isolates from all sites. Combination therapy should be considered when viruses with distinct phenotype/genotype are identified at one or at distinct body sites.\nSUMMARY: Surveillance of HSV drug-resistance is highly recommended in immunocompromised patients and in immunocompetent individuals with infections implicating 'immune-privileged sites' to rationally adapt antiviral treatment.","container-title":"Current Opinion in Infectious Diseases","DOI":"10.1097/QCO.0000000000000015","ISSN":"1473-6527","issue":"6","journalAbbreviation":"Curr. Opin. Infect. Dis.","language":"eng","note":"PMID: 24152761","page":"551-560","source":"PubMed","title":"Herpes simplex virus drug-resistance: new mutations and insights","title-short":"Herpes simplex virus drug-resistance","volume":"26","author":[{"family":"Andrei","given":"Graciela"},{"family":"Snoeck","given":"Robert"}],"issued":{"date-parts":[["2013",12]]}}}],"schema":"https://github.com/citation-style-language/schema/raw/master/csl-citation.json"}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[64]</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{"citationID":"s7ysk6Uk","properties":{"formattedCitation":"[65]","plainCitation":"[65]","noteIndex":0},"citationItems":[{"id":26863,"uris":["http://zotero.org/users/local/p8g0WsVO/items/UZUB4ZJ7"],"itemData":{"id":26863,"type":"article-journal","abstract":"Herpes simplex virus (HSV) resistance to antivirals constitutes a therapeutic challenge, especially among immunocompromised patients. This observational survey on HSV resistance to antivirals was conducted retrospectively over a 4-year period (2008-2012). A total of 211 HSV-positive clinical samples (94 HSV-1 and 117 HSV-2) recovered from 139 patients (11 immunocompetent patients, 85 immunocompromised patients, and 43 patients with unknown immune status) with suspected HSV drug-resistance were analyzed for acyclovir and foscarnet susceptibility. Antiviral resistance testing consisted in a two-step procedure including a first-step genotypic assay, based on UL23 (thymidine kinase, TK) and UL30 (Pol) gene sequencing, and a second-step phenotypic assay (i.e., plaque reduction assay) performed when unpreviously described mutations were detected. As a whole, susceptibility and resistance to antivirals were evidenced for 58 (30.7%) and 86 (45.5%) HSV, respectively, whereas antiviral profile remained undetermined for 45 (23.8%) HSV. The prevalence of drug resistance was significantly higher among HSV-2 isolates than among HSV-1 isolates (53.8% vs. 34.9%; p=0.012). The majority (i.e., 79.7%) of cases of ACV resistance conferred by TK mutations resulted from UL23 gene frameshift reading. Apart from the changes surely related to natural polymorphism or drug-resistance, 91 unpreviously reported mutations were identified in TK and Pol, including 51 potential natural polymorphisms, 22 mutations likely conferring resistance to antivirals, and 18 mutations of unclear significance.","container-title":"Antiviral Research","DOI":"10.1016/j.antiviral.2013.09.012","ISSN":"1872-9096","issue":"2","journalAbbreviation":"Antiviral Res.","language":"eng","note":"PMID: 24075863","page":"365-372","source":"PubMed","title":"Surveillance of herpes simplex virus resistance to antivirals: a 4-year survey","title-short":"Surveillance of herpes simplex virus resistance to antivirals","volume":"100","author":[{"family":"Burrel","given":"Sonia"},{"family":"Aime","given":"Catherine"},{"family":"Hermet","given":"Laurence"},{"family":"Ait-Arkoub","given":"Zaïna"},{"family":"Agut","given":"Henri"},{"family":"Boutolleau","given":"David"}],"issued":{"date-parts":[["2013",11]]}}}],"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[65]</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{"citationID":"Mcfd3eUp","properties":{"formattedCitation":"[66]","plainCitation":"[66]","noteIndex":0},"citationItems":[{"id":26865,"uris":["http://zotero.org/users/local/p8g0WsVO/items/SRV6AJB3"],"itemData":{"id":26865,"type":"article-journal","abstract":"BACKGROUND: Episodic therapy of genital herpes is usually recommended for patients with infrequent symptomatic recurrences and where transmission is not a concern. While shorter courses are as effective as standard 5-day regimens, it is unknown whether abbreviated therapy has detrimental effects on natural history and the development of antiviral resistance.\nOBJECTIVES: To assess time to next recurrence and development of antiviral resistance in patients with recurrent genital herpes treated with either single-day famciclovir (1 g twice-daily) or 3-day valacyclovir (500 mg twice-daily).\nMETHODS: Longer-term, follow-up data on the time to next recurrence and antiviral sensitivity were collected from a previously reported multicenter, multinational, double-blind, parallel group study in which 1179 immunocompetent adults were randomized 1 : 1 to receive either single-day famciclovir or 3-day valacyclovir. Treatment was self-initiated within 6 hours of a recurrence. Swabs for viral culture and sensitivity testing were collected for two sequential recurrences.\nRESULTS: The median time to next recurrence from treatment initiation was 33.5 days for famciclovir and 38.0 days for valacyclovir. No drug resistance to penciclovir, the active metabolite of famciclovir, was observed at baseline nor did any develop by the time of the next recurrence.\nLIMITATIONS: The study had no placebo arm, typing of viral isolates was not performed and viral resistance testing was restricted to penciclovir only.\nCONCLUSION: Treatment with single-day famciclovir for recurrent genital herpes did not shorten the time to the next recurrence. Drug resistance to penciclovir continues to be a rare event in immunocompetent patients.","container-title":"Current Medical Research and Opinion","DOI":"10.1185/03007990802664678","ISSN":"1473-4877","issue":"2","journalAbbreviation":"Curr Med Res Opin","language":"eng","note":"PMID: 19192993\nPMCID: PMC3773849","page":"483-487","source":"PubMed","title":"Single-day famciclovir for the treatment of genital herpes: follow-up results of time to next recurrence and assessment of antiviral resistance","title-short":"Single-day famciclovir for the treatment of genital herpes","volume":"25","author":[{"family":"Bodsworth","given":"Neil"},{"family":"Fife","given":"Kenneth"},{"family":"Koltun","given":"William"},{"family":"Tyring","given":"Stephen"},{"family":"Abudalu","given":"Mohammed"},{"family":"Prichard","given":"Mark"},{"family":"Hamed","given":"Kamal"}],"issued":{"date-parts":[["2009",2]]}}}],"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[66]</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{"citationID":"asnqrltj","properties":{"formattedCitation":"[67]","plainCitation":"[67]","noteIndex":0},"citationItems":[{"id":26868,"uris":["http://zotero.org/users/local/p8g0WsVO/items/3ETMEQMA"],"itemData":{"id":26868,"type":"article-journal","abstract":"Herpes simplex virus type 2 (HSV-2) resistance to antiviral drugs has been described primarily in immunocompromised patients. We report an apparently immunocompetent, human immunodeficiency virus-negative male patient who has experienced repeated HSV-2 genital outbreaks despite receiving antiviral prophylaxis with several different drugs. Several of the HSV-2 genital isolates from this patient have been confirmed as resistant to acyclovir and penciclovir. Antiviral resistance occurred in the setting of long-term prednisone treatment and intermittent acyclovir prophylaxis at suboptimal doses and persisted despite the cessation of oral steroid treatment. The patient's genital herpes outbreaks were not controlled by high-dose prophylaxis with acyclovir, valacyclovir, and famciclovir. Cessation of antiviral prophylaxis resulted in reversion of this patient's HSV-2 isolates to acyclovir and penciclovir sensitivity, although resistant virus reappeared when antiviral prophylaxis was resumed. Transmission of a sensitive HSV-2 strain from this patient to a female sex partner was observed. These observations confirm previous reports that resistance to acyclovir may develop during prophylactic therapy in an otherwise well, immunocompetent patient. These findings support the conclusion that both drug-sensitive and drug-resistant HSV-2 strains established latency in this patient and that both strains are capable of frequent reactivation.","container-title":"The Journal of Infectious Diseases","DOI":"10.1086/430612","ISSN":"0022-1899","issue":"1","journalAbbreviation":"J. Infect. Dis.","language":"eng","note":"PMID: 15942905\nPMCID: PMC4265802","page":"156-161","source":"PubMed","title":"Recurrent antiviral-resistant genital herpes in an immunocompetent patient","volume":"192","author":[{"family":"Kriesel","given":"John D."},{"family":"Spruance","given":"Spotswood L."},{"family":"Prichard","given":"Mark"},{"family":"Parker","given":"Jacqueline N."},{"family":"Kern","given":"Earl R."}],"issued":{"date-parts":[["2005",7,1]]}}}],"schema":"https://github.com/citation-style-language/schema/raw/master/csl-citation.json"}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[67]</w:t>
      </w:r>
      <w:r w:rsidRPr="003F1DE7">
        <w:rPr>
          <w:rFonts w:ascii="Arial" w:hAnsi="Arial" w:cs="Arial"/>
          <w:sz w:val="22"/>
          <w:szCs w:val="22"/>
        </w:rPr>
        <w:fldChar w:fldCharType="end"/>
      </w:r>
      <w:r w:rsidRPr="003F1DE7">
        <w:rPr>
          <w:rFonts w:ascii="Arial" w:hAnsi="Arial" w:cs="Arial"/>
          <w:sz w:val="22"/>
          <w:szCs w:val="22"/>
        </w:rPr>
        <w:t>, increased risk of neonatal transmission</w:t>
      </w:r>
      <w:r w:rsidR="00B133ED">
        <w:rPr>
          <w:rFonts w:ascii="Arial" w:hAnsi="Arial" w:cs="Arial"/>
          <w:sz w:val="22"/>
          <w:szCs w:val="22"/>
        </w:rPr>
        <w:fldChar w:fldCharType="begin"/>
      </w:r>
      <w:r w:rsidR="0081559F">
        <w:rPr>
          <w:rFonts w:ascii="Arial" w:hAnsi="Arial" w:cs="Arial"/>
          <w:sz w:val="22"/>
          <w:szCs w:val="22"/>
        </w:rPr>
        <w:instrText xml:space="preserve"> ADDIN ZOTERO_ITEM CSL_CITATION {"citationID":"YAhd8scR","properties":{"formattedCitation":"[68]","plainCitation":"[68]","noteIndex":0},"citationItems":[{"id":1690,"uris":["http://zotero.org/users/local/p8g0WsVO/items/8WGIWXJE"],"itemData":{"id":1690,"type":"article-journal","container-title":"The New England journal of medicine","DOI":"10.1056/NEJMra0807633","ISSN":"0028-4793","issue":"14","journalAbbreviation":"N Engl J Med","note":"PMID: 19797284\nPMCID: PMC2780322","page":"1376-1385","source":"PubMed Central","title":"Maternal and Neonatal HSV Infections","URL":"https://www.ncbi.nlm.nih.gov/pmc/articles/PMC2780322/","volume":"361","author":[{"family":"Corey","given":"Lawrence"},{"family":"Wald","given":"Anna"}],"accessed":{"date-parts":[["2018",5,21]]},"issued":{"date-parts":[["2009",10,1]]}}}],"schema":"https://github.com/citation-style-language/schema/raw/master/csl-citation.json"} </w:instrText>
      </w:r>
      <w:r w:rsidR="00B133ED">
        <w:rPr>
          <w:rFonts w:ascii="Arial" w:hAnsi="Arial" w:cs="Arial"/>
          <w:sz w:val="22"/>
          <w:szCs w:val="22"/>
        </w:rPr>
        <w:fldChar w:fldCharType="separate"/>
      </w:r>
      <w:r w:rsidR="0081559F">
        <w:rPr>
          <w:rFonts w:ascii="Arial" w:hAnsi="Arial" w:cs="Arial"/>
          <w:sz w:val="22"/>
        </w:rPr>
        <w:t>[68]</w:t>
      </w:r>
      <w:r w:rsidR="00B133ED">
        <w:rPr>
          <w:rFonts w:ascii="Arial" w:hAnsi="Arial" w:cs="Arial"/>
          <w:sz w:val="22"/>
          <w:szCs w:val="22"/>
        </w:rPr>
        <w:fldChar w:fldCharType="end"/>
      </w:r>
      <w:r w:rsidR="00B133ED" w:rsidRPr="008D6407">
        <w:rPr>
          <w:rFonts w:ascii="Arial" w:hAnsi="Arial" w:cs="Arial"/>
          <w:sz w:val="22"/>
          <w:szCs w:val="22"/>
          <w:vertAlign w:val="superscript"/>
        </w:rPr>
        <w:t>,</w:t>
      </w:r>
      <w:r w:rsidR="00B133ED">
        <w:rPr>
          <w:rFonts w:ascii="Arial" w:hAnsi="Arial" w:cs="Arial"/>
          <w:sz w:val="22"/>
          <w:szCs w:val="22"/>
        </w:rPr>
        <w:t xml:space="preserve"> </w:t>
      </w:r>
      <w:r w:rsidR="00B133ED">
        <w:rPr>
          <w:rFonts w:ascii="Arial" w:hAnsi="Arial" w:cs="Arial"/>
          <w:sz w:val="22"/>
          <w:szCs w:val="22"/>
        </w:rPr>
        <w:fldChar w:fldCharType="begin"/>
      </w:r>
      <w:r w:rsidR="0081559F">
        <w:rPr>
          <w:rFonts w:ascii="Arial" w:hAnsi="Arial" w:cs="Arial"/>
          <w:sz w:val="22"/>
          <w:szCs w:val="22"/>
        </w:rPr>
        <w:instrText xml:space="preserve"> ADDIN ZOTERO_ITEM CSL_CITATION {"citationID":"rO1xwVXj","properties":{"formattedCitation":"[69]","plainCitation":"[69]","noteIndex":0},"citationItems":[{"id":26992,"uris":["http://zotero.org/users/local/p8g0WsVO/items/X6MXEW2V"],"itemData":{"id":26992,"type":"article-journal","abstract":"BACKGROUND: The acquisition of genital herpes during pregnancy has been associated with spontaneous abortion, prematurity, and congenital and neonatal herpes. The frequency of seroconversion, maternal symptoms of the disease, and the timing of its greatest effect on the outcome of pregnancy have not been systematically studied.\nMETHODS: We studied 7046 pregnant women whom serologic tests showed to be at risk for herpes simplex virus (HSV) infection. Serum samples obtained at the first prenatal visit, at approximately 16 and 24 weeks, and during labor were tested for antibodies to HSV types 1 and 2 (HSV-1 and HSV-2) by the Western blot assay, and the results were correlated with the occurrence of antenatal genital infections.\nRESULTS: Ninety-four of the women became seropositive for HSV; 34 of the 94 women (36 percent) had symptoms consistent with herpes infection. Women who were initially seronegative for both HSV-1 and HSV-2 had an estimated chance of seroconversion for either virus of 3.7 percent; those who were initially seropositive only for HSV-1 had an estimated chance of HSV-2 seroconversion of 1.7 percent; and those who were initially HSV-2-seropositive had an estimated chance of zero for acquiring HSV-1 infection. Among the 60 of the 94 pregnancies for which the time of acquisition of HSV infection was known, 30 percent of the infections occurred in the first trimester, 30 percent in the second, and 40 percent in the third. HSV seroconversion completed by the time of labor was not associated with an increase in neonatal morbidity or with any cases of congenital herpes infection. However, among the infants born to nine women who acquired genital HSV infection shortly before labor, neonatal HSV infection occurred in four infants, of whom one died.\nCONCLUSIONS: Two percent or more of susceptible women acquire HSV infection during pregnancy. Acquisition of infection with seroconversion completed before labor does not appear to affect the outcome of pregnancy, but infection acquired near the time of labor is associated with neonatal herpes and perinatal morbidity.","container-title":"The New England Journal of Medicine","DOI":"10.1056/NEJM199708213370801","ISSN":"0028-4793","issue":"8","journalAbbreviation":"N. Engl. J. Med.","language":"eng","note":"PMID: 9262493","page":"509-515","source":"PubMed","title":"The acquisition of herpes simplex virus during pregnancy","volume":"337","author":[{"family":"Brown","given":"Z. A."},{"family":"Selke","given":"S."},{"family":"Zeh","given":"J."},{"family":"Kopelman","given":"J."},{"family":"Maslow","given":"A."},{"family":"Ashley","given":"R. L."},{"family":"Watts","given":"D. H."},{"family":"Berry","given":"S."},{"family":"Herd","given":"M."},{"family":"Corey","given":"L."}],"issued":{"date-parts":[["1997",8,21]]}}}],"schema":"https://github.com/citation-style-language/schema/raw/master/csl-citation.json"} </w:instrText>
      </w:r>
      <w:r w:rsidR="00B133ED">
        <w:rPr>
          <w:rFonts w:ascii="Arial" w:hAnsi="Arial" w:cs="Arial"/>
          <w:sz w:val="22"/>
          <w:szCs w:val="22"/>
        </w:rPr>
        <w:fldChar w:fldCharType="separate"/>
      </w:r>
      <w:r w:rsidR="0081559F">
        <w:rPr>
          <w:rFonts w:ascii="Arial" w:hAnsi="Arial" w:cs="Arial"/>
          <w:sz w:val="22"/>
        </w:rPr>
        <w:t>[69]</w:t>
      </w:r>
      <w:r w:rsidR="00B133ED">
        <w:rPr>
          <w:rFonts w:ascii="Arial" w:hAnsi="Arial" w:cs="Arial"/>
          <w:sz w:val="22"/>
          <w:szCs w:val="22"/>
        </w:rPr>
        <w:fldChar w:fldCharType="end"/>
      </w:r>
      <w:r w:rsidR="00B133ED" w:rsidRPr="008D6407">
        <w:rPr>
          <w:rFonts w:ascii="Arial" w:hAnsi="Arial" w:cs="Arial"/>
          <w:sz w:val="22"/>
          <w:szCs w:val="22"/>
          <w:vertAlign w:val="superscript"/>
        </w:rPr>
        <w:t>,</w:t>
      </w:r>
      <w:r w:rsidR="00B133ED">
        <w:rPr>
          <w:rFonts w:ascii="Arial" w:hAnsi="Arial" w:cs="Arial"/>
          <w:sz w:val="22"/>
          <w:szCs w:val="22"/>
        </w:rPr>
        <w:t xml:space="preserve"> </w:t>
      </w:r>
      <w:r w:rsidR="00B133ED">
        <w:rPr>
          <w:rFonts w:ascii="Arial" w:hAnsi="Arial" w:cs="Arial"/>
          <w:sz w:val="22"/>
          <w:szCs w:val="22"/>
        </w:rPr>
        <w:fldChar w:fldCharType="begin"/>
      </w:r>
      <w:r w:rsidR="0081559F">
        <w:rPr>
          <w:rFonts w:ascii="Arial" w:hAnsi="Arial" w:cs="Arial"/>
          <w:sz w:val="22"/>
          <w:szCs w:val="22"/>
        </w:rPr>
        <w:instrText xml:space="preserve"> ADDIN ZOTERO_ITEM CSL_CITATION {"citationID":"ou9AJvrc","properties":{"formattedCitation":"[70]","plainCitation":"[70]","noteIndex":0},"citationItems":[{"id":26997,"uris":["http://zotero.org/users/local/p8g0WsVO/items/H6HUXJFA"],"itemData":{"id":26997,"type":"article-journal","abstract":"One hundred forty-seven women with recurrent symptomatic genital herpes simplex virus acquired prior to the start of pregnancy (group 1) and 15 women whose first symptomatic episode of genital herpes was acquired during pregnancy (group 2) were followed weekly during the course of gestation. Among women with recurrent genital herpes antedating pregnancy, the mean number of recurrences per trimester increased from 0.97 to 1.26 to 1.63 in the first through third trimester, respectively (p less than 0.05 for comparison between each trimester). The median number of symptomatic recurrences of genital herpes during gestation was four in women in group 1 compared to one in women in group 2 (p less than 0.01). Asymptomatic viral excretion from the genital tract was, however, more common in women in group 2 (33%) than in women in group 1 (12.9%) (p less than 0.05). Herpes simplex virus was isolated at 5.5% of routine visits in group 2 women compared to 1% of routine visits among group 1 women. Logistic regression analysis indicated young age also was associated with more frequent asymptomatic viral shedding. Asymptomatic herpes simplex virus excretion was more common from the vulvar area than the cervix, and women in group 2 were more likely to shed virus from both sites simultaneously than women in group 1. Age and recent acquisition of genital herpes are risk factors for asymptomatic excretion of herpes simplex virus during pregnancy.","container-title":"American Journal of Obstetrics and Gynecology","ISSN":"0002-9378","issue":"1","journalAbbreviation":"Am. J. Obstet. Gynecol.","language":"eng","note":"PMID: 2994477","page":"24-30","source":"PubMed","title":"Genital herpes in pregnancy: risk factors associated with recurrences and asymptomatic viral shedding","title-short":"Genital herpes in pregnancy","volume":"153","author":[{"family":"Brown","given":"Z. A."},{"family":"Vontver","given":"L. A."},{"family":"Benedetti","given":"J."},{"family":"Critchlow","given":"C. W."},{"family":"Hickok","given":"D. E."},{"family":"Sells","given":"C. J."},{"family":"Berry","given":"S."},{"family":"Corey","given":"L."}],"issued":{"date-parts":[["1985",9,1]]}}}],"schema":"https://github.com/citation-style-language/schema/raw/master/csl-citation.json"} </w:instrText>
      </w:r>
      <w:r w:rsidR="00B133ED">
        <w:rPr>
          <w:rFonts w:ascii="Arial" w:hAnsi="Arial" w:cs="Arial"/>
          <w:sz w:val="22"/>
          <w:szCs w:val="22"/>
        </w:rPr>
        <w:fldChar w:fldCharType="separate"/>
      </w:r>
      <w:r w:rsidR="0081559F">
        <w:rPr>
          <w:rFonts w:ascii="Arial" w:hAnsi="Arial" w:cs="Arial"/>
          <w:sz w:val="22"/>
        </w:rPr>
        <w:t>[70]</w:t>
      </w:r>
      <w:r w:rsidR="00B133ED">
        <w:rPr>
          <w:rFonts w:ascii="Arial" w:hAnsi="Arial" w:cs="Arial"/>
          <w:sz w:val="22"/>
          <w:szCs w:val="22"/>
        </w:rPr>
        <w:fldChar w:fldCharType="end"/>
      </w:r>
      <w:r w:rsidRPr="003F1DE7">
        <w:rPr>
          <w:rFonts w:ascii="Arial" w:hAnsi="Arial" w:cs="Arial"/>
          <w:sz w:val="22"/>
          <w:szCs w:val="22"/>
        </w:rPr>
        <w:t xml:space="preserve"> and lost wages</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{"citationID":"PhjUNA1e","properties":{"formattedCitation":"[71]","plainCitation":"[71]","noteIndex":0},"citationItems":[{"id":26831,"uris":["http://zotero.org/users/local/p8g0WsVO/items/TC9V5BMR"],"itemData":{"id":26831,"type":"article-journal","abstract":"OBJECTIVE: Adolescents in southern African high schools are a key population for HIV prevention interventions. We report on the prevalence of HIV, HSV-2 and pregnancy as indicators of high-risk sexual behaviour among high school students in rural KwaZulu-Natal.\nDESIGN: Bio-behavioural cross-sectional survey.\nMETHODS: Students completed a self-administered structured, standardised demographic and sexual behavioural questionnaire. Dried blood spot specimens were collected for HIV and HSV-2 testing. Urine specimens were used for pregnancy testing in female students.\nRESULTS: A total of 2675 (1423 females, 1252 males) consenting students were enrolled from 14 high schools between September and November 2010. The median age of students was 16 years (IQR 15-18). HIV prevalence was 1.4% (95% CI 0.9 to 1.9) in males and 6.4% (95% CI 4.6 to 8.3) in females (p&lt;0.001). HSV-2 prevalence was 2.6% (95% CI 1.6 to 3.7) in males and 10.7% (95% CI 8.8 to 12.6) in females (p&lt;0.001). Pregnancy prevalence was 3.6% (95% CI 2.6 to 4.5). Risk factors for prevalent HIV infection in female students included being over 18 years of age (adjusted OR (aOR)=2.67, 95% CI 1.67 to 4.27; p&lt;0.001), prevalent HSV-2 infection (aOR=4.35, 95% CI 2.61 to 7.24; p&lt;0.001), previous pregnancy (aOR=1.66, 95% CI 1.10 to 2.51; p=0.016) and experience of two or more deaths in the household in the previous year (aOR=1.97, 95% CI 1.13 to 3.44; p=0.016).\nCONCLUSIONS: The high prevalence of HIV, HSV-2 and pregnancy underscore the need for school-based sexual and reproductive health services, and provide further impetus for the inclusion of adolescents in behavioural and biomedical trials with HIV incidence endpoints.","container-title":"Sexually Transmitted Infections","DOI":"10.1136/sextrans-2014-051548","ISSN":"1472-3263","issue":"8","journalAbbreviation":"Sex Transm Infect","language":"eng","note":"PMID: 24873967\nPMCID: PMC4759648","page":"620-626","source":"PubMed","title":"Prevalence of HIV, HSV-2 and pregnancy among high school students in rural KwaZulu-Natal, South Africa: a bio-behavioural cross-sectional survey","title-short":"Prevalence of HIV, HSV-2 and pregnancy among high school students in rural KwaZulu-Natal, South Africa","volume":"90","author":[{"family":"Abdool Karim","given":"Quarraisha"},{"family":"Kharsany","given":"Ayesha B. M."},{"family":"Leask","given":"Kerry"},{"family":"Ntombela","given":"Fanelisibonge"},{"family":"Humphries","given":"Hilton"},{"family":"Frohlich","given":"Janet A."},{"family":"Samsunder","given":"Natasha"},{"family":"Grobler","given":"Anneke"},{"family":"Dellar","given":"Rachael"},{"family":"Abdool Karim","given":"Salim S."}],"issued":{"date-parts":[["2014",12]]}}}],"schema":"https://github.com/citation-style-language/schema/raw/master/csl-citation.json"}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[71]</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{"citationID":"8a5wQd5B","properties":{"formattedCitation":"[72]","plainCitation":"[72]","noteIndex":0},"citationItems":[{"id":26842,"uris":["http://zotero.org/users/local/p8g0WsVO/items/VTM37TNG"],"itemData":{"id":26842,"type":"article-journal","abstract":"OBJECTIVE: To estimate the association between school attendance, school dropout, and risk of incident HIV and herpes simplex virus type 2 (HSV-2) infection among young women.\nDESIGN: We used longitudinal data from a randomized controlled trial in rural Mpumalanga province, South Africa, to assess the association between school days attended, school dropout, and incident HIV and HSV-2 in young women aged 13-23 years.\nMETHODS: We examined inverse probability of exposure weighted survival curves and used them to calculate 1.5, 2.5, and 3.5-year risk differences and risk ratios for the effect of school attendance on incident HIV and HSV-2. A marginal structural Cox model was used to estimate hazard ratios for the effect of school attendance and school dropout on incident infection.\nRESULTS: Risk of infection increased over time as young women aged, and was higher in young women with low school attendance (&lt;80% school days) compared with high (≥80% school days). Young women with low attendance were more likely to acquire HIV [hazard ratio (HR): 2.97; 95% confidence interval (CI): 1.62, 5.45] and HSV-2 (HR: 2.47; 95% CI: 1.46, 4.17) over the follow-up period than young women with high attendance. Similarly, young women who dropped out of school had a higher weighted hazard of both HIV (HR 3.25 95% CI: 1.67, 6.32) and HSV-2 (HR 2.70; 95% CI 1.59, 4.59).\nCONCLUSION: Young women who attend more school days and stay in school have a lower risk of incident HIV and HSV-2 infection. Interventions to increase frequency of school attendance and prevent dropout should be promoted to reduce risk of infection.","container-title":"AIDS (London, England)","DOI":"10.1097/QAD.0000000000001584","ISSN":"1473-5571","issue":"15","journalAbbreviation":"AIDS","language":"eng","note":"PMID: 28692544\nPMCID: PMC5599334","page":"2127-2134","source":"PubMed","title":"The effect of school attendance and school dropout on incident HIV and HSV-2 among young women in rural South Africa enrolled in HPTN 068","volume":"31","author":[{"family":"Stoner","given":"Marie C. D."},{"family":"Pettifor","given":"Audrey"},{"family":"Edwards","given":"Jessie K."},{"family":"Aiello","given":"Allison E."},{"family":"Halpern","given":"Carolyn T."},{"family":"Julien","given":"Aimée"},{"family":"Selin","given":"Amanda"},{"family":"Twine","given":"Rhian"},{"family":"Hughes","given":"James P."},{"family":"Wang","given":"Jing"},{"family":"Agyei","given":"Yaw"},{"family":"Gomez-Olive","given":"F. Xavier"},{"family":"Wagner","given":"Ryan G."},{"family":"MacPhail","given":"Catherine"},{"family":"Kahn","given":"Kathleen"}],"issued":{"date-parts":[["2017"]],"season":"24"}}}],"schema":"https://github.com/citation-style-language/schema/raw/master/csl-citation.json"}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[72]</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{"citationID":"1322d5YI","properties":{"formattedCitation":"[73]","plainCitation":"[73]","noteIndex":0},"citationItems":[{"id":26844,"uris":["http://zotero.org/users/local/p8g0WsVO/items/FLIHKRU7"],"itemData":{"id":26844,"type":"article-journal","abstract":"BACKGROUND: Lack of education and an economic dependence on men are often suggested as important risk factors for HIV infection in women. We assessed the efficacy of a cash transfer programme to reduce the risk of sexually transmitted infections in young women.\nMETHODS: In this cluster randomised trial, never-married women aged 13-22 years were recruited from 176 enumeration areas in the Zomba district of Malawi and randomly assigned with computer-generated random numbers by enumeration area (1:1) to receive cash payments (intervention group) or nothing (control group). Intervention enumeration areas were further randomly assigned with computer-generated random numbers to conditional (school attendance required to receive payment) and unconditional (no requirements to receive payment) groups. Participants in both intervention groups were randomly assigned by a lottery to receive monthly payments ranging from US$1 to $5, while their parents were independently assigned with computer-generated random numbers to receive $4-10. Behavioural risk assessments were done at baseline and 12 months; serology was tested at 18 months. Participants were not masked to treatment status but counsellors doing the serologic testing were. The primary outcomes were prevalence of HIV and herpes simplex virus 2 (HSV-2) at 18 months and were assessed by intention-to-treat analyses. The trial is registered, number NCT01333826.\nFINDINGS: 88 enumeration areas were assigned to receive the intervention and 88 as controls. For the 1289 individuals enrolled in school at baseline with complete interview and biomarker data, weighted HIV prevalence at 18 month follow-up was 1·2% (seven of 490 participants) in the combined intervention group versus 3·0% (17 of 799 participants) in the control group (adjusted odds ratio [OR] 0·36, 95% CI 0·14-0·91); weighted HSV-2 prevalence was 0·7% (five of 488 participants) versus 3·0% (27 of 796 participants; adjusted OR 0·24, 0·09-0·65). In the intervention group, we noted no difference between conditional versus unconditional intervention groups for weighted HIV prevalence (3/235 [1%] vs 4/255 [2%]) or weighted HSV-2 prevalence (4/233 [1%] vs 1/255 [&lt;1%]). For individuals who had already dropped out of school at baseline, we detected no significant difference between intervention and control groups for weighted HIV prevalence (23/210 [10%] vs 17/207 [8%]) or weighted HSV-2 prevalence (17/211 [8%] vs 17/208 [8%]).\nINTERPRETATION: Cash transfer programmes can reduce HIV and HSV-2 infections in adolescent schoolgirls in low-income settings. Structural interventions that do not directly target sexual behaviour change can be important components of HIV prevention strategies.\nFUNDING: Global Development Network, Bill &amp; Melinda Gates Foundation, National Bureau of Economic Research Africa Project, World Bank's Research Support Budget, and several World Bank trust funds (Gender Action Plan, Knowledge for Change Program, and Spanish Impact Evaluation fund).","container-title":"Lancet (London, England)","DOI":"10.1016/S0140-6736(11)61709-1","ISSN":"1474-547X","issue":"9823","journalAbbreviation":"Lancet","language":"eng","note":"PMID: 22341825","page":"1320-1329","source":"PubMed","title":"Effect of a cash transfer programme for schooling on prevalence of HIV and herpes simplex type 2 in Malawi: a cluster randomised trial","title-short":"Effect of a cash transfer programme for schooling on prevalence of HIV and herpes simplex type 2 in Malawi","volume":"379","author":[{"family":"Baird","given":"Sarah J."},{"family":"Garfein","given":"Richard S."},{"family":"McIntosh","given":"Craig T."},{"family":"Ozler","given":"Berk"}],"issued":{"date-parts":[["2012",4,7]]}}}],"schema":"https://github.com/citation-style-language/schema/raw/master/csl-citation.json"}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[73]</w:t>
      </w:r>
      <w:r w:rsidRPr="003F1DE7">
        <w:rPr>
          <w:rFonts w:ascii="Arial" w:hAnsi="Arial" w:cs="Arial"/>
          <w:sz w:val="22"/>
          <w:szCs w:val="22"/>
        </w:rPr>
        <w:fldChar w:fldCharType="end"/>
      </w:r>
      <w:r w:rsidRPr="003F1DE7">
        <w:rPr>
          <w:rFonts w:ascii="Arial" w:hAnsi="Arial" w:cs="Arial"/>
          <w:sz w:val="22"/>
          <w:szCs w:val="22"/>
          <w:vertAlign w:val="superscript"/>
        </w:rPr>
        <w:t>,</w:t>
      </w:r>
      <w:r w:rsidRPr="003F1DE7">
        <w:rPr>
          <w:rFonts w:ascii="Arial" w:hAnsi="Arial" w:cs="Arial"/>
          <w:sz w:val="22"/>
          <w:szCs w:val="22"/>
        </w:rPr>
        <w:t xml:space="preserve"> </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{"citationID":"I85Ce7Xe","properties":{"formattedCitation":"[74]","plainCitation":"[74]","noteIndex":0},"citationItems":[{"id":26846,"uris":["http://zotero.org/users/local/p8g0WsVO/items/XRDIA6JT"],"itemData":{"id":26846,"type":"article-journal","abstract":"As the population of orphans grows in AIDS-affected settings, recent studies describe a heightened risk of HIV and sexual risk behaviours among adolescent orphans compared to their non-orphaned peers. This study explores the role of education in explaining the excess sexual risk previously documented among unmarried female orphans in urban Zimbabwe. School attendance and attainment were assessed by type of orphanhood, and for their association with markers of sexual risk (HIV and/or HSV-2 infection) among 743 participants drawn from a random sample of 15-19-year-old girls identified in a cross-sectional survey in Highfield, Harare, in 2004. Multivariable logistic regression was used to assess the role of educational status in explaining the higher prevalence of adverse sexual outcomes among unmarried orphans compared to non-orphans, adjusting for possible confounders. Double orphans had significantly lower educational attendance and attainment than non-orphans. Maternal orphans had higher odds of school drop-out, although this association disappeared when adjusted for recent mobility. Educational status was strongly associated with HIV/HSV-2 risk, but explained only a small part of double orphans' sexual risk and did not explain the HIV/HSV-2 risk of maternal and paternal orphans. High overall levels of secondary school participation and school fee assistance provided to vulnerable families may have reduced the schooling disparities between orphans and non-orphans in Highfield. However, further efforts are needed to rectify the schooling inequities that persist, while additional research is needed to identify other socio-economic and emotional factors driving orphans' sexual risk so that prevention and support programmes can meet the needs of this growing population.","container-title":"Social Science &amp; Medicine (1982)","DOI":"10.1016/j.socscimed.2009.02.035","ISSN":"0277-9536","issue":"10","journalAbbreviation":"Soc Sci Med","language":"eng","note":"PMID: 19303688","page":"1810-1818","source":"PubMed","title":"Is education the link between orphanhood and HIV/HSV-2 risk among female adolescents in urban Zimbabwe?","volume":"68","author":[{"family":"Birdthistle","given":"Isolde"},{"family":"Floyd","given":"Sian"},{"family":"Nyagadza","given":"Auxillia"},{"family":"Mudziwapasi","given":"Netsai"},{"family":"Gregson","given":"Simon"},{"family":"Glynn","given":"Judith R."}],"issued":{"date-parts":[["2009",5]]}}}],"schema":"https://github.com/citation-style-language/schema/raw/master/csl-citation.json"}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[74]</w:t>
      </w:r>
      <w:r w:rsidRPr="003F1DE7">
        <w:rPr>
          <w:rFonts w:ascii="Arial" w:hAnsi="Arial" w:cs="Arial"/>
          <w:sz w:val="22"/>
          <w:szCs w:val="22"/>
        </w:rPr>
        <w:fldChar w:fldCharType="end"/>
      </w:r>
      <w:r w:rsidRPr="003F1DE7">
        <w:rPr>
          <w:rFonts w:ascii="Arial" w:hAnsi="Arial" w:cs="Arial"/>
          <w:sz w:val="22"/>
          <w:szCs w:val="22"/>
        </w:rPr>
        <w:t xml:space="preserve">. </w:t>
      </w:r>
      <w:r>
        <w:rPr>
          <w:rFonts w:ascii="Arial" w:hAnsi="Arial" w:cs="Arial"/>
          <w:sz w:val="22"/>
          <w:szCs w:val="22"/>
        </w:rPr>
        <w:t>We</w:t>
      </w:r>
      <w:r w:rsidRPr="003F1DE7">
        <w:rPr>
          <w:rFonts w:ascii="Arial" w:hAnsi="Arial" w:cs="Arial"/>
          <w:sz w:val="22"/>
          <w:szCs w:val="22"/>
        </w:rPr>
        <w:t xml:space="preserve"> also found cost of illness estimates to include costs associated with medicines, consultations, clinical examinations, microbiology testing, antibody testing, complete blood counts, urine analysis and hospitalizations</w:t>
      </w:r>
      <w:r w:rsidRPr="003F1DE7">
        <w:rPr>
          <w:rFonts w:ascii="Arial" w:hAnsi="Arial" w:cs="Arial"/>
          <w:sz w:val="22"/>
          <w:szCs w:val="22"/>
        </w:rPr>
        <w:fldChar w:fldCharType="begin"/>
      </w:r>
      <w:r w:rsidR="0081559F">
        <w:rPr>
          <w:rFonts w:ascii="Arial" w:hAnsi="Arial" w:cs="Arial"/>
          <w:sz w:val="22"/>
          <w:szCs w:val="22"/>
        </w:rPr>
        <w:instrText xml:space="preserve"> ADDIN ZOTERO_ITEM CSL_CITATION {"citationID":"aghmdcdt4t","properties":{"formattedCitation":"[75]","plainCitation":"[75]","noteIndex":0},"citationItems":[{"id":877,"uris":["http://zotero.org/users/local/p8g0WsVO/items/35QBIFE9"],"itemData":{"id":877,"type":"article-journal","abstract":"BACKGROUND: Only limited data exist on the costs of genital herpes (GH) in the USA. We estimated the economic burden of GH in the USA using two different costing approaches.\nMETHODS: The first approach was a cross-sectional survey of a sample of primary and secondary care physicians, analyzing health care resource utilization. The second approach was based on the analysis of a large administrative claims data set. Both approaches were used to generate the number of patients with symptomatic GH seeking medical treatment, the average medical expenditures and estimated national costs. Costs were valued from a societal and a third party payer's perspective in 1996 US dollars.\nRESULTS: In the cross-sectional study, based on an estimated 3.1 million symptomatic episodes per year in the USA, the annual direct medical costs were estimated at a maximum of $984 million. Of these costs, 49.7% were caused by drug expenditures, 47.7% by outpatient medical care and 2.6% by hospital costs. Indirect costs accounted for further $214 million. The analysis of 1,565 GH cases from the claims database yielded a minimum national estimate of $283 million direct medical costs.\nCONCLUSIONS: GH appears to be an important public health problem from the health economic point of view. The observed difference in direct medical costs may be explained with the influence of compliance to treatment and possible undersampling of subpopulations in the claims data set. The present study demonstrates the validity of using different approaches in estimating the economic burden of a specific disease to the health care system.","container-title":"BMC infectious diseases","ISSN":"1471-2334","journalAbbreviation":"BMC Infect. Dis.","language":"eng","note":"PMID: 11472635\nPMCID: PMC35281","page":"5","source":"PubMed","title":"The estimated economic burden of genital herpes in the United States. An analysis using two costing approaches","volume":"1","author":[{"family":"Szucs","given":"T. D."},{"family":"Berger","given":"K."},{"family":"Fisman","given":"D. N."},{"family":"Harbarth","given":"S."}],"issued":{"date-parts":[["2001"]]}}}],"schema":"https://github.com/citation-style-language/schema/raw/master/csl-citation.json"} </w:instrText>
      </w:r>
      <w:r w:rsidRPr="003F1DE7">
        <w:rPr>
          <w:rFonts w:ascii="Arial" w:hAnsi="Arial" w:cs="Arial"/>
          <w:sz w:val="22"/>
          <w:szCs w:val="22"/>
        </w:rPr>
        <w:fldChar w:fldCharType="separate"/>
      </w:r>
      <w:r w:rsidR="0081559F">
        <w:rPr>
          <w:rFonts w:ascii="Arial" w:hAnsi="Arial" w:cs="Arial"/>
          <w:sz w:val="22"/>
        </w:rPr>
        <w:t>[75]</w:t>
      </w:r>
      <w:r w:rsidRPr="003F1DE7">
        <w:rPr>
          <w:rFonts w:ascii="Arial" w:hAnsi="Arial" w:cs="Arial"/>
          <w:sz w:val="22"/>
          <w:szCs w:val="22"/>
        </w:rPr>
        <w:fldChar w:fldCharType="end"/>
      </w:r>
      <w:r w:rsidRPr="003F1DE7">
        <w:rPr>
          <w:rFonts w:ascii="Arial" w:hAnsi="Arial" w:cs="Arial"/>
          <w:sz w:val="22"/>
          <w:szCs w:val="22"/>
        </w:rPr>
        <w:t xml:space="preserve">. </w:t>
      </w:r>
    </w:p>
    <w:p w14:paraId="7552689D" w14:textId="77777777" w:rsidR="003F1DE7" w:rsidRPr="003F1DE7" w:rsidRDefault="003F1DE7" w:rsidP="008D6407">
      <w:pPr>
        <w:tabs>
          <w:tab w:val="left" w:pos="1693"/>
        </w:tabs>
        <w:ind w:left="720"/>
        <w:jc w:val="both"/>
        <w:rPr>
          <w:rFonts w:ascii="Arial" w:hAnsi="Arial" w:cs="Arial"/>
          <w:sz w:val="22"/>
          <w:szCs w:val="22"/>
        </w:rPr>
      </w:pPr>
    </w:p>
    <w:p w14:paraId="58DC7923" w14:textId="77777777" w:rsidR="003F1DE7" w:rsidRPr="003F1DE7" w:rsidRDefault="003F1DE7" w:rsidP="003F1DE7"/>
    <w:p w14:paraId="6264CE47" w14:textId="504A60E5" w:rsidR="00D751AA" w:rsidRDefault="00D751AA">
      <w:r>
        <w:br w:type="page"/>
      </w:r>
    </w:p>
    <w:p w14:paraId="507408A2" w14:textId="26510041" w:rsidR="00D751AA" w:rsidRDefault="00E935AE" w:rsidP="008D6407">
      <w:pPr>
        <w:jc w:val="center"/>
      </w:pPr>
      <w:r w:rsidRPr="00E935AE">
        <w:rPr>
          <w:noProof/>
        </w:rPr>
        <w:lastRenderedPageBreak/>
        <w:drawing>
          <wp:inline distT="0" distB="0" distL="0" distR="0" wp14:anchorId="2F51CF6B" wp14:editId="4ECE3143">
            <wp:extent cx="5943600" cy="576834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943600" cy="5768340"/>
                    </a:xfrm>
                    <a:prstGeom prst="rect">
                      <a:avLst/>
                    </a:prstGeom>
                  </pic:spPr>
                </pic:pic>
              </a:graphicData>
            </a:graphic>
          </wp:inline>
        </w:drawing>
      </w:r>
    </w:p>
    <w:p w14:paraId="4740E1A7" w14:textId="1F1DAC45" w:rsidR="00D751AA" w:rsidRDefault="00D751AA" w:rsidP="00D751AA"/>
    <w:p w14:paraId="184BFBE3" w14:textId="61306E98" w:rsidR="00B11B0E" w:rsidRPr="001F1C09" w:rsidRDefault="002D7CF7" w:rsidP="001F1C09">
      <w:pPr>
        <w:pStyle w:val="Caption"/>
        <w:jc w:val="center"/>
        <w:rPr>
          <w:rFonts w:ascii="Arial" w:eastAsiaTheme="majorEastAsia" w:hAnsi="Arial" w:cs="Arial"/>
          <w:bCs/>
          <w:color w:val="000000" w:themeColor="text1"/>
          <w:sz w:val="24"/>
          <w:szCs w:val="24"/>
        </w:rPr>
      </w:pPr>
      <w:r w:rsidRPr="001F1C09">
        <w:rPr>
          <w:rFonts w:ascii="Arial" w:hAnsi="Arial" w:cs="Arial"/>
          <w:color w:val="000000" w:themeColor="text1"/>
          <w:sz w:val="22"/>
          <w:szCs w:val="22"/>
        </w:rPr>
        <w:t xml:space="preserve">Figure </w:t>
      </w:r>
      <w:r w:rsidRPr="001F1C09">
        <w:rPr>
          <w:rFonts w:ascii="Arial" w:hAnsi="Arial" w:cs="Arial"/>
          <w:color w:val="000000" w:themeColor="text1"/>
          <w:sz w:val="22"/>
          <w:szCs w:val="22"/>
        </w:rPr>
        <w:fldChar w:fldCharType="begin"/>
      </w:r>
      <w:r w:rsidRPr="001F1C09">
        <w:rPr>
          <w:rFonts w:ascii="Arial" w:hAnsi="Arial" w:cs="Arial"/>
          <w:color w:val="000000" w:themeColor="text1"/>
          <w:sz w:val="22"/>
          <w:szCs w:val="22"/>
        </w:rPr>
        <w:instrText xml:space="preserve"> SEQ Figure \* ARABIC </w:instrText>
      </w:r>
      <w:r w:rsidRPr="001F1C09">
        <w:rPr>
          <w:rFonts w:ascii="Arial" w:hAnsi="Arial" w:cs="Arial"/>
          <w:color w:val="000000" w:themeColor="text1"/>
          <w:sz w:val="22"/>
          <w:szCs w:val="22"/>
        </w:rPr>
        <w:fldChar w:fldCharType="separate"/>
      </w:r>
      <w:r w:rsidRPr="001F1C09">
        <w:rPr>
          <w:rFonts w:ascii="Arial" w:hAnsi="Arial" w:cs="Arial"/>
          <w:noProof/>
          <w:color w:val="000000" w:themeColor="text1"/>
          <w:sz w:val="22"/>
          <w:szCs w:val="22"/>
        </w:rPr>
        <w:t>2</w:t>
      </w:r>
      <w:r w:rsidRPr="001F1C09">
        <w:rPr>
          <w:rFonts w:ascii="Arial" w:hAnsi="Arial" w:cs="Arial"/>
          <w:color w:val="000000" w:themeColor="text1"/>
          <w:sz w:val="22"/>
          <w:szCs w:val="22"/>
        </w:rPr>
        <w:fldChar w:fldCharType="end"/>
      </w:r>
      <w:r w:rsidRPr="001F1C09">
        <w:rPr>
          <w:rFonts w:ascii="Arial" w:hAnsi="Arial" w:cs="Arial"/>
          <w:color w:val="000000" w:themeColor="text1"/>
          <w:sz w:val="22"/>
          <w:szCs w:val="22"/>
        </w:rPr>
        <w:t>: PRISMA diagram for HSV scoping reviews</w:t>
      </w:r>
    </w:p>
    <w:p w14:paraId="68728EF3" w14:textId="69D52725" w:rsidR="00967EE7" w:rsidRDefault="00967EE7" w:rsidP="0041570D">
      <w:pPr>
        <w:pStyle w:val="Heading2"/>
      </w:pPr>
    </w:p>
    <w:p w14:paraId="314BA018" w14:textId="3D497EED" w:rsidR="00D751AA" w:rsidRDefault="00D751AA" w:rsidP="00D751AA"/>
    <w:p w14:paraId="47972B81" w14:textId="0D6CD2CD" w:rsidR="00D751AA" w:rsidRDefault="00D751AA" w:rsidP="00D751AA"/>
    <w:p w14:paraId="1E7FF0A5" w14:textId="77777777" w:rsidR="00D751AA" w:rsidRDefault="00D751AA" w:rsidP="00D751AA">
      <w:pPr>
        <w:spacing w:before="480"/>
        <w:rPr>
          <w:rFonts w:asciiTheme="majorHAnsi" w:eastAsiaTheme="majorEastAsia" w:hAnsiTheme="majorHAnsi" w:cstheme="majorBidi"/>
          <w:b/>
        </w:rPr>
      </w:pPr>
    </w:p>
    <w:p w14:paraId="2F38D3AF" w14:textId="77777777" w:rsidR="0039766B" w:rsidRDefault="0039766B" w:rsidP="0041570D">
      <w:pPr>
        <w:pStyle w:val="Heading2"/>
      </w:pPr>
      <w:bookmarkStart w:id="51" w:name="_Toc64459928"/>
    </w:p>
    <w:p w14:paraId="6F46D587" w14:textId="77777777" w:rsidR="0039766B" w:rsidRDefault="0039766B" w:rsidP="0041570D">
      <w:pPr>
        <w:pStyle w:val="Heading2"/>
      </w:pPr>
    </w:p>
    <w:p w14:paraId="7376102B" w14:textId="306BE4C1" w:rsidR="004C2974" w:rsidRDefault="004C2974" w:rsidP="0041570D">
      <w:pPr>
        <w:pStyle w:val="Heading2"/>
      </w:pPr>
    </w:p>
    <w:p w14:paraId="36339ADA" w14:textId="77777777" w:rsidR="004C2974" w:rsidRPr="003F22FB" w:rsidRDefault="004C2974" w:rsidP="008B7FBA"/>
    <w:bookmarkEnd w:id="51"/>
    <w:p w14:paraId="16A9F051" w14:textId="77777777" w:rsidR="004C2974" w:rsidRPr="003F22FB" w:rsidRDefault="004C2974" w:rsidP="008B7FBA"/>
    <w:p w14:paraId="4EECC6A8" w14:textId="1A0FBA80" w:rsidR="00B06491" w:rsidRDefault="00B06491" w:rsidP="0041570D">
      <w:pPr>
        <w:pStyle w:val="Heading2"/>
      </w:pPr>
      <w:bookmarkStart w:id="52" w:name="_Toc64459929"/>
      <w:bookmarkStart w:id="53" w:name="_Toc81857634"/>
      <w:r>
        <w:lastRenderedPageBreak/>
        <w:t xml:space="preserve">Section </w:t>
      </w:r>
      <w:r w:rsidR="00AB5DEF">
        <w:t>9</w:t>
      </w:r>
      <w:r>
        <w:t>. Supporting Tables</w:t>
      </w:r>
      <w:bookmarkEnd w:id="52"/>
      <w:bookmarkEnd w:id="53"/>
    </w:p>
    <w:p w14:paraId="02BAEDC6" w14:textId="55B3F8C9" w:rsidR="00025823" w:rsidRDefault="00025823"/>
    <w:p w14:paraId="5010A134" w14:textId="37123278" w:rsidR="00B11B0E" w:rsidRPr="00647993" w:rsidRDefault="00647993" w:rsidP="00647993">
      <w:pPr>
        <w:pStyle w:val="Caption"/>
        <w:jc w:val="center"/>
        <w:rPr>
          <w:rFonts w:ascii="Arial" w:hAnsi="Arial" w:cs="Arial"/>
          <w:color w:val="000000" w:themeColor="text1"/>
          <w:sz w:val="22"/>
          <w:szCs w:val="22"/>
        </w:rPr>
      </w:pPr>
      <w:bookmarkStart w:id="54" w:name="_Toc64459943"/>
      <w:r w:rsidRPr="008D6407">
        <w:rPr>
          <w:rFonts w:ascii="Arial" w:hAnsi="Arial" w:cs="Arial"/>
          <w:color w:val="000000" w:themeColor="text1"/>
          <w:sz w:val="22"/>
          <w:szCs w:val="22"/>
        </w:rPr>
        <w:t>Table : Countries excluded and reasons</w:t>
      </w:r>
      <w:bookmarkEnd w:id="54"/>
    </w:p>
    <w:tbl>
      <w:tblPr>
        <w:tblW w:w="8190" w:type="dxa"/>
        <w:jc w:val="center"/>
        <w:tblBorders>
          <w:top w:val="single" w:sz="4" w:space="0" w:color="auto"/>
          <w:bottom w:val="single" w:sz="4" w:space="0" w:color="auto"/>
        </w:tblBorders>
        <w:tblLook w:val="04A0" w:firstRow="1" w:lastRow="0" w:firstColumn="1" w:lastColumn="0" w:noHBand="0" w:noVBand="1"/>
      </w:tblPr>
      <w:tblGrid>
        <w:gridCol w:w="2900"/>
        <w:gridCol w:w="5290"/>
      </w:tblGrid>
      <w:tr w:rsidR="00B11B0E" w:rsidRPr="00DE253B" w14:paraId="01C0FDEE" w14:textId="77777777" w:rsidTr="00C06527">
        <w:trPr>
          <w:trHeight w:val="320"/>
          <w:jc w:val="center"/>
        </w:trPr>
        <w:tc>
          <w:tcPr>
            <w:tcW w:w="2900" w:type="dxa"/>
            <w:tcBorders>
              <w:top w:val="single" w:sz="4" w:space="0" w:color="auto"/>
              <w:bottom w:val="single" w:sz="4" w:space="0" w:color="auto"/>
            </w:tcBorders>
            <w:shd w:val="clear" w:color="auto" w:fill="auto"/>
            <w:noWrap/>
          </w:tcPr>
          <w:p w14:paraId="084B5D76" w14:textId="77777777" w:rsidR="00B11B0E" w:rsidRPr="00C06527" w:rsidRDefault="00B11B0E" w:rsidP="006D3132">
            <w:pPr>
              <w:jc w:val="center"/>
              <w:rPr>
                <w:rFonts w:ascii="Arial" w:hAnsi="Arial" w:cs="Arial"/>
                <w:b/>
                <w:i/>
                <w:iCs/>
                <w:color w:val="000000"/>
                <w:sz w:val="20"/>
                <w:szCs w:val="20"/>
              </w:rPr>
            </w:pPr>
            <w:r w:rsidRPr="00C06527">
              <w:rPr>
                <w:rFonts w:ascii="Arial" w:hAnsi="Arial" w:cs="Arial"/>
                <w:b/>
                <w:i/>
                <w:iCs/>
                <w:color w:val="000000"/>
                <w:sz w:val="20"/>
                <w:szCs w:val="20"/>
              </w:rPr>
              <w:t>Country Name</w:t>
            </w:r>
          </w:p>
        </w:tc>
        <w:tc>
          <w:tcPr>
            <w:tcW w:w="5290" w:type="dxa"/>
            <w:tcBorders>
              <w:top w:val="single" w:sz="4" w:space="0" w:color="auto"/>
              <w:bottom w:val="single" w:sz="4" w:space="0" w:color="auto"/>
            </w:tcBorders>
          </w:tcPr>
          <w:p w14:paraId="4E4D2CEA" w14:textId="77777777" w:rsidR="00B11B0E" w:rsidRPr="00C06527" w:rsidRDefault="00B11B0E" w:rsidP="00C06527">
            <w:pPr>
              <w:rPr>
                <w:rFonts w:ascii="Arial" w:hAnsi="Arial" w:cs="Arial"/>
                <w:b/>
                <w:i/>
                <w:iCs/>
                <w:color w:val="000000"/>
                <w:sz w:val="20"/>
                <w:szCs w:val="20"/>
              </w:rPr>
            </w:pPr>
            <w:r w:rsidRPr="00C06527">
              <w:rPr>
                <w:rFonts w:ascii="Arial" w:hAnsi="Arial" w:cs="Arial"/>
                <w:b/>
                <w:i/>
                <w:iCs/>
                <w:color w:val="000000"/>
                <w:sz w:val="20"/>
                <w:szCs w:val="20"/>
              </w:rPr>
              <w:t>Reason Excluded</w:t>
            </w:r>
          </w:p>
        </w:tc>
      </w:tr>
      <w:tr w:rsidR="00B11B0E" w:rsidRPr="00DE253B" w14:paraId="7BF6DB4A" w14:textId="77777777" w:rsidTr="00C06527">
        <w:trPr>
          <w:trHeight w:val="320"/>
          <w:jc w:val="center"/>
        </w:trPr>
        <w:tc>
          <w:tcPr>
            <w:tcW w:w="2900" w:type="dxa"/>
            <w:tcBorders>
              <w:top w:val="single" w:sz="4" w:space="0" w:color="auto"/>
              <w:bottom w:val="nil"/>
            </w:tcBorders>
            <w:shd w:val="clear" w:color="auto" w:fill="auto"/>
            <w:noWrap/>
            <w:vAlign w:val="bottom"/>
            <w:hideMark/>
          </w:tcPr>
          <w:p w14:paraId="63DA3CAB"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Albania</w:t>
            </w:r>
          </w:p>
        </w:tc>
        <w:tc>
          <w:tcPr>
            <w:tcW w:w="5290" w:type="dxa"/>
            <w:tcBorders>
              <w:top w:val="single" w:sz="4" w:space="0" w:color="auto"/>
              <w:bottom w:val="nil"/>
            </w:tcBorders>
          </w:tcPr>
          <w:p w14:paraId="46566894" w14:textId="5E54CDF7"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77800FF" w14:textId="77777777" w:rsidTr="00C06527">
        <w:trPr>
          <w:trHeight w:val="320"/>
          <w:jc w:val="center"/>
        </w:trPr>
        <w:tc>
          <w:tcPr>
            <w:tcW w:w="2900" w:type="dxa"/>
            <w:tcBorders>
              <w:top w:val="nil"/>
              <w:bottom w:val="nil"/>
            </w:tcBorders>
            <w:shd w:val="clear" w:color="auto" w:fill="auto"/>
            <w:noWrap/>
            <w:vAlign w:val="bottom"/>
            <w:hideMark/>
          </w:tcPr>
          <w:p w14:paraId="4847AACE"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American Samoa</w:t>
            </w:r>
          </w:p>
        </w:tc>
        <w:tc>
          <w:tcPr>
            <w:tcW w:w="5290" w:type="dxa"/>
            <w:tcBorders>
              <w:top w:val="nil"/>
              <w:bottom w:val="nil"/>
            </w:tcBorders>
          </w:tcPr>
          <w:p w14:paraId="007083AC" w14:textId="766E69C0"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EC6912C" w14:textId="77777777" w:rsidTr="00C06527">
        <w:trPr>
          <w:trHeight w:val="320"/>
          <w:jc w:val="center"/>
        </w:trPr>
        <w:tc>
          <w:tcPr>
            <w:tcW w:w="2900" w:type="dxa"/>
            <w:tcBorders>
              <w:top w:val="nil"/>
              <w:bottom w:val="nil"/>
            </w:tcBorders>
            <w:shd w:val="clear" w:color="auto" w:fill="auto"/>
            <w:noWrap/>
            <w:vAlign w:val="bottom"/>
            <w:hideMark/>
          </w:tcPr>
          <w:p w14:paraId="51CB3A96"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Armenia</w:t>
            </w:r>
          </w:p>
        </w:tc>
        <w:tc>
          <w:tcPr>
            <w:tcW w:w="5290" w:type="dxa"/>
            <w:tcBorders>
              <w:top w:val="nil"/>
              <w:bottom w:val="nil"/>
            </w:tcBorders>
          </w:tcPr>
          <w:p w14:paraId="7C936CEC" w14:textId="04DBCF9C"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3CDE959" w14:textId="77777777" w:rsidTr="00C06527">
        <w:trPr>
          <w:trHeight w:val="320"/>
          <w:jc w:val="center"/>
        </w:trPr>
        <w:tc>
          <w:tcPr>
            <w:tcW w:w="2900" w:type="dxa"/>
            <w:tcBorders>
              <w:top w:val="nil"/>
              <w:bottom w:val="nil"/>
            </w:tcBorders>
            <w:shd w:val="clear" w:color="auto" w:fill="auto"/>
            <w:noWrap/>
            <w:vAlign w:val="bottom"/>
            <w:hideMark/>
          </w:tcPr>
          <w:p w14:paraId="62BC0D23"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Belize</w:t>
            </w:r>
          </w:p>
        </w:tc>
        <w:tc>
          <w:tcPr>
            <w:tcW w:w="5290" w:type="dxa"/>
            <w:tcBorders>
              <w:top w:val="nil"/>
              <w:bottom w:val="nil"/>
            </w:tcBorders>
          </w:tcPr>
          <w:p w14:paraId="6350F4D8" w14:textId="7FB833AA"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44BC480" w14:textId="77777777" w:rsidTr="00C06527">
        <w:trPr>
          <w:trHeight w:val="320"/>
          <w:jc w:val="center"/>
        </w:trPr>
        <w:tc>
          <w:tcPr>
            <w:tcW w:w="2900" w:type="dxa"/>
            <w:tcBorders>
              <w:top w:val="nil"/>
              <w:bottom w:val="nil"/>
            </w:tcBorders>
            <w:shd w:val="clear" w:color="auto" w:fill="auto"/>
            <w:noWrap/>
            <w:vAlign w:val="bottom"/>
            <w:hideMark/>
          </w:tcPr>
          <w:p w14:paraId="7D7DBDDD"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Bosnia and Herzegovina</w:t>
            </w:r>
          </w:p>
        </w:tc>
        <w:tc>
          <w:tcPr>
            <w:tcW w:w="5290" w:type="dxa"/>
            <w:tcBorders>
              <w:top w:val="nil"/>
              <w:bottom w:val="nil"/>
            </w:tcBorders>
          </w:tcPr>
          <w:p w14:paraId="5BE9D2E0" w14:textId="7DE1EC49"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25FA70B" w14:textId="77777777" w:rsidTr="00C06527">
        <w:trPr>
          <w:trHeight w:val="320"/>
          <w:jc w:val="center"/>
        </w:trPr>
        <w:tc>
          <w:tcPr>
            <w:tcW w:w="2900" w:type="dxa"/>
            <w:tcBorders>
              <w:top w:val="nil"/>
              <w:bottom w:val="nil"/>
            </w:tcBorders>
            <w:shd w:val="clear" w:color="auto" w:fill="auto"/>
            <w:noWrap/>
            <w:vAlign w:val="bottom"/>
            <w:hideMark/>
          </w:tcPr>
          <w:p w14:paraId="59BE3645"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Cabo Verde</w:t>
            </w:r>
          </w:p>
        </w:tc>
        <w:tc>
          <w:tcPr>
            <w:tcW w:w="5290" w:type="dxa"/>
            <w:tcBorders>
              <w:top w:val="nil"/>
              <w:bottom w:val="nil"/>
            </w:tcBorders>
          </w:tcPr>
          <w:p w14:paraId="7134D1C0" w14:textId="5F329A5D"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58908A46" w14:textId="77777777" w:rsidTr="00C06527">
        <w:trPr>
          <w:trHeight w:val="320"/>
          <w:jc w:val="center"/>
        </w:trPr>
        <w:tc>
          <w:tcPr>
            <w:tcW w:w="2900" w:type="dxa"/>
            <w:tcBorders>
              <w:top w:val="nil"/>
              <w:bottom w:val="nil"/>
            </w:tcBorders>
            <w:shd w:val="clear" w:color="auto" w:fill="auto"/>
            <w:noWrap/>
            <w:vAlign w:val="bottom"/>
            <w:hideMark/>
          </w:tcPr>
          <w:p w14:paraId="7A9800DF"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Comoros</w:t>
            </w:r>
          </w:p>
        </w:tc>
        <w:tc>
          <w:tcPr>
            <w:tcW w:w="5290" w:type="dxa"/>
            <w:tcBorders>
              <w:top w:val="nil"/>
              <w:bottom w:val="nil"/>
            </w:tcBorders>
          </w:tcPr>
          <w:p w14:paraId="34666DD6" w14:textId="3358C6B7"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60B09EC" w14:textId="77777777" w:rsidTr="00C06527">
        <w:trPr>
          <w:trHeight w:val="320"/>
          <w:jc w:val="center"/>
        </w:trPr>
        <w:tc>
          <w:tcPr>
            <w:tcW w:w="2900" w:type="dxa"/>
            <w:tcBorders>
              <w:top w:val="nil"/>
              <w:bottom w:val="nil"/>
            </w:tcBorders>
            <w:shd w:val="clear" w:color="auto" w:fill="auto"/>
            <w:noWrap/>
            <w:vAlign w:val="bottom"/>
            <w:hideMark/>
          </w:tcPr>
          <w:p w14:paraId="3C158FF9"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Costa Rica</w:t>
            </w:r>
          </w:p>
        </w:tc>
        <w:tc>
          <w:tcPr>
            <w:tcW w:w="5290" w:type="dxa"/>
            <w:tcBorders>
              <w:top w:val="nil"/>
              <w:bottom w:val="nil"/>
            </w:tcBorders>
          </w:tcPr>
          <w:p w14:paraId="2241168E" w14:textId="6FCC27A7"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653B1688" w14:textId="77777777" w:rsidTr="00C06527">
        <w:trPr>
          <w:trHeight w:val="320"/>
          <w:jc w:val="center"/>
        </w:trPr>
        <w:tc>
          <w:tcPr>
            <w:tcW w:w="2900" w:type="dxa"/>
            <w:tcBorders>
              <w:top w:val="nil"/>
              <w:bottom w:val="nil"/>
            </w:tcBorders>
            <w:shd w:val="clear" w:color="auto" w:fill="auto"/>
            <w:noWrap/>
            <w:vAlign w:val="bottom"/>
            <w:hideMark/>
          </w:tcPr>
          <w:p w14:paraId="60886F62"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Djibouti</w:t>
            </w:r>
          </w:p>
        </w:tc>
        <w:tc>
          <w:tcPr>
            <w:tcW w:w="5290" w:type="dxa"/>
            <w:tcBorders>
              <w:top w:val="nil"/>
              <w:bottom w:val="nil"/>
            </w:tcBorders>
          </w:tcPr>
          <w:p w14:paraId="6D25FBD5" w14:textId="061A3552"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E15A774" w14:textId="77777777" w:rsidTr="00C06527">
        <w:trPr>
          <w:trHeight w:val="320"/>
          <w:jc w:val="center"/>
        </w:trPr>
        <w:tc>
          <w:tcPr>
            <w:tcW w:w="2900" w:type="dxa"/>
            <w:tcBorders>
              <w:top w:val="nil"/>
              <w:bottom w:val="nil"/>
            </w:tcBorders>
            <w:shd w:val="clear" w:color="auto" w:fill="auto"/>
            <w:noWrap/>
            <w:vAlign w:val="bottom"/>
            <w:hideMark/>
          </w:tcPr>
          <w:p w14:paraId="26DC5EDC"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Dominica</w:t>
            </w:r>
          </w:p>
        </w:tc>
        <w:tc>
          <w:tcPr>
            <w:tcW w:w="5290" w:type="dxa"/>
            <w:tcBorders>
              <w:top w:val="nil"/>
              <w:bottom w:val="nil"/>
            </w:tcBorders>
          </w:tcPr>
          <w:p w14:paraId="6F2FF6A2" w14:textId="58423ECE"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5FE6D540" w14:textId="77777777" w:rsidTr="00C06527">
        <w:trPr>
          <w:trHeight w:val="320"/>
          <w:jc w:val="center"/>
        </w:trPr>
        <w:tc>
          <w:tcPr>
            <w:tcW w:w="2900" w:type="dxa"/>
            <w:tcBorders>
              <w:top w:val="nil"/>
              <w:bottom w:val="nil"/>
            </w:tcBorders>
            <w:shd w:val="clear" w:color="auto" w:fill="auto"/>
            <w:noWrap/>
            <w:vAlign w:val="bottom"/>
            <w:hideMark/>
          </w:tcPr>
          <w:p w14:paraId="3FC5D7B2"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Equatorial Guinea</w:t>
            </w:r>
          </w:p>
        </w:tc>
        <w:tc>
          <w:tcPr>
            <w:tcW w:w="5290" w:type="dxa"/>
            <w:tcBorders>
              <w:top w:val="nil"/>
              <w:bottom w:val="nil"/>
            </w:tcBorders>
          </w:tcPr>
          <w:p w14:paraId="23F0973D" w14:textId="0070402D"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454FCE76" w14:textId="77777777" w:rsidTr="00C06527">
        <w:trPr>
          <w:trHeight w:val="320"/>
          <w:jc w:val="center"/>
        </w:trPr>
        <w:tc>
          <w:tcPr>
            <w:tcW w:w="2900" w:type="dxa"/>
            <w:tcBorders>
              <w:top w:val="nil"/>
              <w:bottom w:val="nil"/>
            </w:tcBorders>
            <w:shd w:val="clear" w:color="auto" w:fill="auto"/>
            <w:noWrap/>
            <w:vAlign w:val="bottom"/>
            <w:hideMark/>
          </w:tcPr>
          <w:p w14:paraId="358FED24"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Eritrea</w:t>
            </w:r>
          </w:p>
        </w:tc>
        <w:tc>
          <w:tcPr>
            <w:tcW w:w="5290" w:type="dxa"/>
            <w:tcBorders>
              <w:top w:val="nil"/>
              <w:bottom w:val="nil"/>
            </w:tcBorders>
          </w:tcPr>
          <w:p w14:paraId="6D893F57" w14:textId="6D5AC1EE"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292D854E" w14:textId="77777777" w:rsidTr="00C06527">
        <w:trPr>
          <w:trHeight w:val="320"/>
          <w:jc w:val="center"/>
        </w:trPr>
        <w:tc>
          <w:tcPr>
            <w:tcW w:w="2900" w:type="dxa"/>
            <w:tcBorders>
              <w:top w:val="nil"/>
              <w:bottom w:val="nil"/>
            </w:tcBorders>
            <w:shd w:val="clear" w:color="auto" w:fill="auto"/>
            <w:noWrap/>
            <w:vAlign w:val="bottom"/>
            <w:hideMark/>
          </w:tcPr>
          <w:p w14:paraId="21B06766"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Eswatini</w:t>
            </w:r>
          </w:p>
        </w:tc>
        <w:tc>
          <w:tcPr>
            <w:tcW w:w="5290" w:type="dxa"/>
            <w:tcBorders>
              <w:top w:val="nil"/>
              <w:bottom w:val="nil"/>
            </w:tcBorders>
          </w:tcPr>
          <w:p w14:paraId="077B886D" w14:textId="4DCEC185"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58CDFB8" w14:textId="77777777" w:rsidTr="00C06527">
        <w:trPr>
          <w:trHeight w:val="320"/>
          <w:jc w:val="center"/>
        </w:trPr>
        <w:tc>
          <w:tcPr>
            <w:tcW w:w="2900" w:type="dxa"/>
            <w:tcBorders>
              <w:top w:val="nil"/>
              <w:bottom w:val="nil"/>
            </w:tcBorders>
            <w:shd w:val="clear" w:color="auto" w:fill="auto"/>
            <w:noWrap/>
            <w:vAlign w:val="bottom"/>
            <w:hideMark/>
          </w:tcPr>
          <w:p w14:paraId="525FD4A8"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Fiji</w:t>
            </w:r>
          </w:p>
        </w:tc>
        <w:tc>
          <w:tcPr>
            <w:tcW w:w="5290" w:type="dxa"/>
            <w:tcBorders>
              <w:top w:val="nil"/>
              <w:bottom w:val="nil"/>
            </w:tcBorders>
          </w:tcPr>
          <w:p w14:paraId="416E0A45" w14:textId="0FE2ECA7"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4FE42CCE" w14:textId="77777777" w:rsidTr="00C06527">
        <w:trPr>
          <w:trHeight w:val="320"/>
          <w:jc w:val="center"/>
        </w:trPr>
        <w:tc>
          <w:tcPr>
            <w:tcW w:w="2900" w:type="dxa"/>
            <w:tcBorders>
              <w:top w:val="nil"/>
              <w:bottom w:val="nil"/>
            </w:tcBorders>
            <w:shd w:val="clear" w:color="auto" w:fill="auto"/>
            <w:noWrap/>
            <w:vAlign w:val="bottom"/>
            <w:hideMark/>
          </w:tcPr>
          <w:p w14:paraId="786F69D6"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Georgia</w:t>
            </w:r>
          </w:p>
        </w:tc>
        <w:tc>
          <w:tcPr>
            <w:tcW w:w="5290" w:type="dxa"/>
            <w:tcBorders>
              <w:top w:val="nil"/>
              <w:bottom w:val="nil"/>
            </w:tcBorders>
          </w:tcPr>
          <w:p w14:paraId="653C2855" w14:textId="26825E59"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B547B63" w14:textId="77777777" w:rsidTr="00C06527">
        <w:trPr>
          <w:trHeight w:val="320"/>
          <w:jc w:val="center"/>
        </w:trPr>
        <w:tc>
          <w:tcPr>
            <w:tcW w:w="2900" w:type="dxa"/>
            <w:tcBorders>
              <w:top w:val="nil"/>
              <w:bottom w:val="nil"/>
            </w:tcBorders>
            <w:shd w:val="clear" w:color="auto" w:fill="auto"/>
            <w:noWrap/>
            <w:vAlign w:val="bottom"/>
            <w:hideMark/>
          </w:tcPr>
          <w:p w14:paraId="7F97B233"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Grenada</w:t>
            </w:r>
          </w:p>
        </w:tc>
        <w:tc>
          <w:tcPr>
            <w:tcW w:w="5290" w:type="dxa"/>
            <w:tcBorders>
              <w:top w:val="nil"/>
              <w:bottom w:val="nil"/>
            </w:tcBorders>
          </w:tcPr>
          <w:p w14:paraId="799C46C9" w14:textId="726A49A8"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C7A3F4B" w14:textId="77777777" w:rsidTr="00C06527">
        <w:trPr>
          <w:trHeight w:val="320"/>
          <w:jc w:val="center"/>
        </w:trPr>
        <w:tc>
          <w:tcPr>
            <w:tcW w:w="2900" w:type="dxa"/>
            <w:tcBorders>
              <w:top w:val="nil"/>
              <w:bottom w:val="nil"/>
            </w:tcBorders>
            <w:shd w:val="clear" w:color="auto" w:fill="auto"/>
            <w:noWrap/>
            <w:vAlign w:val="bottom"/>
            <w:hideMark/>
          </w:tcPr>
          <w:p w14:paraId="730E743B"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Guinea-Bissau</w:t>
            </w:r>
          </w:p>
        </w:tc>
        <w:tc>
          <w:tcPr>
            <w:tcW w:w="5290" w:type="dxa"/>
            <w:tcBorders>
              <w:top w:val="nil"/>
              <w:bottom w:val="nil"/>
            </w:tcBorders>
          </w:tcPr>
          <w:p w14:paraId="0C8DF199" w14:textId="72989D40"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978E888" w14:textId="77777777" w:rsidTr="00C06527">
        <w:trPr>
          <w:trHeight w:val="320"/>
          <w:jc w:val="center"/>
        </w:trPr>
        <w:tc>
          <w:tcPr>
            <w:tcW w:w="2900" w:type="dxa"/>
            <w:tcBorders>
              <w:top w:val="nil"/>
              <w:bottom w:val="nil"/>
            </w:tcBorders>
            <w:shd w:val="clear" w:color="auto" w:fill="auto"/>
            <w:noWrap/>
            <w:vAlign w:val="bottom"/>
            <w:hideMark/>
          </w:tcPr>
          <w:p w14:paraId="38DAE960"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Guyana</w:t>
            </w:r>
          </w:p>
        </w:tc>
        <w:tc>
          <w:tcPr>
            <w:tcW w:w="5290" w:type="dxa"/>
            <w:tcBorders>
              <w:top w:val="nil"/>
              <w:bottom w:val="nil"/>
            </w:tcBorders>
          </w:tcPr>
          <w:p w14:paraId="4137EC81" w14:textId="63D59DC1"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4F9D5B3C" w14:textId="77777777" w:rsidTr="00C06527">
        <w:trPr>
          <w:trHeight w:val="320"/>
          <w:jc w:val="center"/>
        </w:trPr>
        <w:tc>
          <w:tcPr>
            <w:tcW w:w="2900" w:type="dxa"/>
            <w:tcBorders>
              <w:top w:val="nil"/>
              <w:bottom w:val="nil"/>
            </w:tcBorders>
            <w:shd w:val="clear" w:color="auto" w:fill="auto"/>
            <w:noWrap/>
            <w:vAlign w:val="bottom"/>
            <w:hideMark/>
          </w:tcPr>
          <w:p w14:paraId="4E7D70D0"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Kiribati</w:t>
            </w:r>
          </w:p>
        </w:tc>
        <w:tc>
          <w:tcPr>
            <w:tcW w:w="5290" w:type="dxa"/>
            <w:tcBorders>
              <w:top w:val="nil"/>
              <w:bottom w:val="nil"/>
            </w:tcBorders>
          </w:tcPr>
          <w:p w14:paraId="3D5DB960" w14:textId="1511D88C"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557E6F58" w14:textId="77777777" w:rsidTr="00C06527">
        <w:trPr>
          <w:trHeight w:val="320"/>
          <w:jc w:val="center"/>
        </w:trPr>
        <w:tc>
          <w:tcPr>
            <w:tcW w:w="2900" w:type="dxa"/>
            <w:tcBorders>
              <w:top w:val="nil"/>
              <w:bottom w:val="nil"/>
            </w:tcBorders>
            <w:shd w:val="clear" w:color="auto" w:fill="auto"/>
            <w:noWrap/>
            <w:vAlign w:val="bottom"/>
            <w:hideMark/>
          </w:tcPr>
          <w:p w14:paraId="62C1F1F3"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Korea, Dem. People's Rep.</w:t>
            </w:r>
          </w:p>
        </w:tc>
        <w:tc>
          <w:tcPr>
            <w:tcW w:w="5290" w:type="dxa"/>
            <w:tcBorders>
              <w:top w:val="nil"/>
              <w:bottom w:val="nil"/>
            </w:tcBorders>
          </w:tcPr>
          <w:p w14:paraId="456BD95C" w14:textId="55DB2075"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0A59A4EF" w14:textId="77777777" w:rsidTr="00C06527">
        <w:trPr>
          <w:trHeight w:val="320"/>
          <w:jc w:val="center"/>
        </w:trPr>
        <w:tc>
          <w:tcPr>
            <w:tcW w:w="2900" w:type="dxa"/>
            <w:tcBorders>
              <w:top w:val="nil"/>
              <w:bottom w:val="nil"/>
            </w:tcBorders>
            <w:shd w:val="clear" w:color="auto" w:fill="auto"/>
            <w:noWrap/>
            <w:vAlign w:val="bottom"/>
            <w:hideMark/>
          </w:tcPr>
          <w:p w14:paraId="6E826366"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Kosovo</w:t>
            </w:r>
          </w:p>
        </w:tc>
        <w:tc>
          <w:tcPr>
            <w:tcW w:w="5290" w:type="dxa"/>
            <w:tcBorders>
              <w:top w:val="nil"/>
              <w:bottom w:val="nil"/>
            </w:tcBorders>
          </w:tcPr>
          <w:p w14:paraId="1B2C377E" w14:textId="52790052"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5A584D0" w14:textId="77777777" w:rsidTr="00C06527">
        <w:trPr>
          <w:trHeight w:val="320"/>
          <w:jc w:val="center"/>
        </w:trPr>
        <w:tc>
          <w:tcPr>
            <w:tcW w:w="2900" w:type="dxa"/>
            <w:tcBorders>
              <w:top w:val="nil"/>
              <w:bottom w:val="nil"/>
            </w:tcBorders>
            <w:shd w:val="clear" w:color="auto" w:fill="auto"/>
            <w:noWrap/>
            <w:vAlign w:val="bottom"/>
            <w:hideMark/>
          </w:tcPr>
          <w:p w14:paraId="2C19153B"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Kyrgyz Republic</w:t>
            </w:r>
          </w:p>
        </w:tc>
        <w:tc>
          <w:tcPr>
            <w:tcW w:w="5290" w:type="dxa"/>
            <w:tcBorders>
              <w:top w:val="nil"/>
              <w:bottom w:val="nil"/>
            </w:tcBorders>
          </w:tcPr>
          <w:p w14:paraId="595038F2" w14:textId="070E1F23"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7682900" w14:textId="77777777" w:rsidTr="00C06527">
        <w:trPr>
          <w:trHeight w:val="320"/>
          <w:jc w:val="center"/>
        </w:trPr>
        <w:tc>
          <w:tcPr>
            <w:tcW w:w="2900" w:type="dxa"/>
            <w:tcBorders>
              <w:top w:val="nil"/>
              <w:bottom w:val="nil"/>
            </w:tcBorders>
            <w:shd w:val="clear" w:color="auto" w:fill="auto"/>
            <w:noWrap/>
            <w:vAlign w:val="bottom"/>
            <w:hideMark/>
          </w:tcPr>
          <w:p w14:paraId="69E504CA"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Lao PDR</w:t>
            </w:r>
          </w:p>
        </w:tc>
        <w:tc>
          <w:tcPr>
            <w:tcW w:w="5290" w:type="dxa"/>
            <w:tcBorders>
              <w:top w:val="nil"/>
              <w:bottom w:val="nil"/>
            </w:tcBorders>
          </w:tcPr>
          <w:p w14:paraId="11F5A283" w14:textId="43CD30EB"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BD90E82" w14:textId="77777777" w:rsidTr="00C06527">
        <w:trPr>
          <w:trHeight w:val="320"/>
          <w:jc w:val="center"/>
        </w:trPr>
        <w:tc>
          <w:tcPr>
            <w:tcW w:w="2900" w:type="dxa"/>
            <w:tcBorders>
              <w:top w:val="nil"/>
              <w:bottom w:val="nil"/>
            </w:tcBorders>
            <w:shd w:val="clear" w:color="auto" w:fill="auto"/>
            <w:noWrap/>
            <w:vAlign w:val="bottom"/>
            <w:hideMark/>
          </w:tcPr>
          <w:p w14:paraId="11F99B53"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Maldives</w:t>
            </w:r>
          </w:p>
        </w:tc>
        <w:tc>
          <w:tcPr>
            <w:tcW w:w="5290" w:type="dxa"/>
            <w:tcBorders>
              <w:top w:val="nil"/>
              <w:bottom w:val="nil"/>
            </w:tcBorders>
          </w:tcPr>
          <w:p w14:paraId="2FC88D14" w14:textId="31DA91D8"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2981A465" w14:textId="77777777" w:rsidTr="00C06527">
        <w:trPr>
          <w:trHeight w:val="320"/>
          <w:jc w:val="center"/>
        </w:trPr>
        <w:tc>
          <w:tcPr>
            <w:tcW w:w="2900" w:type="dxa"/>
            <w:tcBorders>
              <w:top w:val="nil"/>
              <w:bottom w:val="nil"/>
            </w:tcBorders>
            <w:shd w:val="clear" w:color="auto" w:fill="auto"/>
            <w:noWrap/>
            <w:vAlign w:val="bottom"/>
            <w:hideMark/>
          </w:tcPr>
          <w:p w14:paraId="110E6DB1"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Marshall Islands</w:t>
            </w:r>
          </w:p>
        </w:tc>
        <w:tc>
          <w:tcPr>
            <w:tcW w:w="5290" w:type="dxa"/>
            <w:tcBorders>
              <w:top w:val="nil"/>
              <w:bottom w:val="nil"/>
            </w:tcBorders>
          </w:tcPr>
          <w:p w14:paraId="7192D852" w14:textId="6222B1FF"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ADEB59E" w14:textId="77777777" w:rsidTr="00C06527">
        <w:trPr>
          <w:trHeight w:val="320"/>
          <w:jc w:val="center"/>
        </w:trPr>
        <w:tc>
          <w:tcPr>
            <w:tcW w:w="2900" w:type="dxa"/>
            <w:tcBorders>
              <w:top w:val="nil"/>
              <w:bottom w:val="nil"/>
            </w:tcBorders>
            <w:shd w:val="clear" w:color="auto" w:fill="auto"/>
            <w:noWrap/>
            <w:vAlign w:val="bottom"/>
            <w:hideMark/>
          </w:tcPr>
          <w:p w14:paraId="6D8C9207"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lastRenderedPageBreak/>
              <w:t>Mauritania</w:t>
            </w:r>
          </w:p>
        </w:tc>
        <w:tc>
          <w:tcPr>
            <w:tcW w:w="5290" w:type="dxa"/>
            <w:tcBorders>
              <w:top w:val="nil"/>
              <w:bottom w:val="nil"/>
            </w:tcBorders>
          </w:tcPr>
          <w:p w14:paraId="44CB007E" w14:textId="68137EAB"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5A77D71" w14:textId="77777777" w:rsidTr="00C06527">
        <w:trPr>
          <w:trHeight w:val="320"/>
          <w:jc w:val="center"/>
        </w:trPr>
        <w:tc>
          <w:tcPr>
            <w:tcW w:w="2900" w:type="dxa"/>
            <w:tcBorders>
              <w:top w:val="nil"/>
              <w:bottom w:val="nil"/>
            </w:tcBorders>
            <w:shd w:val="clear" w:color="auto" w:fill="auto"/>
            <w:noWrap/>
            <w:vAlign w:val="bottom"/>
            <w:hideMark/>
          </w:tcPr>
          <w:p w14:paraId="0CEA520E"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Micronesia, Fed. Sts.</w:t>
            </w:r>
          </w:p>
        </w:tc>
        <w:tc>
          <w:tcPr>
            <w:tcW w:w="5290" w:type="dxa"/>
            <w:tcBorders>
              <w:top w:val="nil"/>
              <w:bottom w:val="nil"/>
            </w:tcBorders>
          </w:tcPr>
          <w:p w14:paraId="145AACE5" w14:textId="4EEF49B3"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021ABE19" w14:textId="77777777" w:rsidTr="00C06527">
        <w:trPr>
          <w:trHeight w:val="320"/>
          <w:jc w:val="center"/>
        </w:trPr>
        <w:tc>
          <w:tcPr>
            <w:tcW w:w="2900" w:type="dxa"/>
            <w:tcBorders>
              <w:top w:val="nil"/>
              <w:bottom w:val="nil"/>
            </w:tcBorders>
            <w:shd w:val="clear" w:color="auto" w:fill="auto"/>
            <w:noWrap/>
            <w:vAlign w:val="bottom"/>
            <w:hideMark/>
          </w:tcPr>
          <w:p w14:paraId="3584575B"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Moldova</w:t>
            </w:r>
          </w:p>
        </w:tc>
        <w:tc>
          <w:tcPr>
            <w:tcW w:w="5290" w:type="dxa"/>
            <w:tcBorders>
              <w:top w:val="nil"/>
              <w:bottom w:val="nil"/>
            </w:tcBorders>
          </w:tcPr>
          <w:p w14:paraId="311808EA" w14:textId="4CEB413A"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8B530AD" w14:textId="77777777" w:rsidTr="00C06527">
        <w:trPr>
          <w:trHeight w:val="320"/>
          <w:jc w:val="center"/>
        </w:trPr>
        <w:tc>
          <w:tcPr>
            <w:tcW w:w="2900" w:type="dxa"/>
            <w:tcBorders>
              <w:top w:val="nil"/>
              <w:bottom w:val="nil"/>
            </w:tcBorders>
            <w:shd w:val="clear" w:color="auto" w:fill="auto"/>
            <w:noWrap/>
            <w:vAlign w:val="bottom"/>
            <w:hideMark/>
          </w:tcPr>
          <w:p w14:paraId="56FB6453"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Montenegro</w:t>
            </w:r>
          </w:p>
        </w:tc>
        <w:tc>
          <w:tcPr>
            <w:tcW w:w="5290" w:type="dxa"/>
            <w:tcBorders>
              <w:top w:val="nil"/>
              <w:bottom w:val="nil"/>
            </w:tcBorders>
          </w:tcPr>
          <w:p w14:paraId="0544BA8C" w14:textId="783228CE"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698F32E6" w14:textId="77777777" w:rsidTr="00C06527">
        <w:trPr>
          <w:trHeight w:val="320"/>
          <w:jc w:val="center"/>
        </w:trPr>
        <w:tc>
          <w:tcPr>
            <w:tcW w:w="2900" w:type="dxa"/>
            <w:tcBorders>
              <w:top w:val="nil"/>
              <w:bottom w:val="nil"/>
            </w:tcBorders>
            <w:shd w:val="clear" w:color="auto" w:fill="auto"/>
            <w:noWrap/>
            <w:vAlign w:val="bottom"/>
            <w:hideMark/>
          </w:tcPr>
          <w:p w14:paraId="1A192FF2"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North Macedonia</w:t>
            </w:r>
          </w:p>
        </w:tc>
        <w:tc>
          <w:tcPr>
            <w:tcW w:w="5290" w:type="dxa"/>
            <w:tcBorders>
              <w:top w:val="nil"/>
              <w:bottom w:val="nil"/>
            </w:tcBorders>
          </w:tcPr>
          <w:p w14:paraId="53511B3F" w14:textId="375465C4"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289505C" w14:textId="77777777" w:rsidTr="00C06527">
        <w:trPr>
          <w:trHeight w:val="320"/>
          <w:jc w:val="center"/>
        </w:trPr>
        <w:tc>
          <w:tcPr>
            <w:tcW w:w="2900" w:type="dxa"/>
            <w:tcBorders>
              <w:top w:val="nil"/>
              <w:bottom w:val="nil"/>
            </w:tcBorders>
            <w:shd w:val="clear" w:color="auto" w:fill="auto"/>
            <w:noWrap/>
            <w:vAlign w:val="bottom"/>
            <w:hideMark/>
          </w:tcPr>
          <w:p w14:paraId="35A09ACA"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Samoa</w:t>
            </w:r>
          </w:p>
        </w:tc>
        <w:tc>
          <w:tcPr>
            <w:tcW w:w="5290" w:type="dxa"/>
            <w:tcBorders>
              <w:top w:val="nil"/>
              <w:bottom w:val="nil"/>
            </w:tcBorders>
          </w:tcPr>
          <w:p w14:paraId="6D5F0D2C" w14:textId="3BD0DEA7"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6094BF2D" w14:textId="77777777" w:rsidTr="00C06527">
        <w:trPr>
          <w:trHeight w:val="320"/>
          <w:jc w:val="center"/>
        </w:trPr>
        <w:tc>
          <w:tcPr>
            <w:tcW w:w="2900" w:type="dxa"/>
            <w:tcBorders>
              <w:top w:val="nil"/>
              <w:bottom w:val="nil"/>
            </w:tcBorders>
            <w:shd w:val="clear" w:color="auto" w:fill="auto"/>
            <w:noWrap/>
            <w:vAlign w:val="bottom"/>
            <w:hideMark/>
          </w:tcPr>
          <w:p w14:paraId="18DCD189"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Solomon Islands</w:t>
            </w:r>
          </w:p>
        </w:tc>
        <w:tc>
          <w:tcPr>
            <w:tcW w:w="5290" w:type="dxa"/>
            <w:tcBorders>
              <w:top w:val="nil"/>
              <w:bottom w:val="nil"/>
            </w:tcBorders>
          </w:tcPr>
          <w:p w14:paraId="6A5F2ED6" w14:textId="56FA8D53"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7DF8B9B" w14:textId="77777777" w:rsidTr="00C06527">
        <w:trPr>
          <w:trHeight w:val="320"/>
          <w:jc w:val="center"/>
        </w:trPr>
        <w:tc>
          <w:tcPr>
            <w:tcW w:w="2900" w:type="dxa"/>
            <w:tcBorders>
              <w:top w:val="nil"/>
              <w:bottom w:val="nil"/>
            </w:tcBorders>
            <w:shd w:val="clear" w:color="auto" w:fill="auto"/>
            <w:noWrap/>
            <w:vAlign w:val="bottom"/>
            <w:hideMark/>
          </w:tcPr>
          <w:p w14:paraId="45770FB8"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Somalia</w:t>
            </w:r>
          </w:p>
        </w:tc>
        <w:tc>
          <w:tcPr>
            <w:tcW w:w="5290" w:type="dxa"/>
            <w:tcBorders>
              <w:top w:val="nil"/>
              <w:bottom w:val="nil"/>
            </w:tcBorders>
          </w:tcPr>
          <w:p w14:paraId="03A2CEAE" w14:textId="650C8F21"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50D5CE1" w14:textId="77777777" w:rsidTr="00C06527">
        <w:trPr>
          <w:trHeight w:val="320"/>
          <w:jc w:val="center"/>
        </w:trPr>
        <w:tc>
          <w:tcPr>
            <w:tcW w:w="2900" w:type="dxa"/>
            <w:tcBorders>
              <w:top w:val="nil"/>
              <w:bottom w:val="nil"/>
            </w:tcBorders>
            <w:shd w:val="clear" w:color="auto" w:fill="auto"/>
            <w:noWrap/>
            <w:vAlign w:val="bottom"/>
            <w:hideMark/>
          </w:tcPr>
          <w:p w14:paraId="75FB7B18"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South Sudan</w:t>
            </w:r>
          </w:p>
        </w:tc>
        <w:tc>
          <w:tcPr>
            <w:tcW w:w="5290" w:type="dxa"/>
            <w:tcBorders>
              <w:top w:val="nil"/>
              <w:bottom w:val="nil"/>
            </w:tcBorders>
          </w:tcPr>
          <w:p w14:paraId="4BAE33FD" w14:textId="2DDBC6FF"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3C39826C" w14:textId="77777777" w:rsidTr="00C06527">
        <w:trPr>
          <w:trHeight w:val="320"/>
          <w:jc w:val="center"/>
        </w:trPr>
        <w:tc>
          <w:tcPr>
            <w:tcW w:w="2900" w:type="dxa"/>
            <w:tcBorders>
              <w:top w:val="nil"/>
              <w:bottom w:val="nil"/>
            </w:tcBorders>
            <w:shd w:val="clear" w:color="auto" w:fill="auto"/>
            <w:noWrap/>
            <w:vAlign w:val="bottom"/>
            <w:hideMark/>
          </w:tcPr>
          <w:p w14:paraId="1CB11A21"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St. Lucia</w:t>
            </w:r>
          </w:p>
        </w:tc>
        <w:tc>
          <w:tcPr>
            <w:tcW w:w="5290" w:type="dxa"/>
            <w:tcBorders>
              <w:top w:val="nil"/>
              <w:bottom w:val="nil"/>
            </w:tcBorders>
          </w:tcPr>
          <w:p w14:paraId="5144172A" w14:textId="0B66FB6A"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638FA61" w14:textId="77777777" w:rsidTr="00C06527">
        <w:trPr>
          <w:trHeight w:val="320"/>
          <w:jc w:val="center"/>
        </w:trPr>
        <w:tc>
          <w:tcPr>
            <w:tcW w:w="2900" w:type="dxa"/>
            <w:tcBorders>
              <w:top w:val="nil"/>
              <w:bottom w:val="nil"/>
            </w:tcBorders>
            <w:shd w:val="clear" w:color="auto" w:fill="auto"/>
            <w:noWrap/>
            <w:vAlign w:val="bottom"/>
            <w:hideMark/>
          </w:tcPr>
          <w:p w14:paraId="054D2CC0"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Vincent and the Grenadines</w:t>
            </w:r>
          </w:p>
        </w:tc>
        <w:tc>
          <w:tcPr>
            <w:tcW w:w="5290" w:type="dxa"/>
            <w:tcBorders>
              <w:top w:val="nil"/>
              <w:bottom w:val="nil"/>
            </w:tcBorders>
          </w:tcPr>
          <w:p w14:paraId="7CBA681C" w14:textId="08C7BBD9"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144B895E" w14:textId="77777777" w:rsidTr="00C06527">
        <w:trPr>
          <w:trHeight w:val="320"/>
          <w:jc w:val="center"/>
        </w:trPr>
        <w:tc>
          <w:tcPr>
            <w:tcW w:w="2900" w:type="dxa"/>
            <w:tcBorders>
              <w:top w:val="nil"/>
              <w:bottom w:val="nil"/>
            </w:tcBorders>
            <w:shd w:val="clear" w:color="auto" w:fill="auto"/>
            <w:noWrap/>
            <w:vAlign w:val="bottom"/>
            <w:hideMark/>
          </w:tcPr>
          <w:p w14:paraId="22EA06A0"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Suriname</w:t>
            </w:r>
          </w:p>
        </w:tc>
        <w:tc>
          <w:tcPr>
            <w:tcW w:w="5290" w:type="dxa"/>
            <w:tcBorders>
              <w:top w:val="nil"/>
              <w:bottom w:val="nil"/>
            </w:tcBorders>
          </w:tcPr>
          <w:p w14:paraId="070CE220" w14:textId="717E18FE"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7F17BE86" w14:textId="77777777" w:rsidTr="00C06527">
        <w:trPr>
          <w:trHeight w:val="320"/>
          <w:jc w:val="center"/>
        </w:trPr>
        <w:tc>
          <w:tcPr>
            <w:tcW w:w="2900" w:type="dxa"/>
            <w:tcBorders>
              <w:top w:val="nil"/>
              <w:bottom w:val="nil"/>
            </w:tcBorders>
            <w:shd w:val="clear" w:color="auto" w:fill="auto"/>
            <w:noWrap/>
            <w:vAlign w:val="bottom"/>
            <w:hideMark/>
          </w:tcPr>
          <w:p w14:paraId="30E1A747"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Syrian Arab Republic</w:t>
            </w:r>
          </w:p>
        </w:tc>
        <w:tc>
          <w:tcPr>
            <w:tcW w:w="5290" w:type="dxa"/>
            <w:tcBorders>
              <w:top w:val="nil"/>
              <w:bottom w:val="nil"/>
            </w:tcBorders>
          </w:tcPr>
          <w:p w14:paraId="5BDB173F" w14:textId="2D4EBBDC"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5F195B38" w14:textId="77777777" w:rsidTr="00C06527">
        <w:trPr>
          <w:trHeight w:val="320"/>
          <w:jc w:val="center"/>
        </w:trPr>
        <w:tc>
          <w:tcPr>
            <w:tcW w:w="2900" w:type="dxa"/>
            <w:tcBorders>
              <w:top w:val="nil"/>
              <w:bottom w:val="nil"/>
            </w:tcBorders>
            <w:shd w:val="clear" w:color="auto" w:fill="auto"/>
            <w:noWrap/>
            <w:vAlign w:val="bottom"/>
            <w:hideMark/>
          </w:tcPr>
          <w:p w14:paraId="4CF5176F"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Sao Tome and Principe</w:t>
            </w:r>
          </w:p>
        </w:tc>
        <w:tc>
          <w:tcPr>
            <w:tcW w:w="5290" w:type="dxa"/>
            <w:tcBorders>
              <w:top w:val="nil"/>
              <w:bottom w:val="nil"/>
            </w:tcBorders>
          </w:tcPr>
          <w:p w14:paraId="7190E7CB" w14:textId="4089C149"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47E0A20E" w14:textId="77777777" w:rsidTr="00C06527">
        <w:trPr>
          <w:trHeight w:val="320"/>
          <w:jc w:val="center"/>
        </w:trPr>
        <w:tc>
          <w:tcPr>
            <w:tcW w:w="2900" w:type="dxa"/>
            <w:tcBorders>
              <w:top w:val="nil"/>
              <w:bottom w:val="nil"/>
            </w:tcBorders>
            <w:shd w:val="clear" w:color="auto" w:fill="auto"/>
            <w:noWrap/>
            <w:vAlign w:val="bottom"/>
            <w:hideMark/>
          </w:tcPr>
          <w:p w14:paraId="6ACD5293"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Timor-Leste</w:t>
            </w:r>
          </w:p>
        </w:tc>
        <w:tc>
          <w:tcPr>
            <w:tcW w:w="5290" w:type="dxa"/>
            <w:tcBorders>
              <w:top w:val="nil"/>
              <w:bottom w:val="nil"/>
            </w:tcBorders>
          </w:tcPr>
          <w:p w14:paraId="61E5CC6F" w14:textId="7FC8E99A"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4A685F2F" w14:textId="77777777" w:rsidTr="00C06527">
        <w:trPr>
          <w:trHeight w:val="320"/>
          <w:jc w:val="center"/>
        </w:trPr>
        <w:tc>
          <w:tcPr>
            <w:tcW w:w="2900" w:type="dxa"/>
            <w:tcBorders>
              <w:top w:val="nil"/>
              <w:bottom w:val="nil"/>
            </w:tcBorders>
            <w:shd w:val="clear" w:color="auto" w:fill="auto"/>
            <w:noWrap/>
            <w:vAlign w:val="bottom"/>
            <w:hideMark/>
          </w:tcPr>
          <w:p w14:paraId="0FB5C3DD"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Tonga</w:t>
            </w:r>
          </w:p>
        </w:tc>
        <w:tc>
          <w:tcPr>
            <w:tcW w:w="5290" w:type="dxa"/>
            <w:tcBorders>
              <w:top w:val="nil"/>
              <w:bottom w:val="nil"/>
            </w:tcBorders>
          </w:tcPr>
          <w:p w14:paraId="4B27A16B" w14:textId="59B6C236"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28E918BD" w14:textId="77777777" w:rsidTr="00C06527">
        <w:trPr>
          <w:trHeight w:val="320"/>
          <w:jc w:val="center"/>
        </w:trPr>
        <w:tc>
          <w:tcPr>
            <w:tcW w:w="2900" w:type="dxa"/>
            <w:tcBorders>
              <w:top w:val="nil"/>
              <w:bottom w:val="nil"/>
            </w:tcBorders>
            <w:shd w:val="clear" w:color="auto" w:fill="auto"/>
            <w:noWrap/>
            <w:vAlign w:val="bottom"/>
            <w:hideMark/>
          </w:tcPr>
          <w:p w14:paraId="21187BB2"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Turkmenistan</w:t>
            </w:r>
          </w:p>
        </w:tc>
        <w:tc>
          <w:tcPr>
            <w:tcW w:w="5290" w:type="dxa"/>
            <w:tcBorders>
              <w:top w:val="nil"/>
              <w:bottom w:val="nil"/>
            </w:tcBorders>
          </w:tcPr>
          <w:p w14:paraId="434E2B8A" w14:textId="534588D4"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21C4FFF1" w14:textId="77777777" w:rsidTr="00C06527">
        <w:trPr>
          <w:trHeight w:val="320"/>
          <w:jc w:val="center"/>
        </w:trPr>
        <w:tc>
          <w:tcPr>
            <w:tcW w:w="2900" w:type="dxa"/>
            <w:tcBorders>
              <w:top w:val="nil"/>
              <w:bottom w:val="nil"/>
            </w:tcBorders>
            <w:shd w:val="clear" w:color="auto" w:fill="auto"/>
            <w:noWrap/>
            <w:vAlign w:val="bottom"/>
            <w:hideMark/>
          </w:tcPr>
          <w:p w14:paraId="1166C8B4"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Tuvalu</w:t>
            </w:r>
          </w:p>
        </w:tc>
        <w:tc>
          <w:tcPr>
            <w:tcW w:w="5290" w:type="dxa"/>
            <w:tcBorders>
              <w:top w:val="nil"/>
              <w:bottom w:val="nil"/>
            </w:tcBorders>
          </w:tcPr>
          <w:p w14:paraId="2F2E6427" w14:textId="48C871E0"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6C388936" w14:textId="77777777" w:rsidTr="00C06527">
        <w:trPr>
          <w:trHeight w:val="320"/>
          <w:jc w:val="center"/>
        </w:trPr>
        <w:tc>
          <w:tcPr>
            <w:tcW w:w="2900" w:type="dxa"/>
            <w:tcBorders>
              <w:top w:val="nil"/>
              <w:bottom w:val="nil"/>
            </w:tcBorders>
            <w:shd w:val="clear" w:color="auto" w:fill="auto"/>
            <w:noWrap/>
            <w:vAlign w:val="bottom"/>
            <w:hideMark/>
          </w:tcPr>
          <w:p w14:paraId="1D9B76E0"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Vanuatu</w:t>
            </w:r>
          </w:p>
        </w:tc>
        <w:tc>
          <w:tcPr>
            <w:tcW w:w="5290" w:type="dxa"/>
            <w:tcBorders>
              <w:top w:val="nil"/>
              <w:bottom w:val="nil"/>
            </w:tcBorders>
          </w:tcPr>
          <w:p w14:paraId="702C3D4C" w14:textId="4CC58C5F"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r w:rsidR="00B11B0E" w:rsidRPr="00DE253B" w14:paraId="40B4BBB1" w14:textId="77777777" w:rsidTr="00C06527">
        <w:trPr>
          <w:trHeight w:val="320"/>
          <w:jc w:val="center"/>
        </w:trPr>
        <w:tc>
          <w:tcPr>
            <w:tcW w:w="2900" w:type="dxa"/>
            <w:tcBorders>
              <w:top w:val="nil"/>
              <w:bottom w:val="single" w:sz="4" w:space="0" w:color="auto"/>
            </w:tcBorders>
            <w:shd w:val="clear" w:color="auto" w:fill="auto"/>
            <w:noWrap/>
            <w:vAlign w:val="bottom"/>
            <w:hideMark/>
          </w:tcPr>
          <w:p w14:paraId="4FF4DF84" w14:textId="77777777" w:rsidR="00B11B0E" w:rsidRPr="00C06527" w:rsidRDefault="00B11B0E" w:rsidP="006D3132">
            <w:pPr>
              <w:rPr>
                <w:rFonts w:ascii="Arial" w:hAnsi="Arial" w:cs="Arial"/>
                <w:color w:val="000000"/>
                <w:sz w:val="20"/>
                <w:szCs w:val="20"/>
              </w:rPr>
            </w:pPr>
            <w:r w:rsidRPr="00C06527">
              <w:rPr>
                <w:rFonts w:ascii="Arial" w:hAnsi="Arial" w:cs="Arial"/>
                <w:color w:val="000000"/>
                <w:sz w:val="20"/>
                <w:szCs w:val="20"/>
              </w:rPr>
              <w:t>West Bank and Gaza</w:t>
            </w:r>
          </w:p>
        </w:tc>
        <w:tc>
          <w:tcPr>
            <w:tcW w:w="5290" w:type="dxa"/>
            <w:tcBorders>
              <w:top w:val="nil"/>
              <w:bottom w:val="single" w:sz="4" w:space="0" w:color="auto"/>
            </w:tcBorders>
          </w:tcPr>
          <w:p w14:paraId="002FB162" w14:textId="51A6E4DD" w:rsidR="00B11B0E" w:rsidRPr="00C06527" w:rsidRDefault="00DE253B" w:rsidP="00C06527">
            <w:pPr>
              <w:rPr>
                <w:rFonts w:ascii="Arial" w:hAnsi="Arial" w:cs="Arial"/>
                <w:color w:val="000000"/>
                <w:sz w:val="20"/>
                <w:szCs w:val="20"/>
              </w:rPr>
            </w:pPr>
            <w:r w:rsidRPr="00C06527">
              <w:rPr>
                <w:rFonts w:ascii="Arial" w:hAnsi="Arial" w:cs="Arial"/>
                <w:color w:val="000000"/>
                <w:sz w:val="20"/>
                <w:szCs w:val="20"/>
              </w:rPr>
              <w:t>Data not reliable and prevalent cases in 2019 contribute marginally to total LMIC disease burden</w:t>
            </w:r>
          </w:p>
        </w:tc>
      </w:tr>
    </w:tbl>
    <w:p w14:paraId="113FBC05" w14:textId="6FCDB620" w:rsidR="00B11B0E" w:rsidRDefault="00B11B0E" w:rsidP="001F1C09"/>
    <w:p w14:paraId="6D82D330" w14:textId="2240033A" w:rsidR="00B06491" w:rsidRPr="00647993" w:rsidRDefault="00647993" w:rsidP="00647993">
      <w:pPr>
        <w:pStyle w:val="Caption"/>
        <w:jc w:val="center"/>
        <w:rPr>
          <w:rFonts w:ascii="Arial" w:hAnsi="Arial" w:cs="Arial"/>
          <w:b/>
          <w:color w:val="000000" w:themeColor="text1"/>
          <w:sz w:val="22"/>
          <w:szCs w:val="22"/>
        </w:rPr>
      </w:pPr>
      <w:bookmarkStart w:id="55" w:name="_Toc111481801"/>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4</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Query strings used in searches</w:t>
      </w:r>
      <w:bookmarkEnd w:id="55"/>
    </w:p>
    <w:tbl>
      <w:tblPr>
        <w:tblStyle w:val="TableGrid"/>
        <w:tblW w:w="9360" w:type="dxa"/>
        <w:tblInd w:w="85" w:type="dxa"/>
        <w:tblBorders>
          <w:left w:val="none" w:sz="0" w:space="0" w:color="auto"/>
          <w:right w:val="none" w:sz="0" w:space="0" w:color="auto"/>
          <w:insideV w:val="none" w:sz="0" w:space="0" w:color="auto"/>
        </w:tblBorders>
        <w:tblLook w:val="04A0" w:firstRow="1" w:lastRow="0" w:firstColumn="1" w:lastColumn="0" w:noHBand="0" w:noVBand="1"/>
      </w:tblPr>
      <w:tblGrid>
        <w:gridCol w:w="1710"/>
        <w:gridCol w:w="1849"/>
        <w:gridCol w:w="5801"/>
      </w:tblGrid>
      <w:tr w:rsidR="00025823" w:rsidRPr="00EF6B88" w14:paraId="4BFDE66F" w14:textId="77777777" w:rsidTr="006D3132">
        <w:tc>
          <w:tcPr>
            <w:tcW w:w="1710" w:type="dxa"/>
          </w:tcPr>
          <w:p w14:paraId="0D2E7DEA" w14:textId="77777777" w:rsidR="00025823" w:rsidRPr="002A063A" w:rsidRDefault="00025823" w:rsidP="006D3132">
            <w:pPr>
              <w:rPr>
                <w:b/>
                <w:i/>
                <w:sz w:val="20"/>
                <w:szCs w:val="20"/>
              </w:rPr>
            </w:pPr>
            <w:r w:rsidRPr="002A063A">
              <w:rPr>
                <w:b/>
                <w:i/>
                <w:sz w:val="20"/>
                <w:szCs w:val="20"/>
              </w:rPr>
              <w:t>Review</w:t>
            </w:r>
          </w:p>
        </w:tc>
        <w:tc>
          <w:tcPr>
            <w:tcW w:w="1849" w:type="dxa"/>
          </w:tcPr>
          <w:p w14:paraId="4BA143F6" w14:textId="77777777" w:rsidR="00025823" w:rsidRPr="002A063A" w:rsidRDefault="00025823" w:rsidP="006D3132">
            <w:pPr>
              <w:rPr>
                <w:b/>
                <w:i/>
                <w:sz w:val="20"/>
                <w:szCs w:val="20"/>
              </w:rPr>
            </w:pPr>
            <w:r w:rsidRPr="002A063A">
              <w:rPr>
                <w:b/>
                <w:i/>
                <w:sz w:val="20"/>
                <w:szCs w:val="20"/>
              </w:rPr>
              <w:t>Burden Type</w:t>
            </w:r>
          </w:p>
        </w:tc>
        <w:tc>
          <w:tcPr>
            <w:tcW w:w="5801" w:type="dxa"/>
          </w:tcPr>
          <w:p w14:paraId="04B918ED" w14:textId="77777777" w:rsidR="00025823" w:rsidRPr="002A063A" w:rsidRDefault="00025823" w:rsidP="006D3132">
            <w:pPr>
              <w:rPr>
                <w:b/>
                <w:i/>
                <w:sz w:val="20"/>
                <w:szCs w:val="20"/>
              </w:rPr>
            </w:pPr>
            <w:r w:rsidRPr="002A063A">
              <w:rPr>
                <w:b/>
                <w:i/>
                <w:sz w:val="20"/>
                <w:szCs w:val="20"/>
              </w:rPr>
              <w:t>Query String</w:t>
            </w:r>
          </w:p>
        </w:tc>
      </w:tr>
      <w:tr w:rsidR="00025823" w:rsidRPr="00EF6B88" w14:paraId="5B90D195" w14:textId="77777777" w:rsidTr="006D3132">
        <w:tc>
          <w:tcPr>
            <w:tcW w:w="1710" w:type="dxa"/>
          </w:tcPr>
          <w:p w14:paraId="667DFBDA" w14:textId="77777777" w:rsidR="00025823" w:rsidRPr="002A063A" w:rsidRDefault="00025823" w:rsidP="006D3132">
            <w:pPr>
              <w:rPr>
                <w:i/>
                <w:sz w:val="20"/>
                <w:szCs w:val="20"/>
              </w:rPr>
            </w:pPr>
            <w:r w:rsidRPr="002A063A">
              <w:rPr>
                <w:i/>
                <w:sz w:val="20"/>
                <w:szCs w:val="20"/>
              </w:rPr>
              <w:t>Costs of Economics of HSV diseases</w:t>
            </w:r>
          </w:p>
        </w:tc>
        <w:tc>
          <w:tcPr>
            <w:tcW w:w="1849" w:type="dxa"/>
          </w:tcPr>
          <w:p w14:paraId="0A33B7A2" w14:textId="77777777" w:rsidR="00025823" w:rsidRPr="002A063A" w:rsidRDefault="00025823" w:rsidP="006D3132">
            <w:pPr>
              <w:rPr>
                <w:i/>
                <w:sz w:val="20"/>
                <w:szCs w:val="20"/>
              </w:rPr>
            </w:pPr>
            <w:r w:rsidRPr="002A063A">
              <w:rPr>
                <w:i/>
                <w:sz w:val="20"/>
                <w:szCs w:val="20"/>
              </w:rPr>
              <w:t xml:space="preserve">Economic </w:t>
            </w:r>
          </w:p>
        </w:tc>
        <w:tc>
          <w:tcPr>
            <w:tcW w:w="5801" w:type="dxa"/>
          </w:tcPr>
          <w:p w14:paraId="7D1888BB" w14:textId="77777777" w:rsidR="00025823" w:rsidRPr="002A063A" w:rsidRDefault="00025823" w:rsidP="006D3132">
            <w:pPr>
              <w:rPr>
                <w:bCs/>
                <w:i/>
                <w:sz w:val="20"/>
                <w:szCs w:val="20"/>
              </w:rPr>
            </w:pPr>
            <w:r w:rsidRPr="002A063A">
              <w:rPr>
                <w:bCs/>
                <w:i/>
                <w:sz w:val="20"/>
                <w:szCs w:val="20"/>
              </w:rPr>
              <w:t>("Herpes Simplex"[Mesh] OR "Herpes Genitalis"[Mesh] OR "Herpesvirus 1, Human"[Mesh] OR "Herpesvirus 2, Human"[Mesh] OR genital ulcer*[tiab] OR herpes Labialis[tiab] OR genital herpes[tiab] AND ("Costs and Cost Analysis"[Mesh] OR "Economics"[Mesh] OR "economics" [Subheading] OR "Cost of Illness"[Mesh] OR "Cost Savings"[Mesh] OR "Cost-Benefit Analysis"[Mesh] OR "Health Care Costs"[Mesh] OR "Hospital Costs"[Mesh] OR "Drug Costs"[Mesh] OR "Health Expenditures"[Mesh] )</w:t>
            </w:r>
          </w:p>
          <w:p w14:paraId="314267B1" w14:textId="77777777" w:rsidR="00025823" w:rsidRPr="002A063A" w:rsidRDefault="00025823" w:rsidP="006D3132">
            <w:pPr>
              <w:rPr>
                <w:i/>
                <w:sz w:val="20"/>
                <w:szCs w:val="20"/>
              </w:rPr>
            </w:pPr>
          </w:p>
        </w:tc>
      </w:tr>
      <w:tr w:rsidR="00025823" w:rsidRPr="00EF6B88" w14:paraId="006EAF1B" w14:textId="77777777" w:rsidTr="006D3132">
        <w:tc>
          <w:tcPr>
            <w:tcW w:w="1710" w:type="dxa"/>
            <w:vMerge w:val="restart"/>
          </w:tcPr>
          <w:p w14:paraId="5DC52AA0" w14:textId="77777777" w:rsidR="00025823" w:rsidRPr="002A063A" w:rsidRDefault="00025823" w:rsidP="006D3132">
            <w:pPr>
              <w:rPr>
                <w:i/>
                <w:sz w:val="20"/>
                <w:szCs w:val="20"/>
              </w:rPr>
            </w:pPr>
            <w:r w:rsidRPr="002A063A">
              <w:rPr>
                <w:i/>
                <w:sz w:val="20"/>
                <w:szCs w:val="20"/>
              </w:rPr>
              <w:lastRenderedPageBreak/>
              <w:t>Accrual of costs and benefits</w:t>
            </w:r>
          </w:p>
        </w:tc>
        <w:tc>
          <w:tcPr>
            <w:tcW w:w="1849" w:type="dxa"/>
          </w:tcPr>
          <w:p w14:paraId="700132BC" w14:textId="77777777" w:rsidR="00025823" w:rsidRPr="002A063A" w:rsidRDefault="00025823" w:rsidP="006D3132">
            <w:pPr>
              <w:rPr>
                <w:i/>
                <w:sz w:val="20"/>
                <w:szCs w:val="20"/>
              </w:rPr>
            </w:pPr>
            <w:r w:rsidRPr="002A063A">
              <w:rPr>
                <w:i/>
                <w:sz w:val="20"/>
                <w:szCs w:val="20"/>
              </w:rPr>
              <w:t>Household</w:t>
            </w:r>
          </w:p>
        </w:tc>
        <w:tc>
          <w:tcPr>
            <w:tcW w:w="5801" w:type="dxa"/>
          </w:tcPr>
          <w:p w14:paraId="790444BD" w14:textId="77777777" w:rsidR="00025823" w:rsidRPr="002A063A" w:rsidRDefault="00025823" w:rsidP="006D3132">
            <w:pPr>
              <w:rPr>
                <w:bCs/>
                <w:i/>
                <w:color w:val="000000"/>
                <w:sz w:val="20"/>
                <w:szCs w:val="20"/>
              </w:rPr>
            </w:pPr>
            <w:r w:rsidRPr="002A063A">
              <w:rPr>
                <w:bCs/>
                <w:i/>
                <w:color w:val="000000"/>
                <w:sz w:val="20"/>
                <w:szCs w:val="20"/>
              </w:rPr>
              <w:t>("Herpes Simplex"[Mesh] OR "Herpes Genitalis"[Mesh] OR "Herpesvirus 1, Human"[Mesh] OR "Herpesvirus 2, Human"[Mesh] OR genital ulcer*[tiab] OR herpes Labialis[tiab] OR genital herpes[tiab]) AND ("Family Characteristics"[mesh] OR "Family"[mesh] OR household*[tiab])</w:t>
            </w:r>
          </w:p>
          <w:p w14:paraId="33CDFCF9" w14:textId="77777777" w:rsidR="00025823" w:rsidRPr="002A063A" w:rsidRDefault="00025823" w:rsidP="006D3132">
            <w:pPr>
              <w:rPr>
                <w:i/>
                <w:sz w:val="20"/>
                <w:szCs w:val="20"/>
              </w:rPr>
            </w:pPr>
          </w:p>
        </w:tc>
      </w:tr>
      <w:tr w:rsidR="00025823" w:rsidRPr="00EF6B88" w14:paraId="1AF82F79" w14:textId="77777777" w:rsidTr="006D3132">
        <w:tc>
          <w:tcPr>
            <w:tcW w:w="1710" w:type="dxa"/>
            <w:vMerge/>
          </w:tcPr>
          <w:p w14:paraId="31405FB3" w14:textId="77777777" w:rsidR="00025823" w:rsidRPr="002A063A" w:rsidRDefault="00025823" w:rsidP="006D3132">
            <w:pPr>
              <w:rPr>
                <w:i/>
                <w:sz w:val="20"/>
                <w:szCs w:val="20"/>
              </w:rPr>
            </w:pPr>
          </w:p>
        </w:tc>
        <w:tc>
          <w:tcPr>
            <w:tcW w:w="1849" w:type="dxa"/>
          </w:tcPr>
          <w:p w14:paraId="0DA4150C" w14:textId="77777777" w:rsidR="00025823" w:rsidRPr="002A063A" w:rsidRDefault="00025823" w:rsidP="006D3132">
            <w:pPr>
              <w:rPr>
                <w:i/>
                <w:sz w:val="20"/>
                <w:szCs w:val="20"/>
              </w:rPr>
            </w:pPr>
            <w:r w:rsidRPr="002A063A">
              <w:rPr>
                <w:i/>
                <w:sz w:val="20"/>
                <w:szCs w:val="20"/>
              </w:rPr>
              <w:t>Community</w:t>
            </w:r>
          </w:p>
        </w:tc>
        <w:tc>
          <w:tcPr>
            <w:tcW w:w="5801" w:type="dxa"/>
          </w:tcPr>
          <w:p w14:paraId="6AC8231E" w14:textId="77777777" w:rsidR="00025823" w:rsidRPr="002A063A" w:rsidRDefault="00025823" w:rsidP="006D3132">
            <w:pPr>
              <w:rPr>
                <w:bCs/>
                <w:i/>
                <w:sz w:val="20"/>
                <w:szCs w:val="20"/>
              </w:rPr>
            </w:pPr>
            <w:r w:rsidRPr="002A063A">
              <w:rPr>
                <w:bCs/>
                <w:i/>
                <w:sz w:val="20"/>
                <w:szCs w:val="20"/>
              </w:rPr>
              <w:t>("Herpes Simplex"[Mesh] OR "Herpes Genitalis"[Mesh] OR "Herpesvirus 1, Human"[Mesh] OR "Herpesvirus 2, Human"[Mesh] OR genital ulcer*[tiab] OR herpes Labialis[tiab] OR genital herpes[tiab]) AND ( "Community Health Services/adverse effects"[Mesh] OR "Community Health Services/economics"[Mesh] OR "Community Health Services/education"[Mesh] OR "Community Health Services/epidemiology"[Mesh] OR "Community Health Services/legislation and jurisprudence"[Mesh] OR "Community Health Services/organization and administration"[Mesh] )</w:t>
            </w:r>
          </w:p>
        </w:tc>
      </w:tr>
      <w:tr w:rsidR="00025823" w:rsidRPr="00EF6B88" w14:paraId="55887E47" w14:textId="77777777" w:rsidTr="006D3132">
        <w:tc>
          <w:tcPr>
            <w:tcW w:w="1710" w:type="dxa"/>
          </w:tcPr>
          <w:p w14:paraId="44E462A4" w14:textId="77777777" w:rsidR="00025823" w:rsidRPr="002A063A" w:rsidRDefault="00025823" w:rsidP="00025823">
            <w:pPr>
              <w:rPr>
                <w:i/>
                <w:sz w:val="20"/>
                <w:szCs w:val="20"/>
              </w:rPr>
            </w:pPr>
          </w:p>
        </w:tc>
        <w:tc>
          <w:tcPr>
            <w:tcW w:w="1849" w:type="dxa"/>
          </w:tcPr>
          <w:p w14:paraId="08A90EB0" w14:textId="1C7818E6" w:rsidR="00025823" w:rsidRPr="002A063A" w:rsidRDefault="00025823" w:rsidP="00025823">
            <w:pPr>
              <w:rPr>
                <w:i/>
                <w:sz w:val="20"/>
                <w:szCs w:val="20"/>
              </w:rPr>
            </w:pPr>
            <w:r w:rsidRPr="00F5297F">
              <w:rPr>
                <w:i/>
                <w:sz w:val="20"/>
                <w:szCs w:val="20"/>
              </w:rPr>
              <w:t>Government</w:t>
            </w:r>
          </w:p>
        </w:tc>
        <w:tc>
          <w:tcPr>
            <w:tcW w:w="5801" w:type="dxa"/>
          </w:tcPr>
          <w:p w14:paraId="58A538FF" w14:textId="1FA322AB" w:rsidR="00025823" w:rsidRPr="002A063A" w:rsidRDefault="00025823" w:rsidP="00025823">
            <w:pPr>
              <w:rPr>
                <w:bCs/>
                <w:i/>
                <w:sz w:val="20"/>
                <w:szCs w:val="20"/>
              </w:rPr>
            </w:pPr>
            <w:r w:rsidRPr="00F5297F">
              <w:rPr>
                <w:bCs/>
                <w:i/>
                <w:sz w:val="20"/>
                <w:szCs w:val="20"/>
              </w:rPr>
              <w:t>("Herpes Simplex"[Mesh] OR "Herpes Genitalis"[Mesh] OR "Herpesvirus 1, Human"[Mesh] OR "Herpesvirus 2, Human"[Mesh] OR genital ulcer*[tiab] OR herpes Labialis[tiab] OR genital herpes[tiab]) AND ("Government"[Mesh] OR "State Government"[Mesh] OR "Local Government"[Mesh] OR "Government Programs"[Mesh] OR "Government Agencies"[Mesh] OR "Financing, Government"[Mesh] OR "Government Employees"[Mesh] OR "legislation and jurisprudence" [Subheading])</w:t>
            </w:r>
          </w:p>
        </w:tc>
      </w:tr>
      <w:tr w:rsidR="00025823" w:rsidRPr="00EF6B88" w14:paraId="102FF60B" w14:textId="77777777" w:rsidTr="006D3132">
        <w:tc>
          <w:tcPr>
            <w:tcW w:w="1710" w:type="dxa"/>
          </w:tcPr>
          <w:p w14:paraId="1BCF80AE" w14:textId="77777777" w:rsidR="00025823" w:rsidRPr="002A063A" w:rsidRDefault="00025823" w:rsidP="00025823">
            <w:pPr>
              <w:rPr>
                <w:i/>
                <w:sz w:val="20"/>
                <w:szCs w:val="20"/>
              </w:rPr>
            </w:pPr>
          </w:p>
        </w:tc>
        <w:tc>
          <w:tcPr>
            <w:tcW w:w="1849" w:type="dxa"/>
          </w:tcPr>
          <w:p w14:paraId="028853BA" w14:textId="465FE5F4" w:rsidR="00025823" w:rsidRPr="002A063A" w:rsidRDefault="00025823" w:rsidP="00025823">
            <w:pPr>
              <w:rPr>
                <w:i/>
                <w:sz w:val="20"/>
                <w:szCs w:val="20"/>
              </w:rPr>
            </w:pPr>
            <w:r w:rsidRPr="00F5297F">
              <w:rPr>
                <w:i/>
                <w:sz w:val="20"/>
                <w:szCs w:val="20"/>
              </w:rPr>
              <w:t>Macroeconomic</w:t>
            </w:r>
          </w:p>
        </w:tc>
        <w:tc>
          <w:tcPr>
            <w:tcW w:w="5801" w:type="dxa"/>
          </w:tcPr>
          <w:p w14:paraId="4300C91B" w14:textId="06F7FA0E" w:rsidR="00025823" w:rsidRPr="002A063A" w:rsidRDefault="00025823" w:rsidP="00025823">
            <w:pPr>
              <w:rPr>
                <w:bCs/>
                <w:i/>
                <w:sz w:val="20"/>
                <w:szCs w:val="20"/>
              </w:rPr>
            </w:pPr>
            <w:r w:rsidRPr="00F5297F">
              <w:rPr>
                <w:bCs/>
                <w:i/>
                <w:sz w:val="20"/>
                <w:szCs w:val="20"/>
              </w:rPr>
              <w:t>("Herpes Simplex"[Mesh] OR "Herpes Genitalis"[Mesh] OR "Herpesvirus 1, Human"[Mesh] OR "Herpesvirus 2, Human"[Mesh] OR genital ulcer*[tiab] OR herpes Labialis[tiab] OR genital herpes[tiab]) AND ("GDP"[tiab] OR “national income” [tiab] OR “</w:t>
            </w:r>
            <w:r w:rsidRPr="00F5297F">
              <w:rPr>
                <w:bCs/>
                <w:i/>
                <w:color w:val="000000"/>
                <w:sz w:val="20"/>
                <w:szCs w:val="20"/>
                <w:lang w:eastAsia="en-CA"/>
              </w:rPr>
              <w:t>foreign investment”</w:t>
            </w:r>
            <w:r w:rsidRPr="00F5297F">
              <w:rPr>
                <w:bCs/>
                <w:i/>
                <w:sz w:val="20"/>
                <w:szCs w:val="20"/>
              </w:rPr>
              <w:t xml:space="preserve"> [tiab]</w:t>
            </w:r>
            <w:r w:rsidRPr="00F5297F">
              <w:rPr>
                <w:bCs/>
                <w:i/>
                <w:color w:val="000000"/>
                <w:sz w:val="20"/>
                <w:szCs w:val="20"/>
                <w:lang w:eastAsia="en-CA"/>
              </w:rPr>
              <w:t xml:space="preserve"> OR “consumption”</w:t>
            </w:r>
            <w:r w:rsidRPr="00F5297F">
              <w:rPr>
                <w:bCs/>
                <w:i/>
                <w:sz w:val="20"/>
                <w:szCs w:val="20"/>
              </w:rPr>
              <w:t xml:space="preserve"> [tiab]</w:t>
            </w:r>
            <w:r w:rsidRPr="00F5297F">
              <w:rPr>
                <w:bCs/>
                <w:i/>
                <w:color w:val="000000"/>
                <w:sz w:val="20"/>
                <w:szCs w:val="20"/>
                <w:lang w:eastAsia="en-CA"/>
              </w:rPr>
              <w:t xml:space="preserve"> OR “savings”</w:t>
            </w:r>
            <w:r w:rsidRPr="00F5297F">
              <w:rPr>
                <w:bCs/>
                <w:i/>
                <w:sz w:val="20"/>
                <w:szCs w:val="20"/>
              </w:rPr>
              <w:t xml:space="preserve"> [tiab]</w:t>
            </w:r>
            <w:r w:rsidRPr="00F5297F">
              <w:rPr>
                <w:bCs/>
                <w:i/>
                <w:color w:val="000000"/>
                <w:sz w:val="20"/>
                <w:szCs w:val="20"/>
                <w:lang w:eastAsia="en-CA"/>
              </w:rPr>
              <w:t xml:space="preserve"> OR “output”</w:t>
            </w:r>
            <w:r w:rsidRPr="00F5297F">
              <w:rPr>
                <w:bCs/>
                <w:i/>
                <w:sz w:val="20"/>
                <w:szCs w:val="20"/>
              </w:rPr>
              <w:t xml:space="preserve"> [tiab]</w:t>
            </w:r>
            <w:r w:rsidRPr="00F5297F">
              <w:rPr>
                <w:bCs/>
                <w:i/>
                <w:color w:val="000000"/>
                <w:sz w:val="20"/>
                <w:szCs w:val="20"/>
                <w:lang w:eastAsia="en-CA"/>
              </w:rPr>
              <w:t xml:space="preserve"> OR “growth”</w:t>
            </w:r>
            <w:r w:rsidRPr="00F5297F">
              <w:rPr>
                <w:bCs/>
                <w:i/>
                <w:sz w:val="20"/>
                <w:szCs w:val="20"/>
              </w:rPr>
              <w:t xml:space="preserve"> [tiab])</w:t>
            </w:r>
          </w:p>
        </w:tc>
      </w:tr>
    </w:tbl>
    <w:p w14:paraId="7CA97D07" w14:textId="77777777" w:rsidR="00025823" w:rsidRDefault="00025823" w:rsidP="005D7657">
      <w:pPr>
        <w:jc w:val="both"/>
        <w:rPr>
          <w:rFonts w:ascii="Arial" w:hAnsi="Arial" w:cs="Arial"/>
          <w:b/>
          <w:sz w:val="22"/>
          <w:szCs w:val="22"/>
        </w:rPr>
      </w:pPr>
    </w:p>
    <w:p w14:paraId="0509708D" w14:textId="5C595D35" w:rsidR="008517F2" w:rsidRDefault="008517F2" w:rsidP="005D7657">
      <w:pPr>
        <w:jc w:val="both"/>
        <w:rPr>
          <w:rFonts w:ascii="Arial" w:hAnsi="Arial" w:cs="Arial"/>
          <w:b/>
          <w:sz w:val="22"/>
          <w:szCs w:val="22"/>
        </w:rPr>
      </w:pPr>
    </w:p>
    <w:p w14:paraId="424126BA" w14:textId="12DBE86D" w:rsidR="00025823" w:rsidRPr="001F1C09" w:rsidRDefault="00647993" w:rsidP="00647993">
      <w:pPr>
        <w:pStyle w:val="Caption"/>
        <w:jc w:val="center"/>
        <w:rPr>
          <w:rFonts w:ascii="Arial" w:hAnsi="Arial" w:cs="Arial"/>
          <w:b/>
          <w:color w:val="000000" w:themeColor="text1"/>
          <w:sz w:val="22"/>
          <w:szCs w:val="22"/>
        </w:rPr>
      </w:pPr>
      <w:bookmarkStart w:id="56" w:name="_Toc111481802"/>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5</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Keywords used in literature searches</w:t>
      </w:r>
      <w:bookmarkEnd w:id="56"/>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940"/>
      </w:tblGrid>
      <w:tr w:rsidR="00025823" w:rsidRPr="00C6712B" w14:paraId="32FC02B1" w14:textId="77777777" w:rsidTr="006D3132">
        <w:trPr>
          <w:jc w:val="center"/>
        </w:trPr>
        <w:tc>
          <w:tcPr>
            <w:tcW w:w="2065" w:type="dxa"/>
            <w:tcBorders>
              <w:top w:val="single" w:sz="4" w:space="0" w:color="auto"/>
              <w:bottom w:val="single" w:sz="4" w:space="0" w:color="auto"/>
            </w:tcBorders>
          </w:tcPr>
          <w:p w14:paraId="5DB5D35E" w14:textId="77777777" w:rsidR="00025823" w:rsidRPr="00C6712B" w:rsidRDefault="00025823" w:rsidP="006D3132">
            <w:pPr>
              <w:rPr>
                <w:b/>
                <w:bCs/>
                <w:i/>
                <w:sz w:val="22"/>
                <w:szCs w:val="22"/>
              </w:rPr>
            </w:pPr>
            <w:r w:rsidRPr="00C6712B">
              <w:rPr>
                <w:b/>
                <w:bCs/>
                <w:i/>
                <w:sz w:val="22"/>
                <w:szCs w:val="22"/>
              </w:rPr>
              <w:t xml:space="preserve">Category </w:t>
            </w:r>
          </w:p>
        </w:tc>
        <w:tc>
          <w:tcPr>
            <w:tcW w:w="5940" w:type="dxa"/>
            <w:tcBorders>
              <w:top w:val="single" w:sz="4" w:space="0" w:color="auto"/>
              <w:bottom w:val="single" w:sz="4" w:space="0" w:color="auto"/>
            </w:tcBorders>
          </w:tcPr>
          <w:p w14:paraId="237AA440" w14:textId="77777777" w:rsidR="00025823" w:rsidRPr="00C6712B" w:rsidRDefault="00025823" w:rsidP="006D3132">
            <w:pPr>
              <w:rPr>
                <w:b/>
                <w:bCs/>
                <w:i/>
                <w:sz w:val="22"/>
                <w:szCs w:val="22"/>
              </w:rPr>
            </w:pPr>
            <w:r w:rsidRPr="00C6712B">
              <w:rPr>
                <w:b/>
                <w:bCs/>
                <w:i/>
                <w:sz w:val="22"/>
                <w:szCs w:val="22"/>
              </w:rPr>
              <w:t>Keywords</w:t>
            </w:r>
          </w:p>
        </w:tc>
      </w:tr>
      <w:tr w:rsidR="00025823" w:rsidRPr="00C6712B" w14:paraId="157E4690" w14:textId="77777777" w:rsidTr="006D3132">
        <w:trPr>
          <w:jc w:val="center"/>
        </w:trPr>
        <w:tc>
          <w:tcPr>
            <w:tcW w:w="2065" w:type="dxa"/>
            <w:tcBorders>
              <w:top w:val="single" w:sz="4" w:space="0" w:color="auto"/>
            </w:tcBorders>
          </w:tcPr>
          <w:p w14:paraId="0900192B" w14:textId="77777777" w:rsidR="00025823" w:rsidRPr="00C6712B" w:rsidRDefault="00025823" w:rsidP="006D3132">
            <w:pPr>
              <w:rPr>
                <w:i/>
                <w:sz w:val="22"/>
                <w:szCs w:val="22"/>
              </w:rPr>
            </w:pPr>
            <w:r w:rsidRPr="00C6712B">
              <w:rPr>
                <w:i/>
                <w:sz w:val="22"/>
                <w:szCs w:val="22"/>
              </w:rPr>
              <w:t>Productivity</w:t>
            </w:r>
          </w:p>
        </w:tc>
        <w:tc>
          <w:tcPr>
            <w:tcW w:w="5940" w:type="dxa"/>
            <w:tcBorders>
              <w:top w:val="single" w:sz="4" w:space="0" w:color="auto"/>
            </w:tcBorders>
          </w:tcPr>
          <w:p w14:paraId="63D24A6E" w14:textId="77777777" w:rsidR="00025823" w:rsidRPr="00C6712B" w:rsidRDefault="00025823" w:rsidP="006D3132">
            <w:pPr>
              <w:rPr>
                <w:i/>
                <w:sz w:val="22"/>
                <w:szCs w:val="22"/>
              </w:rPr>
            </w:pPr>
            <w:r w:rsidRPr="00C6712B">
              <w:rPr>
                <w:i/>
                <w:sz w:val="22"/>
                <w:szCs w:val="22"/>
              </w:rPr>
              <w:t>Lifetime productivity, earning$, income, labour, sick days, cognition, cognitive ability, long term disability, mental ability, skills development, school attendance, education, educational outcomes, workforce, GDP</w:t>
            </w:r>
          </w:p>
        </w:tc>
      </w:tr>
      <w:tr w:rsidR="00025823" w:rsidRPr="00C6712B" w14:paraId="00ED328E" w14:textId="77777777" w:rsidTr="006D3132">
        <w:trPr>
          <w:jc w:val="center"/>
        </w:trPr>
        <w:tc>
          <w:tcPr>
            <w:tcW w:w="2065" w:type="dxa"/>
          </w:tcPr>
          <w:p w14:paraId="2865CBAB" w14:textId="77777777" w:rsidR="00025823" w:rsidRPr="00C6712B" w:rsidRDefault="00025823" w:rsidP="006D3132">
            <w:pPr>
              <w:rPr>
                <w:i/>
                <w:sz w:val="22"/>
                <w:szCs w:val="22"/>
              </w:rPr>
            </w:pPr>
            <w:r w:rsidRPr="00C6712B">
              <w:rPr>
                <w:i/>
                <w:sz w:val="22"/>
                <w:szCs w:val="22"/>
              </w:rPr>
              <w:t>Household</w:t>
            </w:r>
          </w:p>
        </w:tc>
        <w:tc>
          <w:tcPr>
            <w:tcW w:w="5940" w:type="dxa"/>
          </w:tcPr>
          <w:p w14:paraId="6443324A" w14:textId="77777777" w:rsidR="00025823" w:rsidRPr="00C6712B" w:rsidRDefault="00025823" w:rsidP="006D3132">
            <w:pPr>
              <w:rPr>
                <w:i/>
                <w:sz w:val="22"/>
                <w:szCs w:val="22"/>
              </w:rPr>
            </w:pPr>
            <w:r w:rsidRPr="00C6712B">
              <w:rPr>
                <w:i/>
                <w:color w:val="000000"/>
                <w:sz w:val="22"/>
                <w:szCs w:val="22"/>
                <w:lang w:eastAsia="en-CA"/>
              </w:rPr>
              <w:t>Fertility, pregnancy, child mortality, female workforce, female employment, labour participation,  dependency ratio</w:t>
            </w:r>
          </w:p>
        </w:tc>
      </w:tr>
      <w:tr w:rsidR="00025823" w:rsidRPr="00C6712B" w14:paraId="62F5F531" w14:textId="77777777" w:rsidTr="006D3132">
        <w:trPr>
          <w:jc w:val="center"/>
        </w:trPr>
        <w:tc>
          <w:tcPr>
            <w:tcW w:w="2065" w:type="dxa"/>
          </w:tcPr>
          <w:p w14:paraId="26B913C1" w14:textId="77777777" w:rsidR="00025823" w:rsidRPr="00C6712B" w:rsidRDefault="00025823" w:rsidP="006D3132">
            <w:pPr>
              <w:rPr>
                <w:i/>
                <w:sz w:val="22"/>
                <w:szCs w:val="22"/>
              </w:rPr>
            </w:pPr>
            <w:r w:rsidRPr="00C6712B">
              <w:rPr>
                <w:i/>
                <w:sz w:val="22"/>
                <w:szCs w:val="22"/>
              </w:rPr>
              <w:t>Community</w:t>
            </w:r>
          </w:p>
        </w:tc>
        <w:tc>
          <w:tcPr>
            <w:tcW w:w="5940" w:type="dxa"/>
          </w:tcPr>
          <w:p w14:paraId="2537A65D" w14:textId="77777777" w:rsidR="00025823" w:rsidRPr="00C6712B" w:rsidRDefault="00025823" w:rsidP="006D3132">
            <w:pPr>
              <w:rPr>
                <w:i/>
                <w:sz w:val="22"/>
                <w:szCs w:val="22"/>
              </w:rPr>
            </w:pPr>
            <w:r w:rsidRPr="00C6712B">
              <w:rPr>
                <w:i/>
                <w:sz w:val="22"/>
                <w:szCs w:val="22"/>
              </w:rPr>
              <w:t>Herd effects, herd immunity, antibiotic resistance, drug resistant strain, transmission dynamic model, serotype replacement, non-vaccine serotype</w:t>
            </w:r>
          </w:p>
        </w:tc>
      </w:tr>
      <w:tr w:rsidR="00025823" w:rsidRPr="00C6712B" w14:paraId="54D82C7D" w14:textId="77777777" w:rsidTr="006D3132">
        <w:trPr>
          <w:jc w:val="center"/>
        </w:trPr>
        <w:tc>
          <w:tcPr>
            <w:tcW w:w="2065" w:type="dxa"/>
          </w:tcPr>
          <w:p w14:paraId="10CC523A" w14:textId="77777777" w:rsidR="00025823" w:rsidRPr="00C6712B" w:rsidRDefault="00025823" w:rsidP="006D3132">
            <w:pPr>
              <w:rPr>
                <w:i/>
                <w:sz w:val="22"/>
                <w:szCs w:val="22"/>
              </w:rPr>
            </w:pPr>
            <w:r w:rsidRPr="00C6712B">
              <w:rPr>
                <w:i/>
                <w:sz w:val="22"/>
                <w:szCs w:val="22"/>
              </w:rPr>
              <w:t>Equity</w:t>
            </w:r>
          </w:p>
        </w:tc>
        <w:tc>
          <w:tcPr>
            <w:tcW w:w="5940" w:type="dxa"/>
          </w:tcPr>
          <w:p w14:paraId="097B28C8" w14:textId="77777777" w:rsidR="00025823" w:rsidRPr="00C6712B" w:rsidRDefault="00025823" w:rsidP="006D3132">
            <w:pPr>
              <w:rPr>
                <w:i/>
                <w:sz w:val="22"/>
                <w:szCs w:val="22"/>
              </w:rPr>
            </w:pPr>
            <w:r w:rsidRPr="00C6712B">
              <w:rPr>
                <w:i/>
                <w:sz w:val="22"/>
                <w:szCs w:val="22"/>
              </w:rPr>
              <w:t>Equity, horizontal equity, vertical equity, distribution$</w:t>
            </w:r>
          </w:p>
        </w:tc>
      </w:tr>
      <w:tr w:rsidR="00025823" w:rsidRPr="00C6712B" w14:paraId="26BEDB95" w14:textId="77777777" w:rsidTr="006D3132">
        <w:trPr>
          <w:jc w:val="center"/>
        </w:trPr>
        <w:tc>
          <w:tcPr>
            <w:tcW w:w="2065" w:type="dxa"/>
          </w:tcPr>
          <w:p w14:paraId="042F9B38" w14:textId="77777777" w:rsidR="00025823" w:rsidRPr="00C6712B" w:rsidRDefault="00025823" w:rsidP="006D3132">
            <w:pPr>
              <w:rPr>
                <w:i/>
                <w:sz w:val="22"/>
                <w:szCs w:val="22"/>
              </w:rPr>
            </w:pPr>
            <w:r w:rsidRPr="00C6712B">
              <w:rPr>
                <w:i/>
                <w:sz w:val="22"/>
                <w:szCs w:val="22"/>
              </w:rPr>
              <w:t>Macroeconomy</w:t>
            </w:r>
          </w:p>
        </w:tc>
        <w:tc>
          <w:tcPr>
            <w:tcW w:w="5940" w:type="dxa"/>
          </w:tcPr>
          <w:p w14:paraId="316264B9" w14:textId="77777777" w:rsidR="00025823" w:rsidRPr="00C6712B" w:rsidRDefault="00025823" w:rsidP="006D3132">
            <w:pPr>
              <w:rPr>
                <w:i/>
                <w:sz w:val="22"/>
                <w:szCs w:val="22"/>
              </w:rPr>
            </w:pPr>
            <w:r w:rsidRPr="00C6712B">
              <w:rPr>
                <w:i/>
                <w:color w:val="000000"/>
                <w:sz w:val="22"/>
                <w:szCs w:val="22"/>
                <w:lang w:eastAsia="en-CA"/>
              </w:rPr>
              <w:t>GDP, national income, foreign investment, consumption, saving$, output, growth, sectoral loss</w:t>
            </w:r>
          </w:p>
        </w:tc>
      </w:tr>
      <w:tr w:rsidR="00025823" w:rsidRPr="00C6712B" w14:paraId="42B12FD0" w14:textId="77777777" w:rsidTr="006D3132">
        <w:trPr>
          <w:jc w:val="center"/>
        </w:trPr>
        <w:tc>
          <w:tcPr>
            <w:tcW w:w="2065" w:type="dxa"/>
          </w:tcPr>
          <w:p w14:paraId="02FABCD2" w14:textId="77777777" w:rsidR="00025823" w:rsidRPr="00C6712B" w:rsidRDefault="00025823" w:rsidP="006D3132">
            <w:pPr>
              <w:rPr>
                <w:i/>
                <w:sz w:val="22"/>
                <w:szCs w:val="22"/>
              </w:rPr>
            </w:pPr>
          </w:p>
        </w:tc>
        <w:tc>
          <w:tcPr>
            <w:tcW w:w="5940" w:type="dxa"/>
          </w:tcPr>
          <w:p w14:paraId="682A8806" w14:textId="77777777" w:rsidR="00025823" w:rsidRPr="00C6712B" w:rsidRDefault="00025823" w:rsidP="006D3132">
            <w:pPr>
              <w:rPr>
                <w:i/>
                <w:color w:val="000000"/>
                <w:sz w:val="22"/>
                <w:szCs w:val="22"/>
                <w:lang w:eastAsia="en-CA"/>
              </w:rPr>
            </w:pPr>
          </w:p>
        </w:tc>
      </w:tr>
    </w:tbl>
    <w:p w14:paraId="33D64E92" w14:textId="77777777" w:rsidR="00025823" w:rsidRDefault="00025823" w:rsidP="005D7657">
      <w:pPr>
        <w:jc w:val="both"/>
        <w:rPr>
          <w:rFonts w:ascii="Arial" w:hAnsi="Arial" w:cs="Arial"/>
          <w:b/>
          <w:sz w:val="22"/>
          <w:szCs w:val="22"/>
        </w:rPr>
      </w:pPr>
    </w:p>
    <w:p w14:paraId="06EB60A2" w14:textId="4A1FAC77" w:rsidR="00025823" w:rsidRDefault="00025823" w:rsidP="005D7657">
      <w:pPr>
        <w:jc w:val="both"/>
        <w:rPr>
          <w:rFonts w:ascii="Arial" w:hAnsi="Arial" w:cs="Arial"/>
          <w:b/>
          <w:sz w:val="22"/>
          <w:szCs w:val="22"/>
        </w:rPr>
      </w:pPr>
    </w:p>
    <w:p w14:paraId="1F7813FA" w14:textId="480DEC3D" w:rsidR="00B06491" w:rsidRPr="001F1C09" w:rsidRDefault="00647993" w:rsidP="00647993">
      <w:pPr>
        <w:pStyle w:val="Caption"/>
        <w:jc w:val="center"/>
        <w:rPr>
          <w:rFonts w:ascii="Arial" w:hAnsi="Arial" w:cs="Arial"/>
          <w:b/>
          <w:color w:val="000000" w:themeColor="text1"/>
          <w:sz w:val="22"/>
          <w:szCs w:val="22"/>
        </w:rPr>
      </w:pPr>
      <w:bookmarkStart w:id="57" w:name="_Toc111481803"/>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6</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Treatment Guidelines Assumed</w:t>
      </w:r>
      <w:bookmarkEnd w:id="57"/>
    </w:p>
    <w:tbl>
      <w:tblPr>
        <w:tblW w:w="9000" w:type="dxa"/>
        <w:jc w:val="center"/>
        <w:tblBorders>
          <w:top w:val="single" w:sz="4" w:space="0" w:color="auto"/>
          <w:bottom w:val="single" w:sz="4" w:space="0" w:color="auto"/>
        </w:tblBorders>
        <w:tblLayout w:type="fixed"/>
        <w:tblLook w:val="04A0" w:firstRow="1" w:lastRow="0" w:firstColumn="1" w:lastColumn="0" w:noHBand="0" w:noVBand="1"/>
      </w:tblPr>
      <w:tblGrid>
        <w:gridCol w:w="1620"/>
        <w:gridCol w:w="1420"/>
        <w:gridCol w:w="2000"/>
        <w:gridCol w:w="2430"/>
        <w:gridCol w:w="1530"/>
      </w:tblGrid>
      <w:tr w:rsidR="008517F2" w:rsidRPr="003409C7" w14:paraId="03D3361E" w14:textId="77777777" w:rsidTr="008517F2">
        <w:trPr>
          <w:trHeight w:val="320"/>
          <w:jc w:val="center"/>
        </w:trPr>
        <w:tc>
          <w:tcPr>
            <w:tcW w:w="1620" w:type="dxa"/>
            <w:tcBorders>
              <w:top w:val="single" w:sz="4" w:space="0" w:color="auto"/>
              <w:bottom w:val="single" w:sz="4" w:space="0" w:color="auto"/>
            </w:tcBorders>
            <w:shd w:val="clear" w:color="auto" w:fill="auto"/>
            <w:noWrap/>
            <w:vAlign w:val="bottom"/>
            <w:hideMark/>
          </w:tcPr>
          <w:p w14:paraId="75638532" w14:textId="77777777" w:rsidR="008517F2" w:rsidRPr="002A063A" w:rsidRDefault="008517F2" w:rsidP="008517F2">
            <w:pPr>
              <w:rPr>
                <w:b/>
                <w:bCs/>
                <w:color w:val="000000"/>
                <w:sz w:val="20"/>
                <w:szCs w:val="20"/>
              </w:rPr>
            </w:pPr>
            <w:r w:rsidRPr="002A063A">
              <w:rPr>
                <w:b/>
                <w:bCs/>
                <w:color w:val="000000"/>
                <w:sz w:val="20"/>
                <w:szCs w:val="20"/>
              </w:rPr>
              <w:t>Country</w:t>
            </w:r>
          </w:p>
        </w:tc>
        <w:tc>
          <w:tcPr>
            <w:tcW w:w="1420" w:type="dxa"/>
            <w:tcBorders>
              <w:top w:val="single" w:sz="4" w:space="0" w:color="auto"/>
              <w:bottom w:val="single" w:sz="4" w:space="0" w:color="auto"/>
            </w:tcBorders>
            <w:shd w:val="clear" w:color="auto" w:fill="auto"/>
            <w:noWrap/>
            <w:vAlign w:val="bottom"/>
            <w:hideMark/>
          </w:tcPr>
          <w:p w14:paraId="05F9B2AC" w14:textId="77777777" w:rsidR="008517F2" w:rsidRPr="002A063A" w:rsidRDefault="008517F2" w:rsidP="008517F2">
            <w:pPr>
              <w:rPr>
                <w:b/>
                <w:bCs/>
                <w:color w:val="000000"/>
                <w:sz w:val="20"/>
                <w:szCs w:val="20"/>
              </w:rPr>
            </w:pPr>
            <w:r w:rsidRPr="002A063A">
              <w:rPr>
                <w:b/>
                <w:bCs/>
                <w:color w:val="000000"/>
                <w:sz w:val="20"/>
                <w:szCs w:val="20"/>
              </w:rPr>
              <w:t>WHO Region</w:t>
            </w:r>
          </w:p>
        </w:tc>
        <w:tc>
          <w:tcPr>
            <w:tcW w:w="2000" w:type="dxa"/>
            <w:tcBorders>
              <w:top w:val="single" w:sz="4" w:space="0" w:color="auto"/>
              <w:bottom w:val="single" w:sz="4" w:space="0" w:color="auto"/>
            </w:tcBorders>
            <w:shd w:val="clear" w:color="auto" w:fill="auto"/>
            <w:noWrap/>
            <w:vAlign w:val="bottom"/>
            <w:hideMark/>
          </w:tcPr>
          <w:p w14:paraId="57482C5A" w14:textId="77777777" w:rsidR="008517F2" w:rsidRPr="002A063A" w:rsidRDefault="008517F2" w:rsidP="008517F2">
            <w:pPr>
              <w:rPr>
                <w:b/>
                <w:bCs/>
                <w:color w:val="000000"/>
                <w:sz w:val="20"/>
                <w:szCs w:val="20"/>
              </w:rPr>
            </w:pPr>
            <w:r w:rsidRPr="002A063A">
              <w:rPr>
                <w:b/>
                <w:bCs/>
                <w:color w:val="000000"/>
                <w:sz w:val="20"/>
                <w:szCs w:val="20"/>
              </w:rPr>
              <w:t>Income Group</w:t>
            </w:r>
          </w:p>
        </w:tc>
        <w:tc>
          <w:tcPr>
            <w:tcW w:w="2430" w:type="dxa"/>
            <w:tcBorders>
              <w:top w:val="single" w:sz="4" w:space="0" w:color="auto"/>
              <w:bottom w:val="single" w:sz="4" w:space="0" w:color="auto"/>
            </w:tcBorders>
            <w:shd w:val="clear" w:color="auto" w:fill="auto"/>
            <w:noWrap/>
            <w:vAlign w:val="bottom"/>
            <w:hideMark/>
          </w:tcPr>
          <w:p w14:paraId="06DA578F" w14:textId="77777777" w:rsidR="008517F2" w:rsidRPr="002A063A" w:rsidRDefault="008517F2" w:rsidP="008517F2">
            <w:pPr>
              <w:rPr>
                <w:b/>
                <w:bCs/>
                <w:color w:val="000000"/>
                <w:sz w:val="20"/>
                <w:szCs w:val="20"/>
              </w:rPr>
            </w:pPr>
            <w:r w:rsidRPr="002A063A">
              <w:rPr>
                <w:b/>
                <w:bCs/>
                <w:color w:val="000000"/>
                <w:sz w:val="20"/>
                <w:szCs w:val="20"/>
              </w:rPr>
              <w:t>Guidelines</w:t>
            </w:r>
          </w:p>
        </w:tc>
        <w:tc>
          <w:tcPr>
            <w:tcW w:w="1530" w:type="dxa"/>
            <w:tcBorders>
              <w:top w:val="single" w:sz="4" w:space="0" w:color="auto"/>
              <w:bottom w:val="single" w:sz="4" w:space="0" w:color="auto"/>
            </w:tcBorders>
            <w:shd w:val="clear" w:color="auto" w:fill="auto"/>
            <w:noWrap/>
            <w:vAlign w:val="bottom"/>
            <w:hideMark/>
          </w:tcPr>
          <w:p w14:paraId="015DBAC8" w14:textId="77777777" w:rsidR="008517F2" w:rsidRPr="002A063A" w:rsidRDefault="008517F2" w:rsidP="008517F2">
            <w:pPr>
              <w:rPr>
                <w:b/>
                <w:bCs/>
                <w:color w:val="000000"/>
                <w:sz w:val="20"/>
                <w:szCs w:val="20"/>
              </w:rPr>
            </w:pPr>
            <w:r w:rsidRPr="002A063A">
              <w:rPr>
                <w:b/>
                <w:bCs/>
                <w:color w:val="000000"/>
                <w:sz w:val="20"/>
                <w:szCs w:val="20"/>
              </w:rPr>
              <w:t>Source</w:t>
            </w:r>
          </w:p>
        </w:tc>
      </w:tr>
      <w:tr w:rsidR="008517F2" w:rsidRPr="003409C7" w14:paraId="6DFC57C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8CFDDDC" w14:textId="77777777" w:rsidR="008517F2" w:rsidRPr="002A063A" w:rsidRDefault="008517F2" w:rsidP="008517F2">
            <w:pPr>
              <w:rPr>
                <w:sz w:val="20"/>
                <w:szCs w:val="20"/>
              </w:rPr>
            </w:pPr>
            <w:r w:rsidRPr="002A063A">
              <w:rPr>
                <w:sz w:val="20"/>
                <w:szCs w:val="20"/>
              </w:rPr>
              <w:lastRenderedPageBreak/>
              <w:t>Afghanistan</w:t>
            </w:r>
          </w:p>
        </w:tc>
        <w:tc>
          <w:tcPr>
            <w:tcW w:w="1420" w:type="dxa"/>
            <w:tcBorders>
              <w:top w:val="single" w:sz="4" w:space="0" w:color="auto"/>
              <w:bottom w:val="single" w:sz="4" w:space="0" w:color="auto"/>
            </w:tcBorders>
            <w:shd w:val="clear" w:color="auto" w:fill="auto"/>
            <w:noWrap/>
            <w:vAlign w:val="bottom"/>
            <w:hideMark/>
          </w:tcPr>
          <w:p w14:paraId="397F38C4"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60B18ABF"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1624AF8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86ECEB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C2B6E7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4C07AB0" w14:textId="77777777" w:rsidR="008517F2" w:rsidRPr="002A063A" w:rsidRDefault="008517F2" w:rsidP="008517F2">
            <w:pPr>
              <w:rPr>
                <w:sz w:val="20"/>
                <w:szCs w:val="20"/>
              </w:rPr>
            </w:pPr>
            <w:r w:rsidRPr="002A063A">
              <w:rPr>
                <w:sz w:val="20"/>
                <w:szCs w:val="20"/>
              </w:rPr>
              <w:t>Albania</w:t>
            </w:r>
          </w:p>
        </w:tc>
        <w:tc>
          <w:tcPr>
            <w:tcW w:w="1420" w:type="dxa"/>
            <w:tcBorders>
              <w:top w:val="single" w:sz="4" w:space="0" w:color="auto"/>
              <w:bottom w:val="single" w:sz="4" w:space="0" w:color="auto"/>
            </w:tcBorders>
            <w:shd w:val="clear" w:color="auto" w:fill="auto"/>
            <w:noWrap/>
            <w:vAlign w:val="bottom"/>
            <w:hideMark/>
          </w:tcPr>
          <w:p w14:paraId="672F5C1F"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1EEDF538"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9E524A9"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56BC2D87"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FB4B4C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93A47BC" w14:textId="77777777" w:rsidR="008517F2" w:rsidRPr="002A063A" w:rsidRDefault="008517F2" w:rsidP="008517F2">
            <w:pPr>
              <w:rPr>
                <w:sz w:val="20"/>
                <w:szCs w:val="20"/>
              </w:rPr>
            </w:pPr>
            <w:r w:rsidRPr="002A063A">
              <w:rPr>
                <w:sz w:val="20"/>
                <w:szCs w:val="20"/>
              </w:rPr>
              <w:t>Algeria</w:t>
            </w:r>
          </w:p>
        </w:tc>
        <w:tc>
          <w:tcPr>
            <w:tcW w:w="1420" w:type="dxa"/>
            <w:tcBorders>
              <w:top w:val="single" w:sz="4" w:space="0" w:color="auto"/>
              <w:bottom w:val="single" w:sz="4" w:space="0" w:color="auto"/>
            </w:tcBorders>
            <w:shd w:val="clear" w:color="auto" w:fill="auto"/>
            <w:noWrap/>
            <w:vAlign w:val="bottom"/>
            <w:hideMark/>
          </w:tcPr>
          <w:p w14:paraId="4BDEFC72"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48772B6"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1B488D0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957286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323CCF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2872DB3" w14:textId="77777777" w:rsidR="008517F2" w:rsidRPr="002A063A" w:rsidRDefault="008517F2" w:rsidP="008517F2">
            <w:pPr>
              <w:rPr>
                <w:sz w:val="20"/>
                <w:szCs w:val="20"/>
              </w:rPr>
            </w:pPr>
            <w:r w:rsidRPr="002A063A">
              <w:rPr>
                <w:sz w:val="20"/>
                <w:szCs w:val="20"/>
              </w:rPr>
              <w:t>American Samoa</w:t>
            </w:r>
          </w:p>
        </w:tc>
        <w:tc>
          <w:tcPr>
            <w:tcW w:w="1420" w:type="dxa"/>
            <w:tcBorders>
              <w:top w:val="single" w:sz="4" w:space="0" w:color="auto"/>
              <w:bottom w:val="single" w:sz="4" w:space="0" w:color="auto"/>
            </w:tcBorders>
            <w:shd w:val="clear" w:color="auto" w:fill="auto"/>
            <w:noWrap/>
            <w:vAlign w:val="bottom"/>
            <w:hideMark/>
          </w:tcPr>
          <w:p w14:paraId="56F100D8" w14:textId="77777777" w:rsidR="008517F2" w:rsidRPr="002A063A" w:rsidRDefault="008517F2" w:rsidP="008517F2">
            <w:pPr>
              <w:rPr>
                <w:color w:val="000000"/>
                <w:sz w:val="20"/>
                <w:szCs w:val="20"/>
              </w:rPr>
            </w:pPr>
            <w:r w:rsidRPr="002A063A">
              <w:rPr>
                <w:color w:val="000000"/>
                <w:sz w:val="20"/>
                <w:szCs w:val="20"/>
              </w:rPr>
              <w:t>OTHR</w:t>
            </w:r>
          </w:p>
        </w:tc>
        <w:tc>
          <w:tcPr>
            <w:tcW w:w="2000" w:type="dxa"/>
            <w:tcBorders>
              <w:top w:val="single" w:sz="4" w:space="0" w:color="auto"/>
              <w:bottom w:val="single" w:sz="4" w:space="0" w:color="auto"/>
            </w:tcBorders>
            <w:shd w:val="clear" w:color="auto" w:fill="auto"/>
            <w:noWrap/>
            <w:vAlign w:val="bottom"/>
            <w:hideMark/>
          </w:tcPr>
          <w:p w14:paraId="76BA4FFB"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649B5781"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678CB8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F8F7B5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F7ABC95" w14:textId="77777777" w:rsidR="008517F2" w:rsidRPr="002A063A" w:rsidRDefault="008517F2" w:rsidP="008517F2">
            <w:pPr>
              <w:rPr>
                <w:sz w:val="20"/>
                <w:szCs w:val="20"/>
              </w:rPr>
            </w:pPr>
            <w:r w:rsidRPr="002A063A">
              <w:rPr>
                <w:sz w:val="20"/>
                <w:szCs w:val="20"/>
              </w:rPr>
              <w:t>Angola</w:t>
            </w:r>
          </w:p>
        </w:tc>
        <w:tc>
          <w:tcPr>
            <w:tcW w:w="1420" w:type="dxa"/>
            <w:tcBorders>
              <w:top w:val="single" w:sz="4" w:space="0" w:color="auto"/>
              <w:bottom w:val="single" w:sz="4" w:space="0" w:color="auto"/>
            </w:tcBorders>
            <w:shd w:val="clear" w:color="auto" w:fill="auto"/>
            <w:noWrap/>
            <w:vAlign w:val="bottom"/>
            <w:hideMark/>
          </w:tcPr>
          <w:p w14:paraId="42A150FB"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1AC9782"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53D2667"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5F6FE87"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82D8B4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E7B09C6" w14:textId="77777777" w:rsidR="008517F2" w:rsidRPr="002A063A" w:rsidRDefault="008517F2" w:rsidP="008517F2">
            <w:pPr>
              <w:rPr>
                <w:sz w:val="20"/>
                <w:szCs w:val="20"/>
              </w:rPr>
            </w:pPr>
            <w:r w:rsidRPr="002A063A">
              <w:rPr>
                <w:sz w:val="20"/>
                <w:szCs w:val="20"/>
              </w:rPr>
              <w:t>Armenia</w:t>
            </w:r>
          </w:p>
        </w:tc>
        <w:tc>
          <w:tcPr>
            <w:tcW w:w="1420" w:type="dxa"/>
            <w:tcBorders>
              <w:top w:val="single" w:sz="4" w:space="0" w:color="auto"/>
              <w:bottom w:val="single" w:sz="4" w:space="0" w:color="auto"/>
            </w:tcBorders>
            <w:shd w:val="clear" w:color="auto" w:fill="auto"/>
            <w:noWrap/>
            <w:vAlign w:val="bottom"/>
            <w:hideMark/>
          </w:tcPr>
          <w:p w14:paraId="6132DCF9"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775439CF"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753AB5FA"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68643AB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9BBB14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644BB85" w14:textId="77777777" w:rsidR="008517F2" w:rsidRPr="002A063A" w:rsidRDefault="008517F2" w:rsidP="008517F2">
            <w:pPr>
              <w:rPr>
                <w:sz w:val="20"/>
                <w:szCs w:val="20"/>
              </w:rPr>
            </w:pPr>
            <w:r w:rsidRPr="002A063A">
              <w:rPr>
                <w:sz w:val="20"/>
                <w:szCs w:val="20"/>
              </w:rPr>
              <w:t>Azerbaijan</w:t>
            </w:r>
          </w:p>
        </w:tc>
        <w:tc>
          <w:tcPr>
            <w:tcW w:w="1420" w:type="dxa"/>
            <w:tcBorders>
              <w:top w:val="single" w:sz="4" w:space="0" w:color="auto"/>
              <w:bottom w:val="single" w:sz="4" w:space="0" w:color="auto"/>
            </w:tcBorders>
            <w:shd w:val="clear" w:color="auto" w:fill="auto"/>
            <w:noWrap/>
            <w:vAlign w:val="bottom"/>
            <w:hideMark/>
          </w:tcPr>
          <w:p w14:paraId="05DAB4E9"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325B0F16"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6A5E7A8F"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4590A94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EEEF410"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08D0DD9" w14:textId="77777777" w:rsidR="008517F2" w:rsidRPr="002A063A" w:rsidRDefault="008517F2" w:rsidP="008517F2">
            <w:pPr>
              <w:rPr>
                <w:sz w:val="20"/>
                <w:szCs w:val="20"/>
              </w:rPr>
            </w:pPr>
            <w:r w:rsidRPr="002A063A">
              <w:rPr>
                <w:sz w:val="20"/>
                <w:szCs w:val="20"/>
              </w:rPr>
              <w:t>Bangladesh</w:t>
            </w:r>
          </w:p>
        </w:tc>
        <w:tc>
          <w:tcPr>
            <w:tcW w:w="1420" w:type="dxa"/>
            <w:tcBorders>
              <w:top w:val="single" w:sz="4" w:space="0" w:color="auto"/>
              <w:bottom w:val="single" w:sz="4" w:space="0" w:color="auto"/>
            </w:tcBorders>
            <w:shd w:val="clear" w:color="auto" w:fill="auto"/>
            <w:noWrap/>
            <w:vAlign w:val="bottom"/>
            <w:hideMark/>
          </w:tcPr>
          <w:p w14:paraId="0E58E685"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039047FF"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5126C6A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79F8CF2"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F32305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015BC9D" w14:textId="77777777" w:rsidR="008517F2" w:rsidRPr="002A063A" w:rsidRDefault="008517F2" w:rsidP="008517F2">
            <w:pPr>
              <w:rPr>
                <w:sz w:val="20"/>
                <w:szCs w:val="20"/>
              </w:rPr>
            </w:pPr>
            <w:r w:rsidRPr="002A063A">
              <w:rPr>
                <w:sz w:val="20"/>
                <w:szCs w:val="20"/>
              </w:rPr>
              <w:t>Belarus</w:t>
            </w:r>
          </w:p>
        </w:tc>
        <w:tc>
          <w:tcPr>
            <w:tcW w:w="1420" w:type="dxa"/>
            <w:tcBorders>
              <w:top w:val="single" w:sz="4" w:space="0" w:color="auto"/>
              <w:bottom w:val="single" w:sz="4" w:space="0" w:color="auto"/>
            </w:tcBorders>
            <w:shd w:val="clear" w:color="auto" w:fill="auto"/>
            <w:noWrap/>
            <w:vAlign w:val="bottom"/>
            <w:hideMark/>
          </w:tcPr>
          <w:p w14:paraId="6CF1B2B7"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0F6214F6"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0CAEC39"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43D50BC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60DC4F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375E316" w14:textId="77777777" w:rsidR="008517F2" w:rsidRPr="002A063A" w:rsidRDefault="008517F2" w:rsidP="008517F2">
            <w:pPr>
              <w:rPr>
                <w:sz w:val="20"/>
                <w:szCs w:val="20"/>
              </w:rPr>
            </w:pPr>
            <w:r w:rsidRPr="002A063A">
              <w:rPr>
                <w:sz w:val="20"/>
                <w:szCs w:val="20"/>
              </w:rPr>
              <w:t>Belize</w:t>
            </w:r>
          </w:p>
        </w:tc>
        <w:tc>
          <w:tcPr>
            <w:tcW w:w="1420" w:type="dxa"/>
            <w:tcBorders>
              <w:top w:val="single" w:sz="4" w:space="0" w:color="auto"/>
              <w:bottom w:val="single" w:sz="4" w:space="0" w:color="auto"/>
            </w:tcBorders>
            <w:shd w:val="clear" w:color="auto" w:fill="auto"/>
            <w:noWrap/>
            <w:vAlign w:val="bottom"/>
            <w:hideMark/>
          </w:tcPr>
          <w:p w14:paraId="7C95762A"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0CE32BC9"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21381AF"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162CAE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B336DE7"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94A6DE1" w14:textId="77777777" w:rsidR="008517F2" w:rsidRPr="002A063A" w:rsidRDefault="008517F2" w:rsidP="008517F2">
            <w:pPr>
              <w:rPr>
                <w:sz w:val="20"/>
                <w:szCs w:val="20"/>
              </w:rPr>
            </w:pPr>
            <w:r w:rsidRPr="002A063A">
              <w:rPr>
                <w:sz w:val="20"/>
                <w:szCs w:val="20"/>
              </w:rPr>
              <w:t>Benin</w:t>
            </w:r>
          </w:p>
        </w:tc>
        <w:tc>
          <w:tcPr>
            <w:tcW w:w="1420" w:type="dxa"/>
            <w:tcBorders>
              <w:top w:val="single" w:sz="4" w:space="0" w:color="auto"/>
              <w:bottom w:val="single" w:sz="4" w:space="0" w:color="auto"/>
            </w:tcBorders>
            <w:shd w:val="clear" w:color="auto" w:fill="auto"/>
            <w:noWrap/>
            <w:vAlign w:val="bottom"/>
            <w:hideMark/>
          </w:tcPr>
          <w:p w14:paraId="17664062"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8C0BBCE"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24F19D43"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42ADB7E"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179D43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F0C1DCB" w14:textId="77777777" w:rsidR="008517F2" w:rsidRPr="002A063A" w:rsidRDefault="008517F2" w:rsidP="008517F2">
            <w:pPr>
              <w:rPr>
                <w:sz w:val="20"/>
                <w:szCs w:val="20"/>
              </w:rPr>
            </w:pPr>
            <w:r w:rsidRPr="002A063A">
              <w:rPr>
                <w:sz w:val="20"/>
                <w:szCs w:val="20"/>
              </w:rPr>
              <w:t>Bhutan</w:t>
            </w:r>
          </w:p>
        </w:tc>
        <w:tc>
          <w:tcPr>
            <w:tcW w:w="1420" w:type="dxa"/>
            <w:tcBorders>
              <w:top w:val="single" w:sz="4" w:space="0" w:color="auto"/>
              <w:bottom w:val="single" w:sz="4" w:space="0" w:color="auto"/>
            </w:tcBorders>
            <w:shd w:val="clear" w:color="auto" w:fill="auto"/>
            <w:noWrap/>
            <w:vAlign w:val="bottom"/>
            <w:hideMark/>
          </w:tcPr>
          <w:p w14:paraId="6EDFDDA5"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1D46E82C"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4445A2BF" w14:textId="77777777" w:rsidR="008517F2" w:rsidRPr="002A063A" w:rsidRDefault="008517F2" w:rsidP="008517F2">
            <w:pPr>
              <w:rPr>
                <w:color w:val="000000"/>
                <w:sz w:val="20"/>
                <w:szCs w:val="20"/>
              </w:rPr>
            </w:pPr>
            <w:r w:rsidRPr="002A063A">
              <w:rPr>
                <w:color w:val="000000"/>
                <w:sz w:val="20"/>
                <w:szCs w:val="20"/>
              </w:rPr>
              <w:t>National guidelines 2009</w:t>
            </w:r>
          </w:p>
        </w:tc>
        <w:tc>
          <w:tcPr>
            <w:tcW w:w="1530" w:type="dxa"/>
            <w:tcBorders>
              <w:top w:val="single" w:sz="4" w:space="0" w:color="auto"/>
              <w:bottom w:val="single" w:sz="4" w:space="0" w:color="auto"/>
            </w:tcBorders>
            <w:shd w:val="clear" w:color="auto" w:fill="auto"/>
            <w:noWrap/>
            <w:vAlign w:val="bottom"/>
            <w:hideMark/>
          </w:tcPr>
          <w:p w14:paraId="3E814D28" w14:textId="77777777" w:rsidR="008517F2" w:rsidRPr="002A063A" w:rsidRDefault="008517F2" w:rsidP="008517F2">
            <w:pPr>
              <w:rPr>
                <w:color w:val="000000"/>
                <w:sz w:val="20"/>
                <w:szCs w:val="20"/>
              </w:rPr>
            </w:pPr>
          </w:p>
        </w:tc>
      </w:tr>
      <w:tr w:rsidR="008517F2" w:rsidRPr="003409C7" w14:paraId="02E11F6B"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9CF3645" w14:textId="77777777" w:rsidR="008517F2" w:rsidRPr="002A063A" w:rsidRDefault="008517F2" w:rsidP="008517F2">
            <w:pPr>
              <w:rPr>
                <w:sz w:val="20"/>
                <w:szCs w:val="20"/>
              </w:rPr>
            </w:pPr>
            <w:r w:rsidRPr="002A063A">
              <w:rPr>
                <w:sz w:val="20"/>
                <w:szCs w:val="20"/>
              </w:rPr>
              <w:t>Bolivia</w:t>
            </w:r>
          </w:p>
        </w:tc>
        <w:tc>
          <w:tcPr>
            <w:tcW w:w="1420" w:type="dxa"/>
            <w:tcBorders>
              <w:top w:val="single" w:sz="4" w:space="0" w:color="auto"/>
              <w:bottom w:val="single" w:sz="4" w:space="0" w:color="auto"/>
            </w:tcBorders>
            <w:shd w:val="clear" w:color="auto" w:fill="auto"/>
            <w:noWrap/>
            <w:vAlign w:val="bottom"/>
            <w:hideMark/>
          </w:tcPr>
          <w:p w14:paraId="5D61CB4F"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0BC17DA1"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8FD3A7E"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5B9C5A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C2812B0"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17F0DBC" w14:textId="77777777" w:rsidR="008517F2" w:rsidRPr="002A063A" w:rsidRDefault="008517F2" w:rsidP="008517F2">
            <w:pPr>
              <w:rPr>
                <w:sz w:val="20"/>
                <w:szCs w:val="20"/>
              </w:rPr>
            </w:pPr>
            <w:r w:rsidRPr="002A063A">
              <w:rPr>
                <w:sz w:val="20"/>
                <w:szCs w:val="20"/>
              </w:rPr>
              <w:t>Bosnia and Herzegovina</w:t>
            </w:r>
          </w:p>
        </w:tc>
        <w:tc>
          <w:tcPr>
            <w:tcW w:w="1420" w:type="dxa"/>
            <w:tcBorders>
              <w:top w:val="single" w:sz="4" w:space="0" w:color="auto"/>
              <w:bottom w:val="single" w:sz="4" w:space="0" w:color="auto"/>
            </w:tcBorders>
            <w:shd w:val="clear" w:color="auto" w:fill="auto"/>
            <w:noWrap/>
            <w:vAlign w:val="bottom"/>
            <w:hideMark/>
          </w:tcPr>
          <w:p w14:paraId="523EB22D"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4A4640C3"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42F5F92"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287218A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C79101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861ABDF" w14:textId="77777777" w:rsidR="008517F2" w:rsidRPr="002A063A" w:rsidRDefault="008517F2" w:rsidP="008517F2">
            <w:pPr>
              <w:rPr>
                <w:sz w:val="20"/>
                <w:szCs w:val="20"/>
              </w:rPr>
            </w:pPr>
            <w:r w:rsidRPr="002A063A">
              <w:rPr>
                <w:sz w:val="20"/>
                <w:szCs w:val="20"/>
              </w:rPr>
              <w:t>Botswana</w:t>
            </w:r>
          </w:p>
        </w:tc>
        <w:tc>
          <w:tcPr>
            <w:tcW w:w="1420" w:type="dxa"/>
            <w:tcBorders>
              <w:top w:val="single" w:sz="4" w:space="0" w:color="auto"/>
              <w:bottom w:val="single" w:sz="4" w:space="0" w:color="auto"/>
            </w:tcBorders>
            <w:shd w:val="clear" w:color="auto" w:fill="auto"/>
            <w:noWrap/>
            <w:vAlign w:val="bottom"/>
            <w:hideMark/>
          </w:tcPr>
          <w:p w14:paraId="060B8439"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2DC3C01"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5F695CE" w14:textId="4B6DD30E" w:rsidR="008517F2" w:rsidRPr="002A063A" w:rsidRDefault="008517F2" w:rsidP="008517F2">
            <w:pPr>
              <w:rPr>
                <w:color w:val="000000"/>
                <w:sz w:val="20"/>
                <w:szCs w:val="20"/>
              </w:rPr>
            </w:pPr>
            <w:r w:rsidRPr="002A063A">
              <w:rPr>
                <w:color w:val="000000"/>
                <w:sz w:val="20"/>
                <w:szCs w:val="20"/>
              </w:rPr>
              <w:t>Corbell et al.</w:t>
            </w:r>
            <w:r w:rsidRPr="002A063A">
              <w:rPr>
                <w:color w:val="000000"/>
                <w:sz w:val="20"/>
                <w:szCs w:val="20"/>
              </w:rPr>
              <w:fldChar w:fldCharType="begin"/>
            </w:r>
            <w:r w:rsidR="0081559F">
              <w:rPr>
                <w:color w:val="000000"/>
                <w:sz w:val="20"/>
                <w:szCs w:val="20"/>
              </w:rPr>
              <w:instrText xml:space="preserve"> ADDIN ZOTERO_ITEM CSL_CITATION {"citationID":"af7et8h98e","properties":{"formattedCitation":"[15]","plainCitation":"[15]","noteIndex":0},"citationItems":[{"id":26799,"uris":["http://zotero.org/users/local/p8g0WsVO/items/L4SVZ9MU"],"itemData":{"id":26799,"type":"article-journal","abstract":"BACKGROUND: Herpes simplex virus-2, the most common cause of genital ulcer disease (GUD) globally, is a cofactor in human immunodeficiency virus type-1 (HIV-1) acquisition and transmission. Current World Health Organization guidelines for sexually transmitted infections recommend acyclovir as first-line syndromic treatment of GUD in countries with high herpes simplex virus-2 prevalence (&gt; or =30%).\nOBJECTIVE: To assess the extent of adoption of acyclovir as syndromic treatment for GUD, and describe procurement, distribution, and cost of acyclovir in the public and private sectors of 8 sub-Saharan African countries.\nMETHODS: We conducted standardized interviews with Ministry of Health (MoH) officials, pharmacists, and other pharmacy workers based in the public and private sectors. Interviews were conducted in Botswana, Kenya, Malawi, South Africa, Tanzania, Uganda, Zambia, and Zimbabwe. Price comparisons were conducted using the 2007 median international reference price (IRP) for acyclovir.\nRESULTS: Of the 8 African countries, 4 surveyed had adopted acyclovir as first-line syndromic GUD treatment in both their essential medical lists and sexually transmitted infection guidelines. Country-specific acquisition prices for acyclovir 200 mg were comparable to the median IRP and ranged from 0.74 to 1.95 times the median IRP. The median retail cost of acyclovir in the private sector ranged from 5.85 to 9.76 times the median IRP. Public health facilities faced cost and regulatory barriers that impeded the requisitioning of acyclovir from the central medical stores.\nCONCLUSIONS: Systems for drug procurement, distribution, and access in sub-Saharan African countries need strengthening for a GUD treatment policy using acyclovir to be effective.","container-title":"Sexually Transmitted Diseases","DOI":"10.1097/OLQ.0b013e3181e212e5","ISSN":"1537-4521","issue":"8","journalAbbreviation":"Sex Transm Dis","language":"eng","note":"PMID: 20539260","page":"488-493","source":"PubMed","title":"Genital ulcer disease treatment policies and access to acyclovir in eight sub-Saharan African countries","volume":"37","author":[{"family":"Corbell","given":"Catherine"},{"family":"Stergachis","given":"Andy"},{"family":"Ndowa","given":"Francis"},{"family":"Ndase","given":"Patrick"},{"family":"Barnes","given":"Linda"},{"family":"Celum","given":"Connie"}],"issued":{"date-parts":[["2010",8]]}}}],"schema":"https://github.com/citation-style-language/schema/raw/master/csl-citation.json"} </w:instrText>
            </w:r>
            <w:r w:rsidRPr="002A063A">
              <w:rPr>
                <w:color w:val="000000"/>
                <w:sz w:val="20"/>
                <w:szCs w:val="20"/>
              </w:rPr>
              <w:fldChar w:fldCharType="separate"/>
            </w:r>
            <w:r w:rsidR="0081559F">
              <w:rPr>
                <w:rFonts w:ascii="Calibri" w:hAnsiTheme="minorHAnsi" w:cs="Calibri"/>
                <w:color w:val="000000"/>
                <w:sz w:val="20"/>
              </w:rPr>
              <w:t>[15]</w:t>
            </w:r>
            <w:r w:rsidRPr="002A063A">
              <w:rPr>
                <w:color w:val="000000"/>
                <w:sz w:val="20"/>
                <w:szCs w:val="20"/>
              </w:rPr>
              <w:fldChar w:fldCharType="end"/>
            </w:r>
          </w:p>
        </w:tc>
        <w:tc>
          <w:tcPr>
            <w:tcW w:w="1530" w:type="dxa"/>
            <w:tcBorders>
              <w:top w:val="single" w:sz="4" w:space="0" w:color="auto"/>
              <w:bottom w:val="single" w:sz="4" w:space="0" w:color="auto"/>
            </w:tcBorders>
            <w:shd w:val="clear" w:color="auto" w:fill="auto"/>
            <w:noWrap/>
            <w:vAlign w:val="bottom"/>
            <w:hideMark/>
          </w:tcPr>
          <w:p w14:paraId="6FDDD674"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17DC552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B6ADDDB" w14:textId="77777777" w:rsidR="008517F2" w:rsidRPr="002A063A" w:rsidRDefault="008517F2" w:rsidP="008517F2">
            <w:pPr>
              <w:rPr>
                <w:sz w:val="20"/>
                <w:szCs w:val="20"/>
              </w:rPr>
            </w:pPr>
            <w:r w:rsidRPr="002A063A">
              <w:rPr>
                <w:sz w:val="20"/>
                <w:szCs w:val="20"/>
              </w:rPr>
              <w:t>Brazil</w:t>
            </w:r>
          </w:p>
        </w:tc>
        <w:tc>
          <w:tcPr>
            <w:tcW w:w="1420" w:type="dxa"/>
            <w:tcBorders>
              <w:top w:val="single" w:sz="4" w:space="0" w:color="auto"/>
              <w:bottom w:val="single" w:sz="4" w:space="0" w:color="auto"/>
            </w:tcBorders>
            <w:shd w:val="clear" w:color="auto" w:fill="auto"/>
            <w:noWrap/>
            <w:vAlign w:val="bottom"/>
            <w:hideMark/>
          </w:tcPr>
          <w:p w14:paraId="0DCDE770"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2F34751A"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A7D2FE1"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7FA27E8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3A1C4B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ABAE8C4" w14:textId="77777777" w:rsidR="008517F2" w:rsidRPr="002A063A" w:rsidRDefault="008517F2" w:rsidP="008517F2">
            <w:pPr>
              <w:rPr>
                <w:sz w:val="20"/>
                <w:szCs w:val="20"/>
              </w:rPr>
            </w:pPr>
            <w:r w:rsidRPr="002A063A">
              <w:rPr>
                <w:sz w:val="20"/>
                <w:szCs w:val="20"/>
              </w:rPr>
              <w:t>Bulgaria</w:t>
            </w:r>
          </w:p>
        </w:tc>
        <w:tc>
          <w:tcPr>
            <w:tcW w:w="1420" w:type="dxa"/>
            <w:tcBorders>
              <w:top w:val="single" w:sz="4" w:space="0" w:color="auto"/>
              <w:bottom w:val="single" w:sz="4" w:space="0" w:color="auto"/>
            </w:tcBorders>
            <w:shd w:val="clear" w:color="auto" w:fill="auto"/>
            <w:noWrap/>
            <w:vAlign w:val="bottom"/>
            <w:hideMark/>
          </w:tcPr>
          <w:p w14:paraId="6F80AB39"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3635AC0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4149DC5"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65F56E9F"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45EE68F"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004A375" w14:textId="77777777" w:rsidR="008517F2" w:rsidRPr="002A063A" w:rsidRDefault="008517F2" w:rsidP="008517F2">
            <w:pPr>
              <w:rPr>
                <w:sz w:val="20"/>
                <w:szCs w:val="20"/>
              </w:rPr>
            </w:pPr>
            <w:r w:rsidRPr="002A063A">
              <w:rPr>
                <w:sz w:val="20"/>
                <w:szCs w:val="20"/>
              </w:rPr>
              <w:t>Burkina Faso</w:t>
            </w:r>
          </w:p>
        </w:tc>
        <w:tc>
          <w:tcPr>
            <w:tcW w:w="1420" w:type="dxa"/>
            <w:tcBorders>
              <w:top w:val="single" w:sz="4" w:space="0" w:color="auto"/>
              <w:bottom w:val="single" w:sz="4" w:space="0" w:color="auto"/>
            </w:tcBorders>
            <w:shd w:val="clear" w:color="auto" w:fill="auto"/>
            <w:noWrap/>
            <w:vAlign w:val="bottom"/>
            <w:hideMark/>
          </w:tcPr>
          <w:p w14:paraId="0CFF8677"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1D6373B"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5211AE8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B61073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DBC1A6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7BFAF0C" w14:textId="77777777" w:rsidR="008517F2" w:rsidRPr="002A063A" w:rsidRDefault="008517F2" w:rsidP="008517F2">
            <w:pPr>
              <w:rPr>
                <w:sz w:val="20"/>
                <w:szCs w:val="20"/>
              </w:rPr>
            </w:pPr>
            <w:r w:rsidRPr="002A063A">
              <w:rPr>
                <w:sz w:val="20"/>
                <w:szCs w:val="20"/>
              </w:rPr>
              <w:t>Burundi</w:t>
            </w:r>
          </w:p>
        </w:tc>
        <w:tc>
          <w:tcPr>
            <w:tcW w:w="1420" w:type="dxa"/>
            <w:tcBorders>
              <w:top w:val="single" w:sz="4" w:space="0" w:color="auto"/>
              <w:bottom w:val="single" w:sz="4" w:space="0" w:color="auto"/>
            </w:tcBorders>
            <w:shd w:val="clear" w:color="auto" w:fill="auto"/>
            <w:noWrap/>
            <w:vAlign w:val="bottom"/>
            <w:hideMark/>
          </w:tcPr>
          <w:p w14:paraId="3FAB5AEB"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2BCBB101"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40523FB7"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E632CD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4B39E8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44CF91F" w14:textId="77777777" w:rsidR="008517F2" w:rsidRPr="002A063A" w:rsidRDefault="008517F2" w:rsidP="008517F2">
            <w:pPr>
              <w:rPr>
                <w:sz w:val="20"/>
                <w:szCs w:val="20"/>
              </w:rPr>
            </w:pPr>
            <w:r w:rsidRPr="002A063A">
              <w:rPr>
                <w:sz w:val="20"/>
                <w:szCs w:val="20"/>
              </w:rPr>
              <w:t>Cabo Verde</w:t>
            </w:r>
          </w:p>
        </w:tc>
        <w:tc>
          <w:tcPr>
            <w:tcW w:w="1420" w:type="dxa"/>
            <w:tcBorders>
              <w:top w:val="single" w:sz="4" w:space="0" w:color="auto"/>
              <w:bottom w:val="single" w:sz="4" w:space="0" w:color="auto"/>
            </w:tcBorders>
            <w:shd w:val="clear" w:color="auto" w:fill="auto"/>
            <w:noWrap/>
            <w:vAlign w:val="bottom"/>
            <w:hideMark/>
          </w:tcPr>
          <w:p w14:paraId="37FDD3BC"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1FB092FD"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5403B68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D7DF88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14AE4D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9D5217F" w14:textId="77777777" w:rsidR="008517F2" w:rsidRPr="002A063A" w:rsidRDefault="008517F2" w:rsidP="008517F2">
            <w:pPr>
              <w:rPr>
                <w:sz w:val="20"/>
                <w:szCs w:val="20"/>
              </w:rPr>
            </w:pPr>
            <w:r w:rsidRPr="002A063A">
              <w:rPr>
                <w:sz w:val="20"/>
                <w:szCs w:val="20"/>
              </w:rPr>
              <w:t>Cambodia</w:t>
            </w:r>
          </w:p>
        </w:tc>
        <w:tc>
          <w:tcPr>
            <w:tcW w:w="1420" w:type="dxa"/>
            <w:tcBorders>
              <w:top w:val="single" w:sz="4" w:space="0" w:color="auto"/>
              <w:bottom w:val="single" w:sz="4" w:space="0" w:color="auto"/>
            </w:tcBorders>
            <w:shd w:val="clear" w:color="auto" w:fill="auto"/>
            <w:noWrap/>
            <w:vAlign w:val="bottom"/>
            <w:hideMark/>
          </w:tcPr>
          <w:p w14:paraId="5072BC0F"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5CA56AC2"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50FD701D" w14:textId="77777777" w:rsidR="008517F2" w:rsidRPr="002A063A" w:rsidRDefault="008517F2" w:rsidP="008517F2">
            <w:pPr>
              <w:rPr>
                <w:color w:val="000000"/>
                <w:sz w:val="20"/>
                <w:szCs w:val="20"/>
              </w:rPr>
            </w:pPr>
            <w:r w:rsidRPr="002A063A">
              <w:rPr>
                <w:color w:val="000000"/>
                <w:sz w:val="20"/>
                <w:szCs w:val="20"/>
              </w:rPr>
              <w:t>National Guidelines (2010)</w:t>
            </w:r>
          </w:p>
        </w:tc>
        <w:tc>
          <w:tcPr>
            <w:tcW w:w="1530" w:type="dxa"/>
            <w:tcBorders>
              <w:top w:val="single" w:sz="4" w:space="0" w:color="auto"/>
              <w:bottom w:val="single" w:sz="4" w:space="0" w:color="auto"/>
            </w:tcBorders>
            <w:shd w:val="clear" w:color="auto" w:fill="auto"/>
            <w:noWrap/>
            <w:vAlign w:val="bottom"/>
            <w:hideMark/>
          </w:tcPr>
          <w:p w14:paraId="25C2E7FF" w14:textId="77777777" w:rsidR="008517F2" w:rsidRPr="002A063A" w:rsidRDefault="008517F2" w:rsidP="008517F2">
            <w:pPr>
              <w:rPr>
                <w:color w:val="000000"/>
                <w:sz w:val="20"/>
                <w:szCs w:val="20"/>
              </w:rPr>
            </w:pPr>
          </w:p>
        </w:tc>
      </w:tr>
      <w:tr w:rsidR="008517F2" w:rsidRPr="003409C7" w14:paraId="27AC58B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13A300C" w14:textId="77777777" w:rsidR="008517F2" w:rsidRPr="002A063A" w:rsidRDefault="008517F2" w:rsidP="008517F2">
            <w:pPr>
              <w:rPr>
                <w:sz w:val="20"/>
                <w:szCs w:val="20"/>
              </w:rPr>
            </w:pPr>
            <w:r w:rsidRPr="002A063A">
              <w:rPr>
                <w:sz w:val="20"/>
                <w:szCs w:val="20"/>
              </w:rPr>
              <w:t>Cameroon</w:t>
            </w:r>
          </w:p>
        </w:tc>
        <w:tc>
          <w:tcPr>
            <w:tcW w:w="1420" w:type="dxa"/>
            <w:tcBorders>
              <w:top w:val="single" w:sz="4" w:space="0" w:color="auto"/>
              <w:bottom w:val="single" w:sz="4" w:space="0" w:color="auto"/>
            </w:tcBorders>
            <w:shd w:val="clear" w:color="auto" w:fill="auto"/>
            <w:noWrap/>
            <w:vAlign w:val="bottom"/>
            <w:hideMark/>
          </w:tcPr>
          <w:p w14:paraId="605226AE"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AA2D7D2"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643E81B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D03D91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25CE4CB"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9D44D02" w14:textId="77777777" w:rsidR="008517F2" w:rsidRPr="002A063A" w:rsidRDefault="008517F2" w:rsidP="008517F2">
            <w:pPr>
              <w:rPr>
                <w:sz w:val="20"/>
                <w:szCs w:val="20"/>
              </w:rPr>
            </w:pPr>
            <w:r w:rsidRPr="002A063A">
              <w:rPr>
                <w:sz w:val="20"/>
                <w:szCs w:val="20"/>
              </w:rPr>
              <w:t>Central African Republic</w:t>
            </w:r>
          </w:p>
        </w:tc>
        <w:tc>
          <w:tcPr>
            <w:tcW w:w="1420" w:type="dxa"/>
            <w:tcBorders>
              <w:top w:val="single" w:sz="4" w:space="0" w:color="auto"/>
              <w:bottom w:val="single" w:sz="4" w:space="0" w:color="auto"/>
            </w:tcBorders>
            <w:shd w:val="clear" w:color="auto" w:fill="auto"/>
            <w:noWrap/>
            <w:vAlign w:val="bottom"/>
            <w:hideMark/>
          </w:tcPr>
          <w:p w14:paraId="009B081E"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69317D3"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6405EAF1"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2131D6E"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E2534A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0C225CD" w14:textId="77777777" w:rsidR="008517F2" w:rsidRPr="002A063A" w:rsidRDefault="008517F2" w:rsidP="008517F2">
            <w:pPr>
              <w:rPr>
                <w:sz w:val="20"/>
                <w:szCs w:val="20"/>
              </w:rPr>
            </w:pPr>
            <w:r w:rsidRPr="002A063A">
              <w:rPr>
                <w:sz w:val="20"/>
                <w:szCs w:val="20"/>
              </w:rPr>
              <w:t>Chad</w:t>
            </w:r>
          </w:p>
        </w:tc>
        <w:tc>
          <w:tcPr>
            <w:tcW w:w="1420" w:type="dxa"/>
            <w:tcBorders>
              <w:top w:val="single" w:sz="4" w:space="0" w:color="auto"/>
              <w:bottom w:val="single" w:sz="4" w:space="0" w:color="auto"/>
            </w:tcBorders>
            <w:shd w:val="clear" w:color="auto" w:fill="auto"/>
            <w:noWrap/>
            <w:vAlign w:val="bottom"/>
            <w:hideMark/>
          </w:tcPr>
          <w:p w14:paraId="3330EC16"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6DDCDD3"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362E081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EF8E991"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D801C18" w14:textId="77777777" w:rsidTr="008517F2">
        <w:trPr>
          <w:trHeight w:val="320"/>
          <w:jc w:val="center"/>
        </w:trPr>
        <w:tc>
          <w:tcPr>
            <w:tcW w:w="1620" w:type="dxa"/>
            <w:tcBorders>
              <w:top w:val="single" w:sz="4" w:space="0" w:color="auto"/>
              <w:bottom w:val="nil"/>
            </w:tcBorders>
            <w:shd w:val="clear" w:color="000000" w:fill="FFFFFF"/>
            <w:noWrap/>
            <w:vAlign w:val="center"/>
            <w:hideMark/>
          </w:tcPr>
          <w:p w14:paraId="04617709" w14:textId="77777777" w:rsidR="008517F2" w:rsidRPr="002A063A" w:rsidRDefault="008517F2" w:rsidP="008517F2">
            <w:pPr>
              <w:rPr>
                <w:sz w:val="20"/>
                <w:szCs w:val="20"/>
              </w:rPr>
            </w:pPr>
            <w:r w:rsidRPr="002A063A">
              <w:rPr>
                <w:sz w:val="20"/>
                <w:szCs w:val="20"/>
              </w:rPr>
              <w:t>China</w:t>
            </w:r>
          </w:p>
        </w:tc>
        <w:tc>
          <w:tcPr>
            <w:tcW w:w="1420" w:type="dxa"/>
            <w:tcBorders>
              <w:top w:val="single" w:sz="4" w:space="0" w:color="auto"/>
              <w:bottom w:val="nil"/>
            </w:tcBorders>
            <w:shd w:val="clear" w:color="auto" w:fill="auto"/>
            <w:noWrap/>
            <w:vAlign w:val="bottom"/>
            <w:hideMark/>
          </w:tcPr>
          <w:p w14:paraId="2A20469F"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nil"/>
            </w:tcBorders>
            <w:shd w:val="clear" w:color="auto" w:fill="auto"/>
            <w:noWrap/>
            <w:vAlign w:val="bottom"/>
            <w:hideMark/>
          </w:tcPr>
          <w:p w14:paraId="33421E00"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nil"/>
            </w:tcBorders>
            <w:shd w:val="clear" w:color="auto" w:fill="auto"/>
            <w:noWrap/>
            <w:vAlign w:val="bottom"/>
            <w:hideMark/>
          </w:tcPr>
          <w:p w14:paraId="0A85B07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nil"/>
            </w:tcBorders>
            <w:shd w:val="clear" w:color="auto" w:fill="auto"/>
            <w:noWrap/>
            <w:vAlign w:val="bottom"/>
            <w:hideMark/>
          </w:tcPr>
          <w:p w14:paraId="45D0274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61FB46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DD69494" w14:textId="77777777" w:rsidR="008517F2" w:rsidRPr="002A063A" w:rsidRDefault="008517F2" w:rsidP="008517F2">
            <w:pPr>
              <w:rPr>
                <w:sz w:val="20"/>
                <w:szCs w:val="20"/>
              </w:rPr>
            </w:pPr>
            <w:r w:rsidRPr="002A063A">
              <w:rPr>
                <w:sz w:val="20"/>
                <w:szCs w:val="20"/>
              </w:rPr>
              <w:t>Colombia</w:t>
            </w:r>
          </w:p>
        </w:tc>
        <w:tc>
          <w:tcPr>
            <w:tcW w:w="1420" w:type="dxa"/>
            <w:tcBorders>
              <w:top w:val="single" w:sz="4" w:space="0" w:color="auto"/>
              <w:bottom w:val="single" w:sz="4" w:space="0" w:color="auto"/>
            </w:tcBorders>
            <w:shd w:val="clear" w:color="auto" w:fill="auto"/>
            <w:noWrap/>
            <w:vAlign w:val="bottom"/>
            <w:hideMark/>
          </w:tcPr>
          <w:p w14:paraId="3C0EC9CF"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1E60CE16"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2CEEB34" w14:textId="77777777" w:rsidR="008517F2" w:rsidRPr="002A063A" w:rsidRDefault="008517F2" w:rsidP="008517F2">
            <w:pPr>
              <w:rPr>
                <w:color w:val="000000"/>
                <w:sz w:val="20"/>
                <w:szCs w:val="20"/>
              </w:rPr>
            </w:pPr>
            <w:r w:rsidRPr="002A063A">
              <w:rPr>
                <w:color w:val="000000"/>
                <w:sz w:val="20"/>
                <w:szCs w:val="20"/>
              </w:rPr>
              <w:t>National guidelines 2013</w:t>
            </w:r>
          </w:p>
        </w:tc>
        <w:tc>
          <w:tcPr>
            <w:tcW w:w="1530" w:type="dxa"/>
            <w:tcBorders>
              <w:top w:val="single" w:sz="4" w:space="0" w:color="auto"/>
              <w:bottom w:val="single" w:sz="4" w:space="0" w:color="auto"/>
            </w:tcBorders>
            <w:shd w:val="clear" w:color="auto" w:fill="auto"/>
            <w:noWrap/>
            <w:vAlign w:val="bottom"/>
            <w:hideMark/>
          </w:tcPr>
          <w:p w14:paraId="5721C8C3" w14:textId="77777777" w:rsidR="008517F2" w:rsidRPr="002A063A" w:rsidRDefault="008517F2" w:rsidP="008517F2">
            <w:pPr>
              <w:rPr>
                <w:color w:val="000000"/>
                <w:sz w:val="20"/>
                <w:szCs w:val="20"/>
              </w:rPr>
            </w:pPr>
          </w:p>
        </w:tc>
      </w:tr>
      <w:tr w:rsidR="008517F2" w:rsidRPr="003409C7" w14:paraId="60D2D28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95818C0" w14:textId="77777777" w:rsidR="008517F2" w:rsidRPr="002A063A" w:rsidRDefault="008517F2" w:rsidP="008517F2">
            <w:pPr>
              <w:rPr>
                <w:sz w:val="20"/>
                <w:szCs w:val="20"/>
              </w:rPr>
            </w:pPr>
            <w:r w:rsidRPr="002A063A">
              <w:rPr>
                <w:sz w:val="20"/>
                <w:szCs w:val="20"/>
              </w:rPr>
              <w:t>Comoros</w:t>
            </w:r>
          </w:p>
        </w:tc>
        <w:tc>
          <w:tcPr>
            <w:tcW w:w="1420" w:type="dxa"/>
            <w:tcBorders>
              <w:top w:val="single" w:sz="4" w:space="0" w:color="auto"/>
              <w:bottom w:val="single" w:sz="4" w:space="0" w:color="auto"/>
            </w:tcBorders>
            <w:shd w:val="clear" w:color="auto" w:fill="auto"/>
            <w:noWrap/>
            <w:vAlign w:val="bottom"/>
            <w:hideMark/>
          </w:tcPr>
          <w:p w14:paraId="53BA4EF9"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2D747C67"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68D53C01"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76BE23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BCC9110"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2E3E18F" w14:textId="77777777" w:rsidR="008517F2" w:rsidRPr="002A063A" w:rsidRDefault="008517F2" w:rsidP="008517F2">
            <w:pPr>
              <w:rPr>
                <w:sz w:val="20"/>
                <w:szCs w:val="20"/>
              </w:rPr>
            </w:pPr>
            <w:r w:rsidRPr="002A063A">
              <w:rPr>
                <w:sz w:val="20"/>
                <w:szCs w:val="20"/>
              </w:rPr>
              <w:t>Congo, Dem. Rep.</w:t>
            </w:r>
          </w:p>
        </w:tc>
        <w:tc>
          <w:tcPr>
            <w:tcW w:w="1420" w:type="dxa"/>
            <w:tcBorders>
              <w:top w:val="single" w:sz="4" w:space="0" w:color="auto"/>
              <w:bottom w:val="single" w:sz="4" w:space="0" w:color="auto"/>
            </w:tcBorders>
            <w:shd w:val="clear" w:color="auto" w:fill="auto"/>
            <w:noWrap/>
            <w:vAlign w:val="bottom"/>
            <w:hideMark/>
          </w:tcPr>
          <w:p w14:paraId="4B50F43B"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BB647A2"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1AE707A4"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C1CE6B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5A9E09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1E5F9B1" w14:textId="77777777" w:rsidR="008517F2" w:rsidRPr="002A063A" w:rsidRDefault="008517F2" w:rsidP="008517F2">
            <w:pPr>
              <w:rPr>
                <w:sz w:val="20"/>
                <w:szCs w:val="20"/>
              </w:rPr>
            </w:pPr>
            <w:r w:rsidRPr="002A063A">
              <w:rPr>
                <w:sz w:val="20"/>
                <w:szCs w:val="20"/>
              </w:rPr>
              <w:t>Congo, Rep.</w:t>
            </w:r>
          </w:p>
        </w:tc>
        <w:tc>
          <w:tcPr>
            <w:tcW w:w="1420" w:type="dxa"/>
            <w:tcBorders>
              <w:top w:val="single" w:sz="4" w:space="0" w:color="auto"/>
              <w:bottom w:val="single" w:sz="4" w:space="0" w:color="auto"/>
            </w:tcBorders>
            <w:shd w:val="clear" w:color="auto" w:fill="auto"/>
            <w:noWrap/>
            <w:vAlign w:val="bottom"/>
            <w:hideMark/>
          </w:tcPr>
          <w:p w14:paraId="0EA8BDEA"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A8A7FD6"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2E57400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4406685"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E75C79F"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1191C3A" w14:textId="77777777" w:rsidR="008517F2" w:rsidRPr="002A063A" w:rsidRDefault="008517F2" w:rsidP="008517F2">
            <w:pPr>
              <w:rPr>
                <w:sz w:val="20"/>
                <w:szCs w:val="20"/>
              </w:rPr>
            </w:pPr>
            <w:r w:rsidRPr="002A063A">
              <w:rPr>
                <w:sz w:val="20"/>
                <w:szCs w:val="20"/>
              </w:rPr>
              <w:t>Costa Rica</w:t>
            </w:r>
          </w:p>
        </w:tc>
        <w:tc>
          <w:tcPr>
            <w:tcW w:w="1420" w:type="dxa"/>
            <w:tcBorders>
              <w:top w:val="single" w:sz="4" w:space="0" w:color="auto"/>
              <w:bottom w:val="single" w:sz="4" w:space="0" w:color="auto"/>
            </w:tcBorders>
            <w:shd w:val="clear" w:color="auto" w:fill="auto"/>
            <w:noWrap/>
            <w:vAlign w:val="bottom"/>
            <w:hideMark/>
          </w:tcPr>
          <w:p w14:paraId="2B5CB915"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1F353691"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77B2DA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B92EC0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17290A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777FB00" w14:textId="77777777" w:rsidR="008517F2" w:rsidRPr="002A063A" w:rsidRDefault="008517F2" w:rsidP="008517F2">
            <w:pPr>
              <w:rPr>
                <w:sz w:val="20"/>
                <w:szCs w:val="20"/>
              </w:rPr>
            </w:pPr>
            <w:r w:rsidRPr="002A063A">
              <w:rPr>
                <w:sz w:val="20"/>
                <w:szCs w:val="20"/>
              </w:rPr>
              <w:t>Côte d'Ivoire</w:t>
            </w:r>
          </w:p>
        </w:tc>
        <w:tc>
          <w:tcPr>
            <w:tcW w:w="1420" w:type="dxa"/>
            <w:tcBorders>
              <w:top w:val="single" w:sz="4" w:space="0" w:color="auto"/>
              <w:bottom w:val="single" w:sz="4" w:space="0" w:color="auto"/>
            </w:tcBorders>
            <w:shd w:val="clear" w:color="auto" w:fill="auto"/>
            <w:noWrap/>
            <w:vAlign w:val="bottom"/>
            <w:hideMark/>
          </w:tcPr>
          <w:p w14:paraId="60E4F97A"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B43AC4A"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E356D1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2A7263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99679EB"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3245419" w14:textId="77777777" w:rsidR="008517F2" w:rsidRPr="002A063A" w:rsidRDefault="008517F2" w:rsidP="008517F2">
            <w:pPr>
              <w:rPr>
                <w:sz w:val="20"/>
                <w:szCs w:val="20"/>
              </w:rPr>
            </w:pPr>
            <w:r w:rsidRPr="002A063A">
              <w:rPr>
                <w:sz w:val="20"/>
                <w:szCs w:val="20"/>
              </w:rPr>
              <w:t>Cuba</w:t>
            </w:r>
          </w:p>
        </w:tc>
        <w:tc>
          <w:tcPr>
            <w:tcW w:w="1420" w:type="dxa"/>
            <w:tcBorders>
              <w:top w:val="single" w:sz="4" w:space="0" w:color="auto"/>
              <w:bottom w:val="single" w:sz="4" w:space="0" w:color="auto"/>
            </w:tcBorders>
            <w:shd w:val="clear" w:color="auto" w:fill="auto"/>
            <w:noWrap/>
            <w:vAlign w:val="bottom"/>
            <w:hideMark/>
          </w:tcPr>
          <w:p w14:paraId="03BB1F79"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3CB3170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3D868E74"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E13D31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C74AAA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CCFEE61" w14:textId="77777777" w:rsidR="008517F2" w:rsidRPr="002A063A" w:rsidRDefault="008517F2" w:rsidP="008517F2">
            <w:pPr>
              <w:rPr>
                <w:sz w:val="20"/>
                <w:szCs w:val="20"/>
              </w:rPr>
            </w:pPr>
            <w:r w:rsidRPr="002A063A">
              <w:rPr>
                <w:sz w:val="20"/>
                <w:szCs w:val="20"/>
              </w:rPr>
              <w:t>Djibouti</w:t>
            </w:r>
          </w:p>
        </w:tc>
        <w:tc>
          <w:tcPr>
            <w:tcW w:w="1420" w:type="dxa"/>
            <w:tcBorders>
              <w:top w:val="single" w:sz="4" w:space="0" w:color="auto"/>
              <w:bottom w:val="single" w:sz="4" w:space="0" w:color="auto"/>
            </w:tcBorders>
            <w:shd w:val="clear" w:color="auto" w:fill="auto"/>
            <w:noWrap/>
            <w:vAlign w:val="bottom"/>
            <w:hideMark/>
          </w:tcPr>
          <w:p w14:paraId="7FF90069"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0E91C20B"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08CDEA41"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EA0735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FBF365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2C3229B" w14:textId="77777777" w:rsidR="008517F2" w:rsidRPr="002A063A" w:rsidRDefault="008517F2" w:rsidP="008517F2">
            <w:pPr>
              <w:rPr>
                <w:sz w:val="20"/>
                <w:szCs w:val="20"/>
              </w:rPr>
            </w:pPr>
            <w:r w:rsidRPr="002A063A">
              <w:rPr>
                <w:sz w:val="20"/>
                <w:szCs w:val="20"/>
              </w:rPr>
              <w:t>Dominica</w:t>
            </w:r>
          </w:p>
        </w:tc>
        <w:tc>
          <w:tcPr>
            <w:tcW w:w="1420" w:type="dxa"/>
            <w:tcBorders>
              <w:top w:val="single" w:sz="4" w:space="0" w:color="auto"/>
              <w:bottom w:val="single" w:sz="4" w:space="0" w:color="auto"/>
            </w:tcBorders>
            <w:shd w:val="clear" w:color="auto" w:fill="auto"/>
            <w:noWrap/>
            <w:vAlign w:val="bottom"/>
            <w:hideMark/>
          </w:tcPr>
          <w:p w14:paraId="031363A9"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19E30B96"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36402E0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7324CF5"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5713CF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5953BB8" w14:textId="77777777" w:rsidR="008517F2" w:rsidRPr="002A063A" w:rsidRDefault="008517F2" w:rsidP="008517F2">
            <w:pPr>
              <w:rPr>
                <w:sz w:val="20"/>
                <w:szCs w:val="20"/>
              </w:rPr>
            </w:pPr>
            <w:r w:rsidRPr="002A063A">
              <w:rPr>
                <w:sz w:val="20"/>
                <w:szCs w:val="20"/>
              </w:rPr>
              <w:t>Dominican Republic</w:t>
            </w:r>
          </w:p>
        </w:tc>
        <w:tc>
          <w:tcPr>
            <w:tcW w:w="1420" w:type="dxa"/>
            <w:tcBorders>
              <w:top w:val="single" w:sz="4" w:space="0" w:color="auto"/>
              <w:bottom w:val="single" w:sz="4" w:space="0" w:color="auto"/>
            </w:tcBorders>
            <w:shd w:val="clear" w:color="auto" w:fill="auto"/>
            <w:noWrap/>
            <w:vAlign w:val="bottom"/>
            <w:hideMark/>
          </w:tcPr>
          <w:p w14:paraId="6920C294"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28D5A59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73DAAE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3D24A1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85B09A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43C4C5C" w14:textId="77777777" w:rsidR="008517F2" w:rsidRPr="002A063A" w:rsidRDefault="008517F2" w:rsidP="008517F2">
            <w:pPr>
              <w:rPr>
                <w:sz w:val="20"/>
                <w:szCs w:val="20"/>
              </w:rPr>
            </w:pPr>
            <w:r w:rsidRPr="002A063A">
              <w:rPr>
                <w:sz w:val="20"/>
                <w:szCs w:val="20"/>
              </w:rPr>
              <w:t>Ecuador</w:t>
            </w:r>
          </w:p>
        </w:tc>
        <w:tc>
          <w:tcPr>
            <w:tcW w:w="1420" w:type="dxa"/>
            <w:tcBorders>
              <w:top w:val="single" w:sz="4" w:space="0" w:color="auto"/>
              <w:bottom w:val="single" w:sz="4" w:space="0" w:color="auto"/>
            </w:tcBorders>
            <w:shd w:val="clear" w:color="auto" w:fill="auto"/>
            <w:noWrap/>
            <w:vAlign w:val="bottom"/>
            <w:hideMark/>
          </w:tcPr>
          <w:p w14:paraId="284A3898"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4269EA86"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7456DF3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3BDEDD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C26A4ED"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78D573C" w14:textId="77777777" w:rsidR="008517F2" w:rsidRPr="002A063A" w:rsidRDefault="008517F2" w:rsidP="008517F2">
            <w:pPr>
              <w:rPr>
                <w:sz w:val="20"/>
                <w:szCs w:val="20"/>
              </w:rPr>
            </w:pPr>
            <w:r w:rsidRPr="002A063A">
              <w:rPr>
                <w:sz w:val="20"/>
                <w:szCs w:val="20"/>
              </w:rPr>
              <w:t>Egypt</w:t>
            </w:r>
          </w:p>
        </w:tc>
        <w:tc>
          <w:tcPr>
            <w:tcW w:w="1420" w:type="dxa"/>
            <w:tcBorders>
              <w:top w:val="single" w:sz="4" w:space="0" w:color="auto"/>
              <w:bottom w:val="single" w:sz="4" w:space="0" w:color="auto"/>
            </w:tcBorders>
            <w:shd w:val="clear" w:color="auto" w:fill="auto"/>
            <w:noWrap/>
            <w:vAlign w:val="bottom"/>
            <w:hideMark/>
          </w:tcPr>
          <w:p w14:paraId="545841EE"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58E63CF3"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3BD08ED" w14:textId="77777777" w:rsidR="008517F2" w:rsidRPr="002A063A" w:rsidRDefault="008517F2" w:rsidP="008517F2">
            <w:pPr>
              <w:rPr>
                <w:color w:val="000000"/>
                <w:sz w:val="20"/>
                <w:szCs w:val="20"/>
              </w:rPr>
            </w:pPr>
            <w:r w:rsidRPr="002A063A">
              <w:rPr>
                <w:color w:val="000000"/>
                <w:sz w:val="20"/>
                <w:szCs w:val="20"/>
              </w:rPr>
              <w:t>National guidelines 2006</w:t>
            </w:r>
          </w:p>
        </w:tc>
        <w:tc>
          <w:tcPr>
            <w:tcW w:w="1530" w:type="dxa"/>
            <w:tcBorders>
              <w:top w:val="single" w:sz="4" w:space="0" w:color="auto"/>
              <w:bottom w:val="single" w:sz="4" w:space="0" w:color="auto"/>
            </w:tcBorders>
            <w:shd w:val="clear" w:color="auto" w:fill="auto"/>
            <w:noWrap/>
            <w:vAlign w:val="bottom"/>
            <w:hideMark/>
          </w:tcPr>
          <w:p w14:paraId="560C2CFC" w14:textId="77777777" w:rsidR="008517F2" w:rsidRPr="002A063A" w:rsidRDefault="008517F2" w:rsidP="008517F2">
            <w:pPr>
              <w:rPr>
                <w:color w:val="000000"/>
                <w:sz w:val="20"/>
                <w:szCs w:val="20"/>
              </w:rPr>
            </w:pPr>
          </w:p>
        </w:tc>
      </w:tr>
      <w:tr w:rsidR="008517F2" w:rsidRPr="003409C7" w14:paraId="77230AB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191E8B8" w14:textId="77777777" w:rsidR="008517F2" w:rsidRPr="002A063A" w:rsidRDefault="008517F2" w:rsidP="008517F2">
            <w:pPr>
              <w:rPr>
                <w:sz w:val="20"/>
                <w:szCs w:val="20"/>
              </w:rPr>
            </w:pPr>
            <w:r w:rsidRPr="002A063A">
              <w:rPr>
                <w:sz w:val="20"/>
                <w:szCs w:val="20"/>
              </w:rPr>
              <w:lastRenderedPageBreak/>
              <w:t>El Salvador</w:t>
            </w:r>
          </w:p>
        </w:tc>
        <w:tc>
          <w:tcPr>
            <w:tcW w:w="1420" w:type="dxa"/>
            <w:tcBorders>
              <w:top w:val="single" w:sz="4" w:space="0" w:color="auto"/>
              <w:bottom w:val="single" w:sz="4" w:space="0" w:color="auto"/>
            </w:tcBorders>
            <w:shd w:val="clear" w:color="auto" w:fill="auto"/>
            <w:noWrap/>
            <w:vAlign w:val="bottom"/>
            <w:hideMark/>
          </w:tcPr>
          <w:p w14:paraId="3599C5C4"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6744D1C2"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562FEC5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78AE941"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71577C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65E55B0" w14:textId="77777777" w:rsidR="008517F2" w:rsidRPr="002A063A" w:rsidRDefault="008517F2" w:rsidP="008517F2">
            <w:pPr>
              <w:rPr>
                <w:sz w:val="20"/>
                <w:szCs w:val="20"/>
              </w:rPr>
            </w:pPr>
            <w:r w:rsidRPr="002A063A">
              <w:rPr>
                <w:sz w:val="20"/>
                <w:szCs w:val="20"/>
              </w:rPr>
              <w:t>Equatorial Guinea</w:t>
            </w:r>
          </w:p>
        </w:tc>
        <w:tc>
          <w:tcPr>
            <w:tcW w:w="1420" w:type="dxa"/>
            <w:tcBorders>
              <w:top w:val="single" w:sz="4" w:space="0" w:color="auto"/>
              <w:bottom w:val="single" w:sz="4" w:space="0" w:color="auto"/>
            </w:tcBorders>
            <w:shd w:val="clear" w:color="auto" w:fill="auto"/>
            <w:noWrap/>
            <w:vAlign w:val="bottom"/>
            <w:hideMark/>
          </w:tcPr>
          <w:p w14:paraId="3C0A00B4"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66C9C2F8"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65498C2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19332E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18E2D5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D9FEFCC" w14:textId="77777777" w:rsidR="008517F2" w:rsidRPr="002A063A" w:rsidRDefault="008517F2" w:rsidP="008517F2">
            <w:pPr>
              <w:rPr>
                <w:sz w:val="20"/>
                <w:szCs w:val="20"/>
              </w:rPr>
            </w:pPr>
            <w:r w:rsidRPr="002A063A">
              <w:rPr>
                <w:sz w:val="20"/>
                <w:szCs w:val="20"/>
              </w:rPr>
              <w:t>Eritrea</w:t>
            </w:r>
          </w:p>
        </w:tc>
        <w:tc>
          <w:tcPr>
            <w:tcW w:w="1420" w:type="dxa"/>
            <w:tcBorders>
              <w:top w:val="single" w:sz="4" w:space="0" w:color="auto"/>
              <w:bottom w:val="single" w:sz="4" w:space="0" w:color="auto"/>
            </w:tcBorders>
            <w:shd w:val="clear" w:color="auto" w:fill="auto"/>
            <w:noWrap/>
            <w:vAlign w:val="bottom"/>
            <w:hideMark/>
          </w:tcPr>
          <w:p w14:paraId="6BBF1FED"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1E38B77E"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0E421F0"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AF69A67"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61DF93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66D882A" w14:textId="77777777" w:rsidR="008517F2" w:rsidRPr="002A063A" w:rsidRDefault="008517F2" w:rsidP="008517F2">
            <w:pPr>
              <w:rPr>
                <w:sz w:val="20"/>
                <w:szCs w:val="20"/>
              </w:rPr>
            </w:pPr>
            <w:r w:rsidRPr="002A063A">
              <w:rPr>
                <w:sz w:val="20"/>
                <w:szCs w:val="20"/>
              </w:rPr>
              <w:t>Ethiopia</w:t>
            </w:r>
          </w:p>
        </w:tc>
        <w:tc>
          <w:tcPr>
            <w:tcW w:w="1420" w:type="dxa"/>
            <w:tcBorders>
              <w:top w:val="single" w:sz="4" w:space="0" w:color="auto"/>
              <w:bottom w:val="single" w:sz="4" w:space="0" w:color="auto"/>
            </w:tcBorders>
            <w:shd w:val="clear" w:color="auto" w:fill="auto"/>
            <w:noWrap/>
            <w:vAlign w:val="bottom"/>
            <w:hideMark/>
          </w:tcPr>
          <w:p w14:paraId="630DAA51"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1E4BD765"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5E92FBBB" w14:textId="77777777" w:rsidR="008517F2" w:rsidRPr="002A063A" w:rsidRDefault="008517F2" w:rsidP="008517F2">
            <w:pPr>
              <w:rPr>
                <w:color w:val="000000"/>
                <w:sz w:val="20"/>
                <w:szCs w:val="20"/>
              </w:rPr>
            </w:pPr>
            <w:r w:rsidRPr="002A063A">
              <w:rPr>
                <w:color w:val="000000"/>
                <w:sz w:val="20"/>
                <w:szCs w:val="20"/>
              </w:rPr>
              <w:t>National guidelines 2015</w:t>
            </w:r>
          </w:p>
        </w:tc>
        <w:tc>
          <w:tcPr>
            <w:tcW w:w="1530" w:type="dxa"/>
            <w:tcBorders>
              <w:top w:val="single" w:sz="4" w:space="0" w:color="auto"/>
              <w:bottom w:val="single" w:sz="4" w:space="0" w:color="auto"/>
            </w:tcBorders>
            <w:shd w:val="clear" w:color="auto" w:fill="auto"/>
            <w:noWrap/>
            <w:vAlign w:val="bottom"/>
            <w:hideMark/>
          </w:tcPr>
          <w:p w14:paraId="47D01E0F" w14:textId="77777777" w:rsidR="008517F2" w:rsidRPr="002A063A" w:rsidRDefault="008517F2" w:rsidP="008517F2">
            <w:pPr>
              <w:rPr>
                <w:color w:val="000000"/>
                <w:sz w:val="20"/>
                <w:szCs w:val="20"/>
              </w:rPr>
            </w:pPr>
          </w:p>
        </w:tc>
      </w:tr>
      <w:tr w:rsidR="008517F2" w:rsidRPr="003409C7" w14:paraId="5C0E49F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6EEB608" w14:textId="77777777" w:rsidR="008517F2" w:rsidRPr="002A063A" w:rsidRDefault="008517F2" w:rsidP="008517F2">
            <w:pPr>
              <w:rPr>
                <w:sz w:val="20"/>
                <w:szCs w:val="20"/>
              </w:rPr>
            </w:pPr>
            <w:r w:rsidRPr="002A063A">
              <w:rPr>
                <w:sz w:val="20"/>
                <w:szCs w:val="20"/>
              </w:rPr>
              <w:t>Fiji</w:t>
            </w:r>
          </w:p>
        </w:tc>
        <w:tc>
          <w:tcPr>
            <w:tcW w:w="1420" w:type="dxa"/>
            <w:tcBorders>
              <w:top w:val="single" w:sz="4" w:space="0" w:color="auto"/>
              <w:bottom w:val="single" w:sz="4" w:space="0" w:color="auto"/>
            </w:tcBorders>
            <w:shd w:val="clear" w:color="auto" w:fill="auto"/>
            <w:noWrap/>
            <w:vAlign w:val="bottom"/>
            <w:hideMark/>
          </w:tcPr>
          <w:p w14:paraId="5ECA1ED5"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0B0DA7A0"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5E45B3A" w14:textId="77777777" w:rsidR="008517F2" w:rsidRPr="002A063A" w:rsidRDefault="008517F2" w:rsidP="008517F2">
            <w:pPr>
              <w:rPr>
                <w:color w:val="000000"/>
                <w:sz w:val="20"/>
                <w:szCs w:val="20"/>
              </w:rPr>
            </w:pPr>
            <w:r w:rsidRPr="002A063A">
              <w:rPr>
                <w:color w:val="000000"/>
                <w:sz w:val="20"/>
                <w:szCs w:val="20"/>
              </w:rPr>
              <w:t>Physician input</w:t>
            </w:r>
          </w:p>
        </w:tc>
        <w:tc>
          <w:tcPr>
            <w:tcW w:w="1530" w:type="dxa"/>
            <w:tcBorders>
              <w:top w:val="single" w:sz="4" w:space="0" w:color="auto"/>
              <w:bottom w:val="single" w:sz="4" w:space="0" w:color="auto"/>
            </w:tcBorders>
            <w:shd w:val="clear" w:color="auto" w:fill="auto"/>
            <w:noWrap/>
            <w:vAlign w:val="bottom"/>
            <w:hideMark/>
          </w:tcPr>
          <w:p w14:paraId="448C7917" w14:textId="77777777" w:rsidR="008517F2" w:rsidRPr="002A063A" w:rsidRDefault="008517F2" w:rsidP="008517F2">
            <w:pPr>
              <w:rPr>
                <w:color w:val="000000"/>
                <w:sz w:val="20"/>
                <w:szCs w:val="20"/>
              </w:rPr>
            </w:pPr>
          </w:p>
        </w:tc>
      </w:tr>
      <w:tr w:rsidR="008517F2" w:rsidRPr="003409C7" w14:paraId="35A5D847"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B383DB5" w14:textId="77777777" w:rsidR="008517F2" w:rsidRPr="002A063A" w:rsidRDefault="008517F2" w:rsidP="008517F2">
            <w:pPr>
              <w:rPr>
                <w:sz w:val="20"/>
                <w:szCs w:val="20"/>
              </w:rPr>
            </w:pPr>
            <w:r w:rsidRPr="002A063A">
              <w:rPr>
                <w:sz w:val="20"/>
                <w:szCs w:val="20"/>
              </w:rPr>
              <w:t>Gabon</w:t>
            </w:r>
          </w:p>
        </w:tc>
        <w:tc>
          <w:tcPr>
            <w:tcW w:w="1420" w:type="dxa"/>
            <w:tcBorders>
              <w:top w:val="single" w:sz="4" w:space="0" w:color="auto"/>
              <w:bottom w:val="single" w:sz="4" w:space="0" w:color="auto"/>
            </w:tcBorders>
            <w:shd w:val="clear" w:color="auto" w:fill="auto"/>
            <w:noWrap/>
            <w:vAlign w:val="bottom"/>
            <w:hideMark/>
          </w:tcPr>
          <w:p w14:paraId="27A40C57"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B7A394D"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7AF514B0"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7279C5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E8E408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666DC62" w14:textId="77777777" w:rsidR="008517F2" w:rsidRPr="002A063A" w:rsidRDefault="008517F2" w:rsidP="008517F2">
            <w:pPr>
              <w:rPr>
                <w:sz w:val="20"/>
                <w:szCs w:val="20"/>
              </w:rPr>
            </w:pPr>
            <w:r w:rsidRPr="002A063A">
              <w:rPr>
                <w:sz w:val="20"/>
                <w:szCs w:val="20"/>
              </w:rPr>
              <w:t>Gambia</w:t>
            </w:r>
          </w:p>
        </w:tc>
        <w:tc>
          <w:tcPr>
            <w:tcW w:w="1420" w:type="dxa"/>
            <w:tcBorders>
              <w:top w:val="single" w:sz="4" w:space="0" w:color="auto"/>
              <w:bottom w:val="single" w:sz="4" w:space="0" w:color="auto"/>
            </w:tcBorders>
            <w:shd w:val="clear" w:color="auto" w:fill="auto"/>
            <w:noWrap/>
            <w:vAlign w:val="bottom"/>
            <w:hideMark/>
          </w:tcPr>
          <w:p w14:paraId="2321651C"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3309DEA"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B27036F"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72BB829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09B30C0"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24DB117" w14:textId="77777777" w:rsidR="008517F2" w:rsidRPr="002A063A" w:rsidRDefault="008517F2" w:rsidP="008517F2">
            <w:pPr>
              <w:rPr>
                <w:sz w:val="20"/>
                <w:szCs w:val="20"/>
              </w:rPr>
            </w:pPr>
            <w:r w:rsidRPr="002A063A">
              <w:rPr>
                <w:sz w:val="20"/>
                <w:szCs w:val="20"/>
              </w:rPr>
              <w:t>Georgia</w:t>
            </w:r>
          </w:p>
        </w:tc>
        <w:tc>
          <w:tcPr>
            <w:tcW w:w="1420" w:type="dxa"/>
            <w:tcBorders>
              <w:top w:val="single" w:sz="4" w:space="0" w:color="auto"/>
              <w:bottom w:val="single" w:sz="4" w:space="0" w:color="auto"/>
            </w:tcBorders>
            <w:shd w:val="clear" w:color="auto" w:fill="auto"/>
            <w:noWrap/>
            <w:vAlign w:val="bottom"/>
            <w:hideMark/>
          </w:tcPr>
          <w:p w14:paraId="098F8E7C"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6359D754"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08A698C5"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7A3F7C9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822899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CAA20AD" w14:textId="77777777" w:rsidR="008517F2" w:rsidRPr="002A063A" w:rsidRDefault="008517F2" w:rsidP="008517F2">
            <w:pPr>
              <w:rPr>
                <w:sz w:val="20"/>
                <w:szCs w:val="20"/>
              </w:rPr>
            </w:pPr>
            <w:r w:rsidRPr="002A063A">
              <w:rPr>
                <w:sz w:val="20"/>
                <w:szCs w:val="20"/>
              </w:rPr>
              <w:t>Ghana</w:t>
            </w:r>
          </w:p>
        </w:tc>
        <w:tc>
          <w:tcPr>
            <w:tcW w:w="1420" w:type="dxa"/>
            <w:tcBorders>
              <w:top w:val="single" w:sz="4" w:space="0" w:color="auto"/>
              <w:bottom w:val="single" w:sz="4" w:space="0" w:color="auto"/>
            </w:tcBorders>
            <w:shd w:val="clear" w:color="auto" w:fill="auto"/>
            <w:noWrap/>
            <w:vAlign w:val="bottom"/>
            <w:hideMark/>
          </w:tcPr>
          <w:p w14:paraId="75B4481D"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203F7460"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D6059D2"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462AA0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3CABA5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0064484" w14:textId="77777777" w:rsidR="008517F2" w:rsidRPr="002A063A" w:rsidRDefault="008517F2" w:rsidP="008517F2">
            <w:pPr>
              <w:rPr>
                <w:sz w:val="20"/>
                <w:szCs w:val="20"/>
              </w:rPr>
            </w:pPr>
            <w:r w:rsidRPr="002A063A">
              <w:rPr>
                <w:sz w:val="20"/>
                <w:szCs w:val="20"/>
              </w:rPr>
              <w:t>Grenada</w:t>
            </w:r>
          </w:p>
        </w:tc>
        <w:tc>
          <w:tcPr>
            <w:tcW w:w="1420" w:type="dxa"/>
            <w:tcBorders>
              <w:top w:val="single" w:sz="4" w:space="0" w:color="auto"/>
              <w:bottom w:val="single" w:sz="4" w:space="0" w:color="auto"/>
            </w:tcBorders>
            <w:shd w:val="clear" w:color="auto" w:fill="auto"/>
            <w:noWrap/>
            <w:vAlign w:val="bottom"/>
            <w:hideMark/>
          </w:tcPr>
          <w:p w14:paraId="3B7F7F27"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253DD71B"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071FBC7"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FD4DA62"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F47EE4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35A91A9" w14:textId="77777777" w:rsidR="008517F2" w:rsidRPr="002A063A" w:rsidRDefault="008517F2" w:rsidP="008517F2">
            <w:pPr>
              <w:rPr>
                <w:sz w:val="20"/>
                <w:szCs w:val="20"/>
              </w:rPr>
            </w:pPr>
            <w:r w:rsidRPr="002A063A">
              <w:rPr>
                <w:sz w:val="20"/>
                <w:szCs w:val="20"/>
              </w:rPr>
              <w:t>Guatemala</w:t>
            </w:r>
          </w:p>
        </w:tc>
        <w:tc>
          <w:tcPr>
            <w:tcW w:w="1420" w:type="dxa"/>
            <w:tcBorders>
              <w:top w:val="single" w:sz="4" w:space="0" w:color="auto"/>
              <w:bottom w:val="single" w:sz="4" w:space="0" w:color="auto"/>
            </w:tcBorders>
            <w:shd w:val="clear" w:color="auto" w:fill="auto"/>
            <w:noWrap/>
            <w:vAlign w:val="bottom"/>
            <w:hideMark/>
          </w:tcPr>
          <w:p w14:paraId="7492F13C"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443D79EA"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57AEE3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81240A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C4DFD1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58C49C6" w14:textId="77777777" w:rsidR="008517F2" w:rsidRPr="002A063A" w:rsidRDefault="008517F2" w:rsidP="008517F2">
            <w:pPr>
              <w:rPr>
                <w:sz w:val="20"/>
                <w:szCs w:val="20"/>
              </w:rPr>
            </w:pPr>
            <w:r w:rsidRPr="002A063A">
              <w:rPr>
                <w:sz w:val="20"/>
                <w:szCs w:val="20"/>
              </w:rPr>
              <w:t>Guinea</w:t>
            </w:r>
          </w:p>
        </w:tc>
        <w:tc>
          <w:tcPr>
            <w:tcW w:w="1420" w:type="dxa"/>
            <w:tcBorders>
              <w:top w:val="single" w:sz="4" w:space="0" w:color="auto"/>
              <w:bottom w:val="single" w:sz="4" w:space="0" w:color="auto"/>
            </w:tcBorders>
            <w:shd w:val="clear" w:color="auto" w:fill="auto"/>
            <w:noWrap/>
            <w:vAlign w:val="bottom"/>
            <w:hideMark/>
          </w:tcPr>
          <w:p w14:paraId="41F6E4B5"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37B0BAF0"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1200521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15A3272"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587A43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6F2D4EA" w14:textId="77777777" w:rsidR="008517F2" w:rsidRPr="002A063A" w:rsidRDefault="008517F2" w:rsidP="008517F2">
            <w:pPr>
              <w:rPr>
                <w:sz w:val="20"/>
                <w:szCs w:val="20"/>
              </w:rPr>
            </w:pPr>
            <w:r w:rsidRPr="002A063A">
              <w:rPr>
                <w:sz w:val="20"/>
                <w:szCs w:val="20"/>
              </w:rPr>
              <w:t>Guinea-Bissau</w:t>
            </w:r>
          </w:p>
        </w:tc>
        <w:tc>
          <w:tcPr>
            <w:tcW w:w="1420" w:type="dxa"/>
            <w:tcBorders>
              <w:top w:val="single" w:sz="4" w:space="0" w:color="auto"/>
              <w:bottom w:val="single" w:sz="4" w:space="0" w:color="auto"/>
            </w:tcBorders>
            <w:shd w:val="clear" w:color="auto" w:fill="auto"/>
            <w:noWrap/>
            <w:vAlign w:val="bottom"/>
            <w:hideMark/>
          </w:tcPr>
          <w:p w14:paraId="2CDED72C"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BF1755E"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793094C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7C96DD7"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365CBF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FB3233A" w14:textId="77777777" w:rsidR="008517F2" w:rsidRPr="002A063A" w:rsidRDefault="008517F2" w:rsidP="008517F2">
            <w:pPr>
              <w:rPr>
                <w:sz w:val="20"/>
                <w:szCs w:val="20"/>
              </w:rPr>
            </w:pPr>
            <w:r w:rsidRPr="002A063A">
              <w:rPr>
                <w:sz w:val="20"/>
                <w:szCs w:val="20"/>
              </w:rPr>
              <w:t>Guyana</w:t>
            </w:r>
          </w:p>
        </w:tc>
        <w:tc>
          <w:tcPr>
            <w:tcW w:w="1420" w:type="dxa"/>
            <w:tcBorders>
              <w:top w:val="single" w:sz="4" w:space="0" w:color="auto"/>
              <w:bottom w:val="single" w:sz="4" w:space="0" w:color="auto"/>
            </w:tcBorders>
            <w:shd w:val="clear" w:color="auto" w:fill="auto"/>
            <w:noWrap/>
            <w:vAlign w:val="bottom"/>
            <w:hideMark/>
          </w:tcPr>
          <w:p w14:paraId="365B34B9"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64027013"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C92850F"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C076977"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5AC4D7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34F162D" w14:textId="77777777" w:rsidR="008517F2" w:rsidRPr="002A063A" w:rsidRDefault="008517F2" w:rsidP="008517F2">
            <w:pPr>
              <w:rPr>
                <w:sz w:val="20"/>
                <w:szCs w:val="20"/>
              </w:rPr>
            </w:pPr>
            <w:r w:rsidRPr="002A063A">
              <w:rPr>
                <w:sz w:val="20"/>
                <w:szCs w:val="20"/>
              </w:rPr>
              <w:t>Haiti</w:t>
            </w:r>
          </w:p>
        </w:tc>
        <w:tc>
          <w:tcPr>
            <w:tcW w:w="1420" w:type="dxa"/>
            <w:tcBorders>
              <w:top w:val="single" w:sz="4" w:space="0" w:color="auto"/>
              <w:bottom w:val="single" w:sz="4" w:space="0" w:color="auto"/>
            </w:tcBorders>
            <w:shd w:val="clear" w:color="auto" w:fill="auto"/>
            <w:noWrap/>
            <w:vAlign w:val="bottom"/>
            <w:hideMark/>
          </w:tcPr>
          <w:p w14:paraId="6C12ACD0"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237C9A0E"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7E2ED38A"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57647C5"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60EF4B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E24ECEE" w14:textId="77777777" w:rsidR="008517F2" w:rsidRPr="002A063A" w:rsidRDefault="008517F2" w:rsidP="008517F2">
            <w:pPr>
              <w:rPr>
                <w:sz w:val="20"/>
                <w:szCs w:val="20"/>
              </w:rPr>
            </w:pPr>
            <w:r w:rsidRPr="002A063A">
              <w:rPr>
                <w:sz w:val="20"/>
                <w:szCs w:val="20"/>
              </w:rPr>
              <w:t>Honduras</w:t>
            </w:r>
          </w:p>
        </w:tc>
        <w:tc>
          <w:tcPr>
            <w:tcW w:w="1420" w:type="dxa"/>
            <w:tcBorders>
              <w:top w:val="single" w:sz="4" w:space="0" w:color="auto"/>
              <w:bottom w:val="single" w:sz="4" w:space="0" w:color="auto"/>
            </w:tcBorders>
            <w:shd w:val="clear" w:color="auto" w:fill="auto"/>
            <w:noWrap/>
            <w:vAlign w:val="bottom"/>
            <w:hideMark/>
          </w:tcPr>
          <w:p w14:paraId="29A2355D"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4EE5EE87"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65FC7E4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285E781"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0A8158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6CDDFF4" w14:textId="77777777" w:rsidR="008517F2" w:rsidRPr="002A063A" w:rsidRDefault="008517F2" w:rsidP="008517F2">
            <w:pPr>
              <w:rPr>
                <w:sz w:val="20"/>
                <w:szCs w:val="20"/>
              </w:rPr>
            </w:pPr>
            <w:r w:rsidRPr="002A063A">
              <w:rPr>
                <w:sz w:val="20"/>
                <w:szCs w:val="20"/>
              </w:rPr>
              <w:t>India</w:t>
            </w:r>
          </w:p>
        </w:tc>
        <w:tc>
          <w:tcPr>
            <w:tcW w:w="1420" w:type="dxa"/>
            <w:tcBorders>
              <w:top w:val="single" w:sz="4" w:space="0" w:color="auto"/>
              <w:bottom w:val="single" w:sz="4" w:space="0" w:color="auto"/>
            </w:tcBorders>
            <w:shd w:val="clear" w:color="auto" w:fill="auto"/>
            <w:noWrap/>
            <w:vAlign w:val="bottom"/>
            <w:hideMark/>
          </w:tcPr>
          <w:p w14:paraId="23154937"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02A697F4"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4C201E5E" w14:textId="77777777" w:rsidR="008517F2" w:rsidRPr="002A063A" w:rsidRDefault="008517F2" w:rsidP="008517F2">
            <w:pPr>
              <w:rPr>
                <w:color w:val="000000"/>
                <w:sz w:val="20"/>
                <w:szCs w:val="20"/>
              </w:rPr>
            </w:pPr>
            <w:r w:rsidRPr="002A063A">
              <w:rPr>
                <w:color w:val="000000"/>
                <w:sz w:val="20"/>
                <w:szCs w:val="20"/>
              </w:rPr>
              <w:t>National guidelines 2007</w:t>
            </w:r>
          </w:p>
        </w:tc>
        <w:tc>
          <w:tcPr>
            <w:tcW w:w="1530" w:type="dxa"/>
            <w:tcBorders>
              <w:top w:val="single" w:sz="4" w:space="0" w:color="auto"/>
              <w:bottom w:val="single" w:sz="4" w:space="0" w:color="auto"/>
            </w:tcBorders>
            <w:shd w:val="clear" w:color="auto" w:fill="auto"/>
            <w:noWrap/>
            <w:vAlign w:val="bottom"/>
            <w:hideMark/>
          </w:tcPr>
          <w:p w14:paraId="0739D4DF" w14:textId="77777777" w:rsidR="008517F2" w:rsidRPr="002A063A" w:rsidRDefault="008517F2" w:rsidP="008517F2">
            <w:pPr>
              <w:rPr>
                <w:color w:val="000000"/>
                <w:sz w:val="20"/>
                <w:szCs w:val="20"/>
              </w:rPr>
            </w:pPr>
          </w:p>
        </w:tc>
      </w:tr>
      <w:tr w:rsidR="008517F2" w:rsidRPr="003409C7" w14:paraId="707585C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B4E9D74" w14:textId="77777777" w:rsidR="008517F2" w:rsidRPr="002A063A" w:rsidRDefault="008517F2" w:rsidP="008517F2">
            <w:pPr>
              <w:rPr>
                <w:sz w:val="20"/>
                <w:szCs w:val="20"/>
              </w:rPr>
            </w:pPr>
            <w:r w:rsidRPr="002A063A">
              <w:rPr>
                <w:sz w:val="20"/>
                <w:szCs w:val="20"/>
              </w:rPr>
              <w:t>Indonesia</w:t>
            </w:r>
          </w:p>
        </w:tc>
        <w:tc>
          <w:tcPr>
            <w:tcW w:w="1420" w:type="dxa"/>
            <w:tcBorders>
              <w:top w:val="single" w:sz="4" w:space="0" w:color="auto"/>
              <w:bottom w:val="single" w:sz="4" w:space="0" w:color="auto"/>
            </w:tcBorders>
            <w:shd w:val="clear" w:color="auto" w:fill="auto"/>
            <w:noWrap/>
            <w:vAlign w:val="bottom"/>
            <w:hideMark/>
          </w:tcPr>
          <w:p w14:paraId="71FB5AEE"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52DC5CF6"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6AE736FC"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33557C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AC1CA6D"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799C8E8" w14:textId="77777777" w:rsidR="008517F2" w:rsidRPr="002A063A" w:rsidRDefault="008517F2" w:rsidP="008517F2">
            <w:pPr>
              <w:rPr>
                <w:sz w:val="20"/>
                <w:szCs w:val="20"/>
              </w:rPr>
            </w:pPr>
            <w:r w:rsidRPr="002A063A">
              <w:rPr>
                <w:sz w:val="20"/>
                <w:szCs w:val="20"/>
              </w:rPr>
              <w:t>Iran</w:t>
            </w:r>
          </w:p>
        </w:tc>
        <w:tc>
          <w:tcPr>
            <w:tcW w:w="1420" w:type="dxa"/>
            <w:tcBorders>
              <w:top w:val="single" w:sz="4" w:space="0" w:color="auto"/>
              <w:bottom w:val="single" w:sz="4" w:space="0" w:color="auto"/>
            </w:tcBorders>
            <w:shd w:val="clear" w:color="auto" w:fill="auto"/>
            <w:noWrap/>
            <w:vAlign w:val="bottom"/>
            <w:hideMark/>
          </w:tcPr>
          <w:p w14:paraId="11BD4D51"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264BD885"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6BE33B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9D2E5A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A5243F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77FBAB8" w14:textId="77777777" w:rsidR="008517F2" w:rsidRPr="002A063A" w:rsidRDefault="008517F2" w:rsidP="008517F2">
            <w:pPr>
              <w:rPr>
                <w:sz w:val="20"/>
                <w:szCs w:val="20"/>
              </w:rPr>
            </w:pPr>
            <w:r w:rsidRPr="002A063A">
              <w:rPr>
                <w:sz w:val="20"/>
                <w:szCs w:val="20"/>
              </w:rPr>
              <w:t>Iraq</w:t>
            </w:r>
          </w:p>
        </w:tc>
        <w:tc>
          <w:tcPr>
            <w:tcW w:w="1420" w:type="dxa"/>
            <w:tcBorders>
              <w:top w:val="single" w:sz="4" w:space="0" w:color="auto"/>
              <w:bottom w:val="single" w:sz="4" w:space="0" w:color="auto"/>
            </w:tcBorders>
            <w:shd w:val="clear" w:color="auto" w:fill="auto"/>
            <w:noWrap/>
            <w:vAlign w:val="bottom"/>
            <w:hideMark/>
          </w:tcPr>
          <w:p w14:paraId="7A2B203F"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6381176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6A6AE63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20F919F"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0BB8EC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1067EAC" w14:textId="77777777" w:rsidR="008517F2" w:rsidRPr="002A063A" w:rsidRDefault="008517F2" w:rsidP="008517F2">
            <w:pPr>
              <w:rPr>
                <w:sz w:val="20"/>
                <w:szCs w:val="20"/>
              </w:rPr>
            </w:pPr>
            <w:r w:rsidRPr="002A063A">
              <w:rPr>
                <w:sz w:val="20"/>
                <w:szCs w:val="20"/>
              </w:rPr>
              <w:t>Jamaica</w:t>
            </w:r>
          </w:p>
        </w:tc>
        <w:tc>
          <w:tcPr>
            <w:tcW w:w="1420" w:type="dxa"/>
            <w:tcBorders>
              <w:top w:val="single" w:sz="4" w:space="0" w:color="auto"/>
              <w:bottom w:val="single" w:sz="4" w:space="0" w:color="auto"/>
            </w:tcBorders>
            <w:shd w:val="clear" w:color="auto" w:fill="auto"/>
            <w:noWrap/>
            <w:vAlign w:val="bottom"/>
            <w:hideMark/>
          </w:tcPr>
          <w:p w14:paraId="013676D0"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2178B360"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E862AFE"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C2C0B5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A9CF4A7"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661A197" w14:textId="77777777" w:rsidR="008517F2" w:rsidRPr="002A063A" w:rsidRDefault="008517F2" w:rsidP="008517F2">
            <w:pPr>
              <w:rPr>
                <w:sz w:val="20"/>
                <w:szCs w:val="20"/>
              </w:rPr>
            </w:pPr>
            <w:r w:rsidRPr="002A063A">
              <w:rPr>
                <w:sz w:val="20"/>
                <w:szCs w:val="20"/>
              </w:rPr>
              <w:t>Jordan</w:t>
            </w:r>
          </w:p>
        </w:tc>
        <w:tc>
          <w:tcPr>
            <w:tcW w:w="1420" w:type="dxa"/>
            <w:tcBorders>
              <w:top w:val="single" w:sz="4" w:space="0" w:color="auto"/>
              <w:bottom w:val="single" w:sz="4" w:space="0" w:color="auto"/>
            </w:tcBorders>
            <w:shd w:val="clear" w:color="auto" w:fill="auto"/>
            <w:noWrap/>
            <w:vAlign w:val="bottom"/>
            <w:hideMark/>
          </w:tcPr>
          <w:p w14:paraId="4A80FF56"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51D06C25"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3D1A27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C5316C2"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8189FC0" w14:textId="77777777" w:rsidTr="008517F2">
        <w:trPr>
          <w:trHeight w:val="320"/>
          <w:jc w:val="center"/>
        </w:trPr>
        <w:tc>
          <w:tcPr>
            <w:tcW w:w="1620" w:type="dxa"/>
            <w:tcBorders>
              <w:top w:val="single" w:sz="4" w:space="0" w:color="auto"/>
              <w:bottom w:val="nil"/>
            </w:tcBorders>
            <w:shd w:val="clear" w:color="000000" w:fill="FFFFFF"/>
            <w:noWrap/>
            <w:vAlign w:val="center"/>
            <w:hideMark/>
          </w:tcPr>
          <w:p w14:paraId="7262A53F" w14:textId="77777777" w:rsidR="008517F2" w:rsidRPr="002A063A" w:rsidRDefault="008517F2" w:rsidP="008517F2">
            <w:pPr>
              <w:rPr>
                <w:sz w:val="20"/>
                <w:szCs w:val="20"/>
              </w:rPr>
            </w:pPr>
            <w:r w:rsidRPr="002A063A">
              <w:rPr>
                <w:sz w:val="20"/>
                <w:szCs w:val="20"/>
              </w:rPr>
              <w:t>Kazakhstan</w:t>
            </w:r>
          </w:p>
        </w:tc>
        <w:tc>
          <w:tcPr>
            <w:tcW w:w="1420" w:type="dxa"/>
            <w:tcBorders>
              <w:top w:val="single" w:sz="4" w:space="0" w:color="auto"/>
              <w:bottom w:val="nil"/>
            </w:tcBorders>
            <w:shd w:val="clear" w:color="auto" w:fill="auto"/>
            <w:noWrap/>
            <w:vAlign w:val="bottom"/>
            <w:hideMark/>
          </w:tcPr>
          <w:p w14:paraId="4D6A6862"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nil"/>
            </w:tcBorders>
            <w:shd w:val="clear" w:color="auto" w:fill="auto"/>
            <w:noWrap/>
            <w:vAlign w:val="bottom"/>
            <w:hideMark/>
          </w:tcPr>
          <w:p w14:paraId="0633533E"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nil"/>
            </w:tcBorders>
            <w:shd w:val="clear" w:color="auto" w:fill="auto"/>
            <w:noWrap/>
            <w:vAlign w:val="bottom"/>
            <w:hideMark/>
          </w:tcPr>
          <w:p w14:paraId="7A0D2A9E"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nil"/>
            </w:tcBorders>
            <w:shd w:val="clear" w:color="auto" w:fill="auto"/>
            <w:noWrap/>
            <w:vAlign w:val="bottom"/>
            <w:hideMark/>
          </w:tcPr>
          <w:p w14:paraId="6628D8F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829DAB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FB38C70" w14:textId="77777777" w:rsidR="008517F2" w:rsidRPr="002A063A" w:rsidRDefault="008517F2" w:rsidP="008517F2">
            <w:pPr>
              <w:rPr>
                <w:sz w:val="20"/>
                <w:szCs w:val="20"/>
              </w:rPr>
            </w:pPr>
            <w:r w:rsidRPr="002A063A">
              <w:rPr>
                <w:sz w:val="20"/>
                <w:szCs w:val="20"/>
              </w:rPr>
              <w:t>Kenya</w:t>
            </w:r>
          </w:p>
        </w:tc>
        <w:tc>
          <w:tcPr>
            <w:tcW w:w="1420" w:type="dxa"/>
            <w:tcBorders>
              <w:top w:val="single" w:sz="4" w:space="0" w:color="auto"/>
              <w:bottom w:val="single" w:sz="4" w:space="0" w:color="auto"/>
            </w:tcBorders>
            <w:shd w:val="clear" w:color="auto" w:fill="auto"/>
            <w:noWrap/>
            <w:vAlign w:val="bottom"/>
            <w:hideMark/>
          </w:tcPr>
          <w:p w14:paraId="461F6C9E"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3E96D1A0"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AF4B401" w14:textId="77777777" w:rsidR="008517F2" w:rsidRPr="002A063A" w:rsidRDefault="008517F2" w:rsidP="008517F2">
            <w:pPr>
              <w:rPr>
                <w:color w:val="000000"/>
                <w:sz w:val="20"/>
                <w:szCs w:val="20"/>
              </w:rPr>
            </w:pPr>
            <w:r w:rsidRPr="002A063A">
              <w:rPr>
                <w:color w:val="000000"/>
                <w:sz w:val="20"/>
                <w:szCs w:val="20"/>
              </w:rPr>
              <w:t>Corbell et al.</w:t>
            </w:r>
          </w:p>
        </w:tc>
        <w:tc>
          <w:tcPr>
            <w:tcW w:w="1530" w:type="dxa"/>
            <w:tcBorders>
              <w:top w:val="single" w:sz="4" w:space="0" w:color="auto"/>
              <w:bottom w:val="single" w:sz="4" w:space="0" w:color="auto"/>
            </w:tcBorders>
            <w:shd w:val="clear" w:color="auto" w:fill="auto"/>
            <w:noWrap/>
            <w:vAlign w:val="bottom"/>
            <w:hideMark/>
          </w:tcPr>
          <w:p w14:paraId="58AA4BC6"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0CE03CB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8B8C559" w14:textId="77777777" w:rsidR="008517F2" w:rsidRPr="002A063A" w:rsidRDefault="008517F2" w:rsidP="008517F2">
            <w:pPr>
              <w:rPr>
                <w:sz w:val="20"/>
                <w:szCs w:val="20"/>
              </w:rPr>
            </w:pPr>
            <w:r w:rsidRPr="002A063A">
              <w:rPr>
                <w:sz w:val="20"/>
                <w:szCs w:val="20"/>
              </w:rPr>
              <w:t>Kiribati</w:t>
            </w:r>
          </w:p>
        </w:tc>
        <w:tc>
          <w:tcPr>
            <w:tcW w:w="1420" w:type="dxa"/>
            <w:tcBorders>
              <w:top w:val="single" w:sz="4" w:space="0" w:color="auto"/>
              <w:bottom w:val="single" w:sz="4" w:space="0" w:color="auto"/>
            </w:tcBorders>
            <w:shd w:val="clear" w:color="auto" w:fill="auto"/>
            <w:noWrap/>
            <w:vAlign w:val="bottom"/>
            <w:hideMark/>
          </w:tcPr>
          <w:p w14:paraId="0377AE85"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216EC6DC"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1CFB5A6"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8785EF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A4CB76D"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187070A" w14:textId="77777777" w:rsidR="008517F2" w:rsidRPr="002A063A" w:rsidRDefault="008517F2" w:rsidP="008517F2">
            <w:pPr>
              <w:rPr>
                <w:sz w:val="20"/>
                <w:szCs w:val="20"/>
              </w:rPr>
            </w:pPr>
            <w:r w:rsidRPr="002A063A">
              <w:rPr>
                <w:sz w:val="20"/>
                <w:szCs w:val="20"/>
              </w:rPr>
              <w:t>Kosovo</w:t>
            </w:r>
          </w:p>
        </w:tc>
        <w:tc>
          <w:tcPr>
            <w:tcW w:w="1420" w:type="dxa"/>
            <w:tcBorders>
              <w:top w:val="single" w:sz="4" w:space="0" w:color="auto"/>
              <w:bottom w:val="single" w:sz="4" w:space="0" w:color="auto"/>
            </w:tcBorders>
            <w:shd w:val="clear" w:color="auto" w:fill="auto"/>
            <w:noWrap/>
            <w:vAlign w:val="bottom"/>
            <w:hideMark/>
          </w:tcPr>
          <w:p w14:paraId="0425BF16"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3720682A"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148DD6F"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1363E4C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5E8A9E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C25CA94" w14:textId="77777777" w:rsidR="008517F2" w:rsidRPr="002A063A" w:rsidRDefault="008517F2" w:rsidP="008517F2">
            <w:pPr>
              <w:rPr>
                <w:sz w:val="20"/>
                <w:szCs w:val="20"/>
              </w:rPr>
            </w:pPr>
            <w:r w:rsidRPr="002A063A">
              <w:rPr>
                <w:sz w:val="20"/>
                <w:szCs w:val="20"/>
              </w:rPr>
              <w:t>Lebanon</w:t>
            </w:r>
          </w:p>
        </w:tc>
        <w:tc>
          <w:tcPr>
            <w:tcW w:w="1420" w:type="dxa"/>
            <w:tcBorders>
              <w:top w:val="single" w:sz="4" w:space="0" w:color="auto"/>
              <w:bottom w:val="single" w:sz="4" w:space="0" w:color="auto"/>
            </w:tcBorders>
            <w:shd w:val="clear" w:color="auto" w:fill="auto"/>
            <w:noWrap/>
            <w:vAlign w:val="bottom"/>
            <w:hideMark/>
          </w:tcPr>
          <w:p w14:paraId="00D984E2"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33CB81FB"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14656A6"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276E2D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C2AB29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9CB0509" w14:textId="77777777" w:rsidR="008517F2" w:rsidRPr="002A063A" w:rsidRDefault="008517F2" w:rsidP="008517F2">
            <w:pPr>
              <w:rPr>
                <w:sz w:val="20"/>
                <w:szCs w:val="20"/>
              </w:rPr>
            </w:pPr>
            <w:r w:rsidRPr="002A063A">
              <w:rPr>
                <w:sz w:val="20"/>
                <w:szCs w:val="20"/>
              </w:rPr>
              <w:t>Lesotho</w:t>
            </w:r>
          </w:p>
        </w:tc>
        <w:tc>
          <w:tcPr>
            <w:tcW w:w="1420" w:type="dxa"/>
            <w:tcBorders>
              <w:top w:val="single" w:sz="4" w:space="0" w:color="auto"/>
              <w:bottom w:val="single" w:sz="4" w:space="0" w:color="auto"/>
            </w:tcBorders>
            <w:shd w:val="clear" w:color="auto" w:fill="auto"/>
            <w:noWrap/>
            <w:vAlign w:val="bottom"/>
            <w:hideMark/>
          </w:tcPr>
          <w:p w14:paraId="4C8CDAAC"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2ADDF5C"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35EB552" w14:textId="77777777" w:rsidR="008517F2" w:rsidRPr="002A063A" w:rsidRDefault="008517F2" w:rsidP="008517F2">
            <w:pPr>
              <w:rPr>
                <w:color w:val="000000"/>
                <w:sz w:val="20"/>
                <w:szCs w:val="20"/>
              </w:rPr>
            </w:pPr>
            <w:r w:rsidRPr="002A063A">
              <w:rPr>
                <w:color w:val="000000"/>
                <w:sz w:val="20"/>
                <w:szCs w:val="20"/>
              </w:rPr>
              <w:t>National guidelines 2005</w:t>
            </w:r>
          </w:p>
        </w:tc>
        <w:tc>
          <w:tcPr>
            <w:tcW w:w="1530" w:type="dxa"/>
            <w:tcBorders>
              <w:top w:val="single" w:sz="4" w:space="0" w:color="auto"/>
              <w:bottom w:val="single" w:sz="4" w:space="0" w:color="auto"/>
            </w:tcBorders>
            <w:shd w:val="clear" w:color="auto" w:fill="auto"/>
            <w:noWrap/>
            <w:vAlign w:val="bottom"/>
            <w:hideMark/>
          </w:tcPr>
          <w:p w14:paraId="135EF005" w14:textId="77777777" w:rsidR="008517F2" w:rsidRPr="002A063A" w:rsidRDefault="008517F2" w:rsidP="008517F2">
            <w:pPr>
              <w:rPr>
                <w:color w:val="000000"/>
                <w:sz w:val="20"/>
                <w:szCs w:val="20"/>
              </w:rPr>
            </w:pPr>
          </w:p>
        </w:tc>
      </w:tr>
      <w:tr w:rsidR="008517F2" w:rsidRPr="003409C7" w14:paraId="5F2A0A1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D11AB89" w14:textId="77777777" w:rsidR="008517F2" w:rsidRPr="002A063A" w:rsidRDefault="008517F2" w:rsidP="008517F2">
            <w:pPr>
              <w:rPr>
                <w:sz w:val="20"/>
                <w:szCs w:val="20"/>
              </w:rPr>
            </w:pPr>
            <w:r w:rsidRPr="002A063A">
              <w:rPr>
                <w:sz w:val="20"/>
                <w:szCs w:val="20"/>
              </w:rPr>
              <w:t>Liberia</w:t>
            </w:r>
          </w:p>
        </w:tc>
        <w:tc>
          <w:tcPr>
            <w:tcW w:w="1420" w:type="dxa"/>
            <w:tcBorders>
              <w:top w:val="single" w:sz="4" w:space="0" w:color="auto"/>
              <w:bottom w:val="single" w:sz="4" w:space="0" w:color="auto"/>
            </w:tcBorders>
            <w:shd w:val="clear" w:color="auto" w:fill="auto"/>
            <w:noWrap/>
            <w:vAlign w:val="bottom"/>
            <w:hideMark/>
          </w:tcPr>
          <w:p w14:paraId="39EE8375"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E35ED6F"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45E26B34"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A37865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C881D8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AD183DE" w14:textId="77777777" w:rsidR="008517F2" w:rsidRPr="002A063A" w:rsidRDefault="008517F2" w:rsidP="008517F2">
            <w:pPr>
              <w:rPr>
                <w:sz w:val="20"/>
                <w:szCs w:val="20"/>
              </w:rPr>
            </w:pPr>
            <w:r w:rsidRPr="002A063A">
              <w:rPr>
                <w:sz w:val="20"/>
                <w:szCs w:val="20"/>
              </w:rPr>
              <w:t>Libya</w:t>
            </w:r>
          </w:p>
        </w:tc>
        <w:tc>
          <w:tcPr>
            <w:tcW w:w="1420" w:type="dxa"/>
            <w:tcBorders>
              <w:top w:val="single" w:sz="4" w:space="0" w:color="auto"/>
              <w:bottom w:val="single" w:sz="4" w:space="0" w:color="auto"/>
            </w:tcBorders>
            <w:shd w:val="clear" w:color="auto" w:fill="auto"/>
            <w:noWrap/>
            <w:vAlign w:val="bottom"/>
            <w:hideMark/>
          </w:tcPr>
          <w:p w14:paraId="02BCDD5A"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2284895C"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19642B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C8A9BCF"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7E7651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CE2A3C2" w14:textId="77777777" w:rsidR="008517F2" w:rsidRPr="002A063A" w:rsidRDefault="008517F2" w:rsidP="008517F2">
            <w:pPr>
              <w:rPr>
                <w:sz w:val="20"/>
                <w:szCs w:val="20"/>
              </w:rPr>
            </w:pPr>
            <w:r w:rsidRPr="002A063A">
              <w:rPr>
                <w:sz w:val="20"/>
                <w:szCs w:val="20"/>
              </w:rPr>
              <w:t>Macedonia</w:t>
            </w:r>
          </w:p>
        </w:tc>
        <w:tc>
          <w:tcPr>
            <w:tcW w:w="1420" w:type="dxa"/>
            <w:tcBorders>
              <w:top w:val="single" w:sz="4" w:space="0" w:color="auto"/>
              <w:bottom w:val="single" w:sz="4" w:space="0" w:color="auto"/>
            </w:tcBorders>
            <w:shd w:val="clear" w:color="auto" w:fill="auto"/>
            <w:noWrap/>
            <w:vAlign w:val="bottom"/>
            <w:hideMark/>
          </w:tcPr>
          <w:p w14:paraId="2DB114C8"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7D77052F"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A0ED5AE"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06286CE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40EE3CB"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31ED908" w14:textId="77777777" w:rsidR="008517F2" w:rsidRPr="002A063A" w:rsidRDefault="008517F2" w:rsidP="008517F2">
            <w:pPr>
              <w:rPr>
                <w:sz w:val="20"/>
                <w:szCs w:val="20"/>
              </w:rPr>
            </w:pPr>
            <w:r w:rsidRPr="002A063A">
              <w:rPr>
                <w:sz w:val="20"/>
                <w:szCs w:val="20"/>
              </w:rPr>
              <w:t>Madagascar</w:t>
            </w:r>
          </w:p>
        </w:tc>
        <w:tc>
          <w:tcPr>
            <w:tcW w:w="1420" w:type="dxa"/>
            <w:tcBorders>
              <w:top w:val="single" w:sz="4" w:space="0" w:color="auto"/>
              <w:bottom w:val="single" w:sz="4" w:space="0" w:color="auto"/>
            </w:tcBorders>
            <w:shd w:val="clear" w:color="auto" w:fill="auto"/>
            <w:noWrap/>
            <w:vAlign w:val="bottom"/>
            <w:hideMark/>
          </w:tcPr>
          <w:p w14:paraId="3178FD65"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99DDE57"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867707F"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353772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BCDC0B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A45A74F" w14:textId="77777777" w:rsidR="008517F2" w:rsidRPr="002A063A" w:rsidRDefault="008517F2" w:rsidP="008517F2">
            <w:pPr>
              <w:rPr>
                <w:sz w:val="20"/>
                <w:szCs w:val="20"/>
              </w:rPr>
            </w:pPr>
            <w:r w:rsidRPr="002A063A">
              <w:rPr>
                <w:sz w:val="20"/>
                <w:szCs w:val="20"/>
              </w:rPr>
              <w:t>Malawi</w:t>
            </w:r>
          </w:p>
        </w:tc>
        <w:tc>
          <w:tcPr>
            <w:tcW w:w="1420" w:type="dxa"/>
            <w:tcBorders>
              <w:top w:val="single" w:sz="4" w:space="0" w:color="auto"/>
              <w:bottom w:val="single" w:sz="4" w:space="0" w:color="auto"/>
            </w:tcBorders>
            <w:shd w:val="clear" w:color="auto" w:fill="auto"/>
            <w:noWrap/>
            <w:vAlign w:val="bottom"/>
            <w:hideMark/>
          </w:tcPr>
          <w:p w14:paraId="1D3053E6"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620F5BFE"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2491D62" w14:textId="77777777" w:rsidR="008517F2" w:rsidRPr="002A063A" w:rsidRDefault="008517F2" w:rsidP="008517F2">
            <w:pPr>
              <w:rPr>
                <w:color w:val="000000"/>
                <w:sz w:val="20"/>
                <w:szCs w:val="20"/>
              </w:rPr>
            </w:pPr>
            <w:r w:rsidRPr="002A063A">
              <w:rPr>
                <w:color w:val="000000"/>
                <w:sz w:val="20"/>
                <w:szCs w:val="20"/>
              </w:rPr>
              <w:t>Corbell et al. and national guidelines (200)</w:t>
            </w:r>
          </w:p>
        </w:tc>
        <w:tc>
          <w:tcPr>
            <w:tcW w:w="1530" w:type="dxa"/>
            <w:tcBorders>
              <w:top w:val="single" w:sz="4" w:space="0" w:color="auto"/>
              <w:bottom w:val="single" w:sz="4" w:space="0" w:color="auto"/>
            </w:tcBorders>
            <w:shd w:val="clear" w:color="auto" w:fill="auto"/>
            <w:noWrap/>
            <w:vAlign w:val="bottom"/>
            <w:hideMark/>
          </w:tcPr>
          <w:p w14:paraId="49F8E09D"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771A717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F677A4F" w14:textId="77777777" w:rsidR="008517F2" w:rsidRPr="002A063A" w:rsidRDefault="008517F2" w:rsidP="008517F2">
            <w:pPr>
              <w:rPr>
                <w:sz w:val="20"/>
                <w:szCs w:val="20"/>
              </w:rPr>
            </w:pPr>
            <w:r w:rsidRPr="002A063A">
              <w:rPr>
                <w:sz w:val="20"/>
                <w:szCs w:val="20"/>
              </w:rPr>
              <w:t>Malaysia</w:t>
            </w:r>
          </w:p>
        </w:tc>
        <w:tc>
          <w:tcPr>
            <w:tcW w:w="1420" w:type="dxa"/>
            <w:tcBorders>
              <w:top w:val="single" w:sz="4" w:space="0" w:color="auto"/>
              <w:bottom w:val="single" w:sz="4" w:space="0" w:color="auto"/>
            </w:tcBorders>
            <w:shd w:val="clear" w:color="auto" w:fill="auto"/>
            <w:noWrap/>
            <w:vAlign w:val="bottom"/>
            <w:hideMark/>
          </w:tcPr>
          <w:p w14:paraId="4FCC0157"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605C3BDF"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D71CEF9" w14:textId="77777777" w:rsidR="008517F2" w:rsidRPr="002A063A" w:rsidRDefault="008517F2" w:rsidP="008517F2">
            <w:pPr>
              <w:rPr>
                <w:color w:val="000000"/>
                <w:sz w:val="20"/>
                <w:szCs w:val="20"/>
              </w:rPr>
            </w:pPr>
            <w:r w:rsidRPr="002A063A">
              <w:rPr>
                <w:color w:val="000000"/>
                <w:sz w:val="20"/>
                <w:szCs w:val="20"/>
              </w:rPr>
              <w:t>National guidelines 2008</w:t>
            </w:r>
          </w:p>
        </w:tc>
        <w:tc>
          <w:tcPr>
            <w:tcW w:w="1530" w:type="dxa"/>
            <w:tcBorders>
              <w:top w:val="single" w:sz="4" w:space="0" w:color="auto"/>
              <w:bottom w:val="single" w:sz="4" w:space="0" w:color="auto"/>
            </w:tcBorders>
            <w:shd w:val="clear" w:color="auto" w:fill="auto"/>
            <w:noWrap/>
            <w:vAlign w:val="bottom"/>
            <w:hideMark/>
          </w:tcPr>
          <w:p w14:paraId="221E150E"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7FB5721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C7F7842" w14:textId="77777777" w:rsidR="008517F2" w:rsidRPr="002A063A" w:rsidRDefault="008517F2" w:rsidP="008517F2">
            <w:pPr>
              <w:rPr>
                <w:sz w:val="20"/>
                <w:szCs w:val="20"/>
              </w:rPr>
            </w:pPr>
            <w:r w:rsidRPr="002A063A">
              <w:rPr>
                <w:sz w:val="20"/>
                <w:szCs w:val="20"/>
              </w:rPr>
              <w:t>Maldives</w:t>
            </w:r>
          </w:p>
        </w:tc>
        <w:tc>
          <w:tcPr>
            <w:tcW w:w="1420" w:type="dxa"/>
            <w:tcBorders>
              <w:top w:val="single" w:sz="4" w:space="0" w:color="auto"/>
              <w:bottom w:val="single" w:sz="4" w:space="0" w:color="auto"/>
            </w:tcBorders>
            <w:shd w:val="clear" w:color="auto" w:fill="auto"/>
            <w:noWrap/>
            <w:vAlign w:val="bottom"/>
            <w:hideMark/>
          </w:tcPr>
          <w:p w14:paraId="51356566"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087FE9B4"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E35443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C875AD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15730C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EE64008" w14:textId="77777777" w:rsidR="008517F2" w:rsidRPr="002A063A" w:rsidRDefault="008517F2" w:rsidP="008517F2">
            <w:pPr>
              <w:rPr>
                <w:sz w:val="20"/>
                <w:szCs w:val="20"/>
              </w:rPr>
            </w:pPr>
            <w:r w:rsidRPr="002A063A">
              <w:rPr>
                <w:sz w:val="20"/>
                <w:szCs w:val="20"/>
              </w:rPr>
              <w:t>Mali</w:t>
            </w:r>
          </w:p>
        </w:tc>
        <w:tc>
          <w:tcPr>
            <w:tcW w:w="1420" w:type="dxa"/>
            <w:tcBorders>
              <w:top w:val="single" w:sz="4" w:space="0" w:color="auto"/>
              <w:bottom w:val="single" w:sz="4" w:space="0" w:color="auto"/>
            </w:tcBorders>
            <w:shd w:val="clear" w:color="auto" w:fill="auto"/>
            <w:noWrap/>
            <w:vAlign w:val="bottom"/>
            <w:hideMark/>
          </w:tcPr>
          <w:p w14:paraId="123359F0"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70DF65F"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4DB17E77" w14:textId="77777777" w:rsidR="008517F2" w:rsidRPr="002A063A" w:rsidRDefault="008517F2" w:rsidP="008517F2">
            <w:pPr>
              <w:rPr>
                <w:color w:val="000000"/>
                <w:sz w:val="20"/>
                <w:szCs w:val="20"/>
              </w:rPr>
            </w:pPr>
            <w:r w:rsidRPr="002A063A">
              <w:rPr>
                <w:color w:val="000000"/>
                <w:sz w:val="20"/>
                <w:szCs w:val="20"/>
              </w:rPr>
              <w:t>National guidelines 2007</w:t>
            </w:r>
          </w:p>
        </w:tc>
        <w:tc>
          <w:tcPr>
            <w:tcW w:w="1530" w:type="dxa"/>
            <w:tcBorders>
              <w:top w:val="single" w:sz="4" w:space="0" w:color="auto"/>
              <w:bottom w:val="single" w:sz="4" w:space="0" w:color="auto"/>
            </w:tcBorders>
            <w:shd w:val="clear" w:color="auto" w:fill="auto"/>
            <w:noWrap/>
            <w:vAlign w:val="bottom"/>
            <w:hideMark/>
          </w:tcPr>
          <w:p w14:paraId="2D4D80E9" w14:textId="77777777" w:rsidR="008517F2" w:rsidRPr="002A063A" w:rsidRDefault="008517F2" w:rsidP="008517F2">
            <w:pPr>
              <w:rPr>
                <w:color w:val="000000"/>
                <w:sz w:val="20"/>
                <w:szCs w:val="20"/>
              </w:rPr>
            </w:pPr>
          </w:p>
        </w:tc>
      </w:tr>
      <w:tr w:rsidR="008517F2" w:rsidRPr="003409C7" w14:paraId="37180FB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8F71CBB" w14:textId="77777777" w:rsidR="008517F2" w:rsidRPr="002A063A" w:rsidRDefault="008517F2" w:rsidP="008517F2">
            <w:pPr>
              <w:rPr>
                <w:sz w:val="20"/>
                <w:szCs w:val="20"/>
              </w:rPr>
            </w:pPr>
            <w:r w:rsidRPr="002A063A">
              <w:rPr>
                <w:sz w:val="20"/>
                <w:szCs w:val="20"/>
              </w:rPr>
              <w:t>Marshall Islands</w:t>
            </w:r>
          </w:p>
        </w:tc>
        <w:tc>
          <w:tcPr>
            <w:tcW w:w="1420" w:type="dxa"/>
            <w:tcBorders>
              <w:top w:val="single" w:sz="4" w:space="0" w:color="auto"/>
              <w:bottom w:val="single" w:sz="4" w:space="0" w:color="auto"/>
            </w:tcBorders>
            <w:shd w:val="clear" w:color="auto" w:fill="auto"/>
            <w:noWrap/>
            <w:vAlign w:val="bottom"/>
            <w:hideMark/>
          </w:tcPr>
          <w:p w14:paraId="1B1614FE"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39300CB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363D9E4"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8AAAF6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316D4C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12068CE" w14:textId="77777777" w:rsidR="008517F2" w:rsidRPr="002A063A" w:rsidRDefault="008517F2" w:rsidP="008517F2">
            <w:pPr>
              <w:rPr>
                <w:sz w:val="20"/>
                <w:szCs w:val="20"/>
              </w:rPr>
            </w:pPr>
            <w:r w:rsidRPr="002A063A">
              <w:rPr>
                <w:sz w:val="20"/>
                <w:szCs w:val="20"/>
              </w:rPr>
              <w:t>Mauritania</w:t>
            </w:r>
          </w:p>
        </w:tc>
        <w:tc>
          <w:tcPr>
            <w:tcW w:w="1420" w:type="dxa"/>
            <w:tcBorders>
              <w:top w:val="single" w:sz="4" w:space="0" w:color="auto"/>
              <w:bottom w:val="single" w:sz="4" w:space="0" w:color="auto"/>
            </w:tcBorders>
            <w:shd w:val="clear" w:color="auto" w:fill="auto"/>
            <w:noWrap/>
            <w:vAlign w:val="bottom"/>
            <w:hideMark/>
          </w:tcPr>
          <w:p w14:paraId="43616194"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9E95431"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574FA514"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57CE2D5"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23FFF3F"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DEEAAFE" w14:textId="77777777" w:rsidR="008517F2" w:rsidRPr="002A063A" w:rsidRDefault="008517F2" w:rsidP="008517F2">
            <w:pPr>
              <w:rPr>
                <w:sz w:val="20"/>
                <w:szCs w:val="20"/>
              </w:rPr>
            </w:pPr>
            <w:r w:rsidRPr="002A063A">
              <w:rPr>
                <w:sz w:val="20"/>
                <w:szCs w:val="20"/>
              </w:rPr>
              <w:lastRenderedPageBreak/>
              <w:t>Mauritius</w:t>
            </w:r>
          </w:p>
        </w:tc>
        <w:tc>
          <w:tcPr>
            <w:tcW w:w="1420" w:type="dxa"/>
            <w:tcBorders>
              <w:top w:val="single" w:sz="4" w:space="0" w:color="auto"/>
              <w:bottom w:val="single" w:sz="4" w:space="0" w:color="auto"/>
            </w:tcBorders>
            <w:shd w:val="clear" w:color="auto" w:fill="auto"/>
            <w:noWrap/>
            <w:vAlign w:val="bottom"/>
            <w:hideMark/>
          </w:tcPr>
          <w:p w14:paraId="2822A90B"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4BBCB8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37B2320"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5FF67D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13A287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C2FE0B0" w14:textId="77777777" w:rsidR="008517F2" w:rsidRPr="002A063A" w:rsidRDefault="008517F2" w:rsidP="008517F2">
            <w:pPr>
              <w:rPr>
                <w:sz w:val="20"/>
                <w:szCs w:val="20"/>
              </w:rPr>
            </w:pPr>
            <w:r w:rsidRPr="002A063A">
              <w:rPr>
                <w:sz w:val="20"/>
                <w:szCs w:val="20"/>
              </w:rPr>
              <w:t>Mexico</w:t>
            </w:r>
          </w:p>
        </w:tc>
        <w:tc>
          <w:tcPr>
            <w:tcW w:w="1420" w:type="dxa"/>
            <w:tcBorders>
              <w:top w:val="single" w:sz="4" w:space="0" w:color="auto"/>
              <w:bottom w:val="single" w:sz="4" w:space="0" w:color="auto"/>
            </w:tcBorders>
            <w:shd w:val="clear" w:color="auto" w:fill="auto"/>
            <w:noWrap/>
            <w:vAlign w:val="bottom"/>
            <w:hideMark/>
          </w:tcPr>
          <w:p w14:paraId="13CBA0BF"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05E28CF1"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F45ACF3"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F08D75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AEC980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F2FC48A" w14:textId="77777777" w:rsidR="008517F2" w:rsidRPr="002A063A" w:rsidRDefault="008517F2" w:rsidP="008517F2">
            <w:pPr>
              <w:rPr>
                <w:sz w:val="20"/>
                <w:szCs w:val="20"/>
              </w:rPr>
            </w:pPr>
            <w:r w:rsidRPr="002A063A">
              <w:rPr>
                <w:sz w:val="20"/>
                <w:szCs w:val="20"/>
              </w:rPr>
              <w:t>Moldova</w:t>
            </w:r>
          </w:p>
        </w:tc>
        <w:tc>
          <w:tcPr>
            <w:tcW w:w="1420" w:type="dxa"/>
            <w:tcBorders>
              <w:top w:val="single" w:sz="4" w:space="0" w:color="auto"/>
              <w:bottom w:val="single" w:sz="4" w:space="0" w:color="auto"/>
            </w:tcBorders>
            <w:shd w:val="clear" w:color="auto" w:fill="auto"/>
            <w:noWrap/>
            <w:vAlign w:val="bottom"/>
            <w:hideMark/>
          </w:tcPr>
          <w:p w14:paraId="36938B0B"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554A0594"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3C4DDC7"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027CDB1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9FCFB67"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1912C9F" w14:textId="77777777" w:rsidR="008517F2" w:rsidRPr="002A063A" w:rsidRDefault="008517F2" w:rsidP="008517F2">
            <w:pPr>
              <w:rPr>
                <w:sz w:val="20"/>
                <w:szCs w:val="20"/>
              </w:rPr>
            </w:pPr>
            <w:r w:rsidRPr="002A063A">
              <w:rPr>
                <w:sz w:val="20"/>
                <w:szCs w:val="20"/>
              </w:rPr>
              <w:t>Mongolia</w:t>
            </w:r>
          </w:p>
        </w:tc>
        <w:tc>
          <w:tcPr>
            <w:tcW w:w="1420" w:type="dxa"/>
            <w:tcBorders>
              <w:top w:val="single" w:sz="4" w:space="0" w:color="auto"/>
              <w:bottom w:val="single" w:sz="4" w:space="0" w:color="auto"/>
            </w:tcBorders>
            <w:shd w:val="clear" w:color="auto" w:fill="auto"/>
            <w:noWrap/>
            <w:vAlign w:val="bottom"/>
            <w:hideMark/>
          </w:tcPr>
          <w:p w14:paraId="2969A5B2"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5506755E"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3D1753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58AD43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0DA957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945970D" w14:textId="77777777" w:rsidR="008517F2" w:rsidRPr="002A063A" w:rsidRDefault="008517F2" w:rsidP="008517F2">
            <w:pPr>
              <w:rPr>
                <w:sz w:val="20"/>
                <w:szCs w:val="20"/>
              </w:rPr>
            </w:pPr>
            <w:r w:rsidRPr="002A063A">
              <w:rPr>
                <w:sz w:val="20"/>
                <w:szCs w:val="20"/>
              </w:rPr>
              <w:t>Montenegro</w:t>
            </w:r>
          </w:p>
        </w:tc>
        <w:tc>
          <w:tcPr>
            <w:tcW w:w="1420" w:type="dxa"/>
            <w:tcBorders>
              <w:top w:val="single" w:sz="4" w:space="0" w:color="auto"/>
              <w:bottom w:val="single" w:sz="4" w:space="0" w:color="auto"/>
            </w:tcBorders>
            <w:shd w:val="clear" w:color="auto" w:fill="auto"/>
            <w:noWrap/>
            <w:vAlign w:val="bottom"/>
            <w:hideMark/>
          </w:tcPr>
          <w:p w14:paraId="7DC0B8A4"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65787392"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58F69BF4"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07C9B96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329AC9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CA5938F" w14:textId="77777777" w:rsidR="008517F2" w:rsidRPr="002A063A" w:rsidRDefault="008517F2" w:rsidP="008517F2">
            <w:pPr>
              <w:rPr>
                <w:sz w:val="20"/>
                <w:szCs w:val="20"/>
              </w:rPr>
            </w:pPr>
            <w:r w:rsidRPr="002A063A">
              <w:rPr>
                <w:sz w:val="20"/>
                <w:szCs w:val="20"/>
              </w:rPr>
              <w:t>Morocco</w:t>
            </w:r>
          </w:p>
        </w:tc>
        <w:tc>
          <w:tcPr>
            <w:tcW w:w="1420" w:type="dxa"/>
            <w:tcBorders>
              <w:top w:val="single" w:sz="4" w:space="0" w:color="auto"/>
              <w:bottom w:val="single" w:sz="4" w:space="0" w:color="auto"/>
            </w:tcBorders>
            <w:shd w:val="clear" w:color="auto" w:fill="auto"/>
            <w:noWrap/>
            <w:vAlign w:val="bottom"/>
            <w:hideMark/>
          </w:tcPr>
          <w:p w14:paraId="371AA2CD"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13E461C0"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B86BCF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B0C551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859F89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0CE4CFB" w14:textId="77777777" w:rsidR="008517F2" w:rsidRPr="002A063A" w:rsidRDefault="008517F2" w:rsidP="008517F2">
            <w:pPr>
              <w:rPr>
                <w:sz w:val="20"/>
                <w:szCs w:val="20"/>
              </w:rPr>
            </w:pPr>
            <w:r w:rsidRPr="002A063A">
              <w:rPr>
                <w:sz w:val="20"/>
                <w:szCs w:val="20"/>
              </w:rPr>
              <w:t>Mozambique</w:t>
            </w:r>
          </w:p>
        </w:tc>
        <w:tc>
          <w:tcPr>
            <w:tcW w:w="1420" w:type="dxa"/>
            <w:tcBorders>
              <w:top w:val="single" w:sz="4" w:space="0" w:color="auto"/>
              <w:bottom w:val="single" w:sz="4" w:space="0" w:color="auto"/>
            </w:tcBorders>
            <w:shd w:val="clear" w:color="auto" w:fill="auto"/>
            <w:noWrap/>
            <w:vAlign w:val="bottom"/>
            <w:hideMark/>
          </w:tcPr>
          <w:p w14:paraId="156C2143"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044C647"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197781D0"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8BBD152"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B625DC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EA20BAD" w14:textId="77777777" w:rsidR="008517F2" w:rsidRPr="002A063A" w:rsidRDefault="008517F2" w:rsidP="008517F2">
            <w:pPr>
              <w:rPr>
                <w:sz w:val="20"/>
                <w:szCs w:val="20"/>
              </w:rPr>
            </w:pPr>
            <w:r w:rsidRPr="002A063A">
              <w:rPr>
                <w:sz w:val="20"/>
                <w:szCs w:val="20"/>
              </w:rPr>
              <w:t>Myanmar</w:t>
            </w:r>
          </w:p>
        </w:tc>
        <w:tc>
          <w:tcPr>
            <w:tcW w:w="1420" w:type="dxa"/>
            <w:tcBorders>
              <w:top w:val="single" w:sz="4" w:space="0" w:color="auto"/>
              <w:bottom w:val="single" w:sz="4" w:space="0" w:color="auto"/>
            </w:tcBorders>
            <w:shd w:val="clear" w:color="auto" w:fill="auto"/>
            <w:noWrap/>
            <w:vAlign w:val="bottom"/>
            <w:hideMark/>
          </w:tcPr>
          <w:p w14:paraId="19A6B175"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2AF2A587"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9C5059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674014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808905F"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7B3A834" w14:textId="77777777" w:rsidR="008517F2" w:rsidRPr="002A063A" w:rsidRDefault="008517F2" w:rsidP="008517F2">
            <w:pPr>
              <w:rPr>
                <w:sz w:val="20"/>
                <w:szCs w:val="20"/>
              </w:rPr>
            </w:pPr>
            <w:r w:rsidRPr="002A063A">
              <w:rPr>
                <w:sz w:val="20"/>
                <w:szCs w:val="20"/>
              </w:rPr>
              <w:t>Namibia</w:t>
            </w:r>
          </w:p>
        </w:tc>
        <w:tc>
          <w:tcPr>
            <w:tcW w:w="1420" w:type="dxa"/>
            <w:tcBorders>
              <w:top w:val="single" w:sz="4" w:space="0" w:color="auto"/>
              <w:bottom w:val="single" w:sz="4" w:space="0" w:color="auto"/>
            </w:tcBorders>
            <w:shd w:val="clear" w:color="auto" w:fill="auto"/>
            <w:noWrap/>
            <w:vAlign w:val="bottom"/>
            <w:hideMark/>
          </w:tcPr>
          <w:p w14:paraId="5248ACBB"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917539B"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1EEF3AB3"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AABB34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7E21CD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B973220" w14:textId="77777777" w:rsidR="008517F2" w:rsidRPr="002A063A" w:rsidRDefault="008517F2" w:rsidP="008517F2">
            <w:pPr>
              <w:rPr>
                <w:sz w:val="20"/>
                <w:szCs w:val="20"/>
              </w:rPr>
            </w:pPr>
            <w:r w:rsidRPr="002A063A">
              <w:rPr>
                <w:sz w:val="20"/>
                <w:szCs w:val="20"/>
              </w:rPr>
              <w:t>Nauru</w:t>
            </w:r>
          </w:p>
        </w:tc>
        <w:tc>
          <w:tcPr>
            <w:tcW w:w="1420" w:type="dxa"/>
            <w:tcBorders>
              <w:top w:val="single" w:sz="4" w:space="0" w:color="auto"/>
              <w:bottom w:val="single" w:sz="4" w:space="0" w:color="auto"/>
            </w:tcBorders>
            <w:shd w:val="clear" w:color="auto" w:fill="auto"/>
            <w:noWrap/>
            <w:vAlign w:val="bottom"/>
            <w:hideMark/>
          </w:tcPr>
          <w:p w14:paraId="026AD683"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57B40DBF"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31802E0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D72CAF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3F5CF8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878F7D0" w14:textId="77777777" w:rsidR="008517F2" w:rsidRPr="002A063A" w:rsidRDefault="008517F2" w:rsidP="008517F2">
            <w:pPr>
              <w:rPr>
                <w:sz w:val="20"/>
                <w:szCs w:val="20"/>
              </w:rPr>
            </w:pPr>
            <w:r w:rsidRPr="002A063A">
              <w:rPr>
                <w:sz w:val="20"/>
                <w:szCs w:val="20"/>
              </w:rPr>
              <w:t>Nepal</w:t>
            </w:r>
          </w:p>
        </w:tc>
        <w:tc>
          <w:tcPr>
            <w:tcW w:w="1420" w:type="dxa"/>
            <w:tcBorders>
              <w:top w:val="single" w:sz="4" w:space="0" w:color="auto"/>
              <w:bottom w:val="single" w:sz="4" w:space="0" w:color="auto"/>
            </w:tcBorders>
            <w:shd w:val="clear" w:color="auto" w:fill="auto"/>
            <w:noWrap/>
            <w:vAlign w:val="bottom"/>
            <w:hideMark/>
          </w:tcPr>
          <w:p w14:paraId="73C7B7A2"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4FDCB038"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6061439C"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E6BADC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140325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8267483" w14:textId="77777777" w:rsidR="008517F2" w:rsidRPr="002A063A" w:rsidRDefault="008517F2" w:rsidP="008517F2">
            <w:pPr>
              <w:rPr>
                <w:sz w:val="20"/>
                <w:szCs w:val="20"/>
              </w:rPr>
            </w:pPr>
            <w:r w:rsidRPr="002A063A">
              <w:rPr>
                <w:sz w:val="20"/>
                <w:szCs w:val="20"/>
              </w:rPr>
              <w:t>Nicaragua</w:t>
            </w:r>
          </w:p>
        </w:tc>
        <w:tc>
          <w:tcPr>
            <w:tcW w:w="1420" w:type="dxa"/>
            <w:tcBorders>
              <w:top w:val="single" w:sz="4" w:space="0" w:color="auto"/>
              <w:bottom w:val="single" w:sz="4" w:space="0" w:color="auto"/>
            </w:tcBorders>
            <w:shd w:val="clear" w:color="auto" w:fill="auto"/>
            <w:noWrap/>
            <w:vAlign w:val="bottom"/>
            <w:hideMark/>
          </w:tcPr>
          <w:p w14:paraId="1650879B"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2A6EF9C3"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E706702"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92CA845"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DD9EB7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6D6F956" w14:textId="77777777" w:rsidR="008517F2" w:rsidRPr="002A063A" w:rsidRDefault="008517F2" w:rsidP="008517F2">
            <w:pPr>
              <w:rPr>
                <w:sz w:val="20"/>
                <w:szCs w:val="20"/>
              </w:rPr>
            </w:pPr>
            <w:r w:rsidRPr="002A063A">
              <w:rPr>
                <w:sz w:val="20"/>
                <w:szCs w:val="20"/>
              </w:rPr>
              <w:t>Niger</w:t>
            </w:r>
          </w:p>
        </w:tc>
        <w:tc>
          <w:tcPr>
            <w:tcW w:w="1420" w:type="dxa"/>
            <w:tcBorders>
              <w:top w:val="single" w:sz="4" w:space="0" w:color="auto"/>
              <w:bottom w:val="single" w:sz="4" w:space="0" w:color="auto"/>
            </w:tcBorders>
            <w:shd w:val="clear" w:color="auto" w:fill="auto"/>
            <w:noWrap/>
            <w:vAlign w:val="bottom"/>
            <w:hideMark/>
          </w:tcPr>
          <w:p w14:paraId="50281CA7"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2DE011CA"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8174FBF"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15B124E"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4ABF7CF"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C2BFA3F" w14:textId="77777777" w:rsidR="008517F2" w:rsidRPr="002A063A" w:rsidRDefault="008517F2" w:rsidP="008517F2">
            <w:pPr>
              <w:rPr>
                <w:sz w:val="20"/>
                <w:szCs w:val="20"/>
              </w:rPr>
            </w:pPr>
            <w:r w:rsidRPr="002A063A">
              <w:rPr>
                <w:sz w:val="20"/>
                <w:szCs w:val="20"/>
              </w:rPr>
              <w:t>Nigeria</w:t>
            </w:r>
          </w:p>
        </w:tc>
        <w:tc>
          <w:tcPr>
            <w:tcW w:w="1420" w:type="dxa"/>
            <w:tcBorders>
              <w:top w:val="single" w:sz="4" w:space="0" w:color="auto"/>
              <w:bottom w:val="single" w:sz="4" w:space="0" w:color="auto"/>
            </w:tcBorders>
            <w:shd w:val="clear" w:color="auto" w:fill="auto"/>
            <w:noWrap/>
            <w:vAlign w:val="bottom"/>
            <w:hideMark/>
          </w:tcPr>
          <w:p w14:paraId="4E2C0E14"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B24E67E"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21AB1F5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CDEA6A6"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ECB423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44EA14F" w14:textId="77777777" w:rsidR="008517F2" w:rsidRPr="002A063A" w:rsidRDefault="008517F2" w:rsidP="008517F2">
            <w:pPr>
              <w:rPr>
                <w:sz w:val="20"/>
                <w:szCs w:val="20"/>
              </w:rPr>
            </w:pPr>
            <w:r w:rsidRPr="002A063A">
              <w:rPr>
                <w:sz w:val="20"/>
                <w:szCs w:val="20"/>
              </w:rPr>
              <w:t>Pakistan</w:t>
            </w:r>
          </w:p>
        </w:tc>
        <w:tc>
          <w:tcPr>
            <w:tcW w:w="1420" w:type="dxa"/>
            <w:tcBorders>
              <w:top w:val="single" w:sz="4" w:space="0" w:color="auto"/>
              <w:bottom w:val="single" w:sz="4" w:space="0" w:color="auto"/>
            </w:tcBorders>
            <w:shd w:val="clear" w:color="auto" w:fill="auto"/>
            <w:noWrap/>
            <w:vAlign w:val="bottom"/>
            <w:hideMark/>
          </w:tcPr>
          <w:p w14:paraId="278F16C3"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3769001F"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52367177"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DABB1A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18D449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6B70235" w14:textId="77777777" w:rsidR="008517F2" w:rsidRPr="002A063A" w:rsidRDefault="008517F2" w:rsidP="008517F2">
            <w:pPr>
              <w:rPr>
                <w:sz w:val="20"/>
                <w:szCs w:val="20"/>
              </w:rPr>
            </w:pPr>
            <w:r w:rsidRPr="002A063A">
              <w:rPr>
                <w:sz w:val="20"/>
                <w:szCs w:val="20"/>
              </w:rPr>
              <w:t>Papua New Guinea</w:t>
            </w:r>
          </w:p>
        </w:tc>
        <w:tc>
          <w:tcPr>
            <w:tcW w:w="1420" w:type="dxa"/>
            <w:tcBorders>
              <w:top w:val="single" w:sz="4" w:space="0" w:color="auto"/>
              <w:bottom w:val="single" w:sz="4" w:space="0" w:color="auto"/>
            </w:tcBorders>
            <w:shd w:val="clear" w:color="auto" w:fill="auto"/>
            <w:noWrap/>
            <w:vAlign w:val="bottom"/>
            <w:hideMark/>
          </w:tcPr>
          <w:p w14:paraId="55DC6BC4"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041F271B"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A2BF5A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37CB089"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F6CF96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38C75D9" w14:textId="77777777" w:rsidR="008517F2" w:rsidRPr="002A063A" w:rsidRDefault="008517F2" w:rsidP="008517F2">
            <w:pPr>
              <w:rPr>
                <w:sz w:val="20"/>
                <w:szCs w:val="20"/>
              </w:rPr>
            </w:pPr>
            <w:r w:rsidRPr="002A063A">
              <w:rPr>
                <w:sz w:val="20"/>
                <w:szCs w:val="20"/>
              </w:rPr>
              <w:t>Paraguay</w:t>
            </w:r>
          </w:p>
        </w:tc>
        <w:tc>
          <w:tcPr>
            <w:tcW w:w="1420" w:type="dxa"/>
            <w:tcBorders>
              <w:top w:val="single" w:sz="4" w:space="0" w:color="auto"/>
              <w:bottom w:val="single" w:sz="4" w:space="0" w:color="auto"/>
            </w:tcBorders>
            <w:shd w:val="clear" w:color="auto" w:fill="auto"/>
            <w:noWrap/>
            <w:vAlign w:val="bottom"/>
            <w:hideMark/>
          </w:tcPr>
          <w:p w14:paraId="7E91D361"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3B67305E"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0B75102"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3AB587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DB6BC4B"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2A8267E" w14:textId="77777777" w:rsidR="008517F2" w:rsidRPr="002A063A" w:rsidRDefault="008517F2" w:rsidP="008517F2">
            <w:pPr>
              <w:rPr>
                <w:sz w:val="20"/>
                <w:szCs w:val="20"/>
              </w:rPr>
            </w:pPr>
            <w:r w:rsidRPr="002A063A">
              <w:rPr>
                <w:sz w:val="20"/>
                <w:szCs w:val="20"/>
              </w:rPr>
              <w:t>Peru</w:t>
            </w:r>
          </w:p>
        </w:tc>
        <w:tc>
          <w:tcPr>
            <w:tcW w:w="1420" w:type="dxa"/>
            <w:tcBorders>
              <w:top w:val="single" w:sz="4" w:space="0" w:color="auto"/>
              <w:bottom w:val="single" w:sz="4" w:space="0" w:color="auto"/>
            </w:tcBorders>
            <w:shd w:val="clear" w:color="auto" w:fill="auto"/>
            <w:noWrap/>
            <w:vAlign w:val="bottom"/>
            <w:hideMark/>
          </w:tcPr>
          <w:p w14:paraId="07D9719A"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3BE7D729"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836072E"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BBE470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CA9C19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662554C" w14:textId="77777777" w:rsidR="008517F2" w:rsidRPr="002A063A" w:rsidRDefault="008517F2" w:rsidP="008517F2">
            <w:pPr>
              <w:rPr>
                <w:sz w:val="20"/>
                <w:szCs w:val="20"/>
              </w:rPr>
            </w:pPr>
            <w:r w:rsidRPr="002A063A">
              <w:rPr>
                <w:sz w:val="20"/>
                <w:szCs w:val="20"/>
              </w:rPr>
              <w:t>Philippines</w:t>
            </w:r>
          </w:p>
        </w:tc>
        <w:tc>
          <w:tcPr>
            <w:tcW w:w="1420" w:type="dxa"/>
            <w:tcBorders>
              <w:top w:val="single" w:sz="4" w:space="0" w:color="auto"/>
              <w:bottom w:val="single" w:sz="4" w:space="0" w:color="auto"/>
            </w:tcBorders>
            <w:shd w:val="clear" w:color="auto" w:fill="auto"/>
            <w:noWrap/>
            <w:vAlign w:val="bottom"/>
            <w:hideMark/>
          </w:tcPr>
          <w:p w14:paraId="156F2C77"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65097B43"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7CAB5B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76AA41C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24555256" w14:textId="77777777" w:rsidTr="008517F2">
        <w:trPr>
          <w:trHeight w:val="320"/>
          <w:jc w:val="center"/>
        </w:trPr>
        <w:tc>
          <w:tcPr>
            <w:tcW w:w="1620" w:type="dxa"/>
            <w:tcBorders>
              <w:top w:val="single" w:sz="4" w:space="0" w:color="auto"/>
              <w:bottom w:val="nil"/>
            </w:tcBorders>
            <w:shd w:val="clear" w:color="000000" w:fill="FFFFFF"/>
            <w:noWrap/>
            <w:vAlign w:val="center"/>
            <w:hideMark/>
          </w:tcPr>
          <w:p w14:paraId="17747920" w14:textId="77777777" w:rsidR="008517F2" w:rsidRPr="002A063A" w:rsidRDefault="008517F2" w:rsidP="008517F2">
            <w:pPr>
              <w:rPr>
                <w:sz w:val="20"/>
                <w:szCs w:val="20"/>
              </w:rPr>
            </w:pPr>
            <w:r w:rsidRPr="002A063A">
              <w:rPr>
                <w:sz w:val="20"/>
                <w:szCs w:val="20"/>
              </w:rPr>
              <w:t>Romania</w:t>
            </w:r>
          </w:p>
        </w:tc>
        <w:tc>
          <w:tcPr>
            <w:tcW w:w="1420" w:type="dxa"/>
            <w:tcBorders>
              <w:top w:val="single" w:sz="4" w:space="0" w:color="auto"/>
              <w:bottom w:val="nil"/>
            </w:tcBorders>
            <w:shd w:val="clear" w:color="auto" w:fill="auto"/>
            <w:noWrap/>
            <w:vAlign w:val="bottom"/>
            <w:hideMark/>
          </w:tcPr>
          <w:p w14:paraId="6A578E2C"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nil"/>
            </w:tcBorders>
            <w:shd w:val="clear" w:color="auto" w:fill="auto"/>
            <w:noWrap/>
            <w:vAlign w:val="bottom"/>
            <w:hideMark/>
          </w:tcPr>
          <w:p w14:paraId="3BF62E1D"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nil"/>
            </w:tcBorders>
            <w:shd w:val="clear" w:color="auto" w:fill="auto"/>
            <w:noWrap/>
            <w:vAlign w:val="bottom"/>
            <w:hideMark/>
          </w:tcPr>
          <w:p w14:paraId="6E53D93C"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nil"/>
            </w:tcBorders>
            <w:shd w:val="clear" w:color="auto" w:fill="auto"/>
            <w:noWrap/>
            <w:vAlign w:val="bottom"/>
            <w:hideMark/>
          </w:tcPr>
          <w:p w14:paraId="21C1D6A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E864FBB" w14:textId="77777777" w:rsidTr="008517F2">
        <w:trPr>
          <w:trHeight w:val="320"/>
          <w:jc w:val="center"/>
        </w:trPr>
        <w:tc>
          <w:tcPr>
            <w:tcW w:w="1620" w:type="dxa"/>
            <w:tcBorders>
              <w:top w:val="single" w:sz="4" w:space="0" w:color="auto"/>
              <w:bottom w:val="nil"/>
            </w:tcBorders>
            <w:shd w:val="clear" w:color="000000" w:fill="FFFFFF"/>
            <w:noWrap/>
            <w:vAlign w:val="center"/>
            <w:hideMark/>
          </w:tcPr>
          <w:p w14:paraId="78447C83" w14:textId="77777777" w:rsidR="008517F2" w:rsidRPr="002A063A" w:rsidRDefault="008517F2" w:rsidP="008517F2">
            <w:pPr>
              <w:rPr>
                <w:sz w:val="20"/>
                <w:szCs w:val="20"/>
              </w:rPr>
            </w:pPr>
            <w:r w:rsidRPr="002A063A">
              <w:rPr>
                <w:sz w:val="20"/>
                <w:szCs w:val="20"/>
              </w:rPr>
              <w:t>Russian Federation</w:t>
            </w:r>
          </w:p>
        </w:tc>
        <w:tc>
          <w:tcPr>
            <w:tcW w:w="1420" w:type="dxa"/>
            <w:tcBorders>
              <w:top w:val="single" w:sz="4" w:space="0" w:color="auto"/>
              <w:bottom w:val="nil"/>
            </w:tcBorders>
            <w:shd w:val="clear" w:color="auto" w:fill="auto"/>
            <w:noWrap/>
            <w:vAlign w:val="bottom"/>
            <w:hideMark/>
          </w:tcPr>
          <w:p w14:paraId="7669B488"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nil"/>
            </w:tcBorders>
            <w:shd w:val="clear" w:color="auto" w:fill="auto"/>
            <w:noWrap/>
            <w:vAlign w:val="bottom"/>
            <w:hideMark/>
          </w:tcPr>
          <w:p w14:paraId="503FCADA"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nil"/>
            </w:tcBorders>
            <w:shd w:val="clear" w:color="auto" w:fill="auto"/>
            <w:noWrap/>
            <w:vAlign w:val="bottom"/>
            <w:hideMark/>
          </w:tcPr>
          <w:p w14:paraId="3A55FA5E"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nil"/>
            </w:tcBorders>
            <w:shd w:val="clear" w:color="auto" w:fill="auto"/>
            <w:noWrap/>
            <w:vAlign w:val="bottom"/>
            <w:hideMark/>
          </w:tcPr>
          <w:p w14:paraId="0F72B49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128C68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8848FF9" w14:textId="77777777" w:rsidR="008517F2" w:rsidRPr="002A063A" w:rsidRDefault="008517F2" w:rsidP="008517F2">
            <w:pPr>
              <w:rPr>
                <w:sz w:val="20"/>
                <w:szCs w:val="20"/>
              </w:rPr>
            </w:pPr>
            <w:r w:rsidRPr="002A063A">
              <w:rPr>
                <w:sz w:val="20"/>
                <w:szCs w:val="20"/>
              </w:rPr>
              <w:t>Rwanda</w:t>
            </w:r>
          </w:p>
        </w:tc>
        <w:tc>
          <w:tcPr>
            <w:tcW w:w="1420" w:type="dxa"/>
            <w:tcBorders>
              <w:top w:val="single" w:sz="4" w:space="0" w:color="auto"/>
              <w:bottom w:val="single" w:sz="4" w:space="0" w:color="auto"/>
            </w:tcBorders>
            <w:shd w:val="clear" w:color="auto" w:fill="auto"/>
            <w:noWrap/>
            <w:vAlign w:val="bottom"/>
            <w:hideMark/>
          </w:tcPr>
          <w:p w14:paraId="40942E4E"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FC140ED"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3E48EB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72444C1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DA6E53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4543846" w14:textId="77777777" w:rsidR="008517F2" w:rsidRPr="002A063A" w:rsidRDefault="008517F2" w:rsidP="008517F2">
            <w:pPr>
              <w:rPr>
                <w:sz w:val="20"/>
                <w:szCs w:val="20"/>
              </w:rPr>
            </w:pPr>
            <w:r w:rsidRPr="002A063A">
              <w:rPr>
                <w:sz w:val="20"/>
                <w:szCs w:val="20"/>
              </w:rPr>
              <w:t>Samoa</w:t>
            </w:r>
          </w:p>
        </w:tc>
        <w:tc>
          <w:tcPr>
            <w:tcW w:w="1420" w:type="dxa"/>
            <w:tcBorders>
              <w:top w:val="single" w:sz="4" w:space="0" w:color="auto"/>
              <w:bottom w:val="single" w:sz="4" w:space="0" w:color="auto"/>
            </w:tcBorders>
            <w:shd w:val="clear" w:color="auto" w:fill="auto"/>
            <w:noWrap/>
            <w:vAlign w:val="bottom"/>
            <w:hideMark/>
          </w:tcPr>
          <w:p w14:paraId="3DFFC779"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189431F8"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84DB5B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841C171"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E42D17D"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6B44EAB" w14:textId="77777777" w:rsidR="008517F2" w:rsidRPr="002A063A" w:rsidRDefault="008517F2" w:rsidP="008517F2">
            <w:pPr>
              <w:rPr>
                <w:sz w:val="20"/>
                <w:szCs w:val="20"/>
              </w:rPr>
            </w:pPr>
            <w:r w:rsidRPr="002A063A">
              <w:rPr>
                <w:sz w:val="20"/>
                <w:szCs w:val="20"/>
              </w:rPr>
              <w:t>São Tomé and Principe</w:t>
            </w:r>
          </w:p>
        </w:tc>
        <w:tc>
          <w:tcPr>
            <w:tcW w:w="1420" w:type="dxa"/>
            <w:tcBorders>
              <w:top w:val="single" w:sz="4" w:space="0" w:color="auto"/>
              <w:bottom w:val="single" w:sz="4" w:space="0" w:color="auto"/>
            </w:tcBorders>
            <w:shd w:val="clear" w:color="auto" w:fill="auto"/>
            <w:noWrap/>
            <w:vAlign w:val="bottom"/>
            <w:hideMark/>
          </w:tcPr>
          <w:p w14:paraId="4E3AA7F3"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3B49E71A"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D339169"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E5E2F2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1AA433D"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46B93B5" w14:textId="77777777" w:rsidR="008517F2" w:rsidRPr="002A063A" w:rsidRDefault="008517F2" w:rsidP="008517F2">
            <w:pPr>
              <w:rPr>
                <w:sz w:val="20"/>
                <w:szCs w:val="20"/>
              </w:rPr>
            </w:pPr>
            <w:r w:rsidRPr="002A063A">
              <w:rPr>
                <w:sz w:val="20"/>
                <w:szCs w:val="20"/>
              </w:rPr>
              <w:t>Senegal</w:t>
            </w:r>
          </w:p>
        </w:tc>
        <w:tc>
          <w:tcPr>
            <w:tcW w:w="1420" w:type="dxa"/>
            <w:tcBorders>
              <w:top w:val="single" w:sz="4" w:space="0" w:color="auto"/>
              <w:bottom w:val="single" w:sz="4" w:space="0" w:color="auto"/>
            </w:tcBorders>
            <w:shd w:val="clear" w:color="auto" w:fill="auto"/>
            <w:noWrap/>
            <w:vAlign w:val="bottom"/>
            <w:hideMark/>
          </w:tcPr>
          <w:p w14:paraId="6E0E64C9"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393D71A6"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53DC640"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DEB29A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FC08510"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BE244E3" w14:textId="77777777" w:rsidR="008517F2" w:rsidRPr="002A063A" w:rsidRDefault="008517F2" w:rsidP="008517F2">
            <w:pPr>
              <w:rPr>
                <w:sz w:val="20"/>
                <w:szCs w:val="20"/>
              </w:rPr>
            </w:pPr>
            <w:r w:rsidRPr="002A063A">
              <w:rPr>
                <w:sz w:val="20"/>
                <w:szCs w:val="20"/>
              </w:rPr>
              <w:t>Serbia</w:t>
            </w:r>
          </w:p>
        </w:tc>
        <w:tc>
          <w:tcPr>
            <w:tcW w:w="1420" w:type="dxa"/>
            <w:tcBorders>
              <w:top w:val="single" w:sz="4" w:space="0" w:color="auto"/>
              <w:bottom w:val="single" w:sz="4" w:space="0" w:color="auto"/>
            </w:tcBorders>
            <w:shd w:val="clear" w:color="auto" w:fill="auto"/>
            <w:noWrap/>
            <w:vAlign w:val="bottom"/>
            <w:hideMark/>
          </w:tcPr>
          <w:p w14:paraId="6279AE7A"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71275B74"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0DEC68E1"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41803D6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AB70ED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7BD9F30" w14:textId="77777777" w:rsidR="008517F2" w:rsidRPr="002A063A" w:rsidRDefault="008517F2" w:rsidP="008517F2">
            <w:pPr>
              <w:rPr>
                <w:sz w:val="20"/>
                <w:szCs w:val="20"/>
              </w:rPr>
            </w:pPr>
            <w:r w:rsidRPr="002A063A">
              <w:rPr>
                <w:sz w:val="20"/>
                <w:szCs w:val="20"/>
              </w:rPr>
              <w:t>Sierra Leone</w:t>
            </w:r>
          </w:p>
        </w:tc>
        <w:tc>
          <w:tcPr>
            <w:tcW w:w="1420" w:type="dxa"/>
            <w:tcBorders>
              <w:top w:val="single" w:sz="4" w:space="0" w:color="auto"/>
              <w:bottom w:val="single" w:sz="4" w:space="0" w:color="auto"/>
            </w:tcBorders>
            <w:shd w:val="clear" w:color="auto" w:fill="auto"/>
            <w:noWrap/>
            <w:vAlign w:val="bottom"/>
            <w:hideMark/>
          </w:tcPr>
          <w:p w14:paraId="5090CF53"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E6E89A7"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51A3B817"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0DA1DD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F18795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BC0B96C" w14:textId="77777777" w:rsidR="008517F2" w:rsidRPr="002A063A" w:rsidRDefault="008517F2" w:rsidP="008517F2">
            <w:pPr>
              <w:rPr>
                <w:sz w:val="20"/>
                <w:szCs w:val="20"/>
              </w:rPr>
            </w:pPr>
            <w:r w:rsidRPr="002A063A">
              <w:rPr>
                <w:sz w:val="20"/>
                <w:szCs w:val="20"/>
              </w:rPr>
              <w:t>Solomon Islands</w:t>
            </w:r>
          </w:p>
        </w:tc>
        <w:tc>
          <w:tcPr>
            <w:tcW w:w="1420" w:type="dxa"/>
            <w:tcBorders>
              <w:top w:val="single" w:sz="4" w:space="0" w:color="auto"/>
              <w:bottom w:val="single" w:sz="4" w:space="0" w:color="auto"/>
            </w:tcBorders>
            <w:shd w:val="clear" w:color="auto" w:fill="auto"/>
            <w:noWrap/>
            <w:vAlign w:val="bottom"/>
            <w:hideMark/>
          </w:tcPr>
          <w:p w14:paraId="2B965F58"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42D4773B"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6BEED81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4E5CDE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675B4F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8F3224C" w14:textId="77777777" w:rsidR="008517F2" w:rsidRPr="002A063A" w:rsidRDefault="008517F2" w:rsidP="008517F2">
            <w:pPr>
              <w:rPr>
                <w:sz w:val="20"/>
                <w:szCs w:val="20"/>
              </w:rPr>
            </w:pPr>
            <w:r w:rsidRPr="002A063A">
              <w:rPr>
                <w:sz w:val="20"/>
                <w:szCs w:val="20"/>
              </w:rPr>
              <w:t>Somalia</w:t>
            </w:r>
          </w:p>
        </w:tc>
        <w:tc>
          <w:tcPr>
            <w:tcW w:w="1420" w:type="dxa"/>
            <w:tcBorders>
              <w:top w:val="single" w:sz="4" w:space="0" w:color="auto"/>
              <w:bottom w:val="single" w:sz="4" w:space="0" w:color="auto"/>
            </w:tcBorders>
            <w:shd w:val="clear" w:color="auto" w:fill="auto"/>
            <w:noWrap/>
            <w:vAlign w:val="bottom"/>
            <w:hideMark/>
          </w:tcPr>
          <w:p w14:paraId="1277797B"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0C7C1C2F"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1051E8E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160B7BE"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57F7FB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4CAD13E5" w14:textId="77777777" w:rsidR="008517F2" w:rsidRPr="002A063A" w:rsidRDefault="008517F2" w:rsidP="008517F2">
            <w:pPr>
              <w:rPr>
                <w:sz w:val="20"/>
                <w:szCs w:val="20"/>
              </w:rPr>
            </w:pPr>
            <w:r w:rsidRPr="002A063A">
              <w:rPr>
                <w:sz w:val="20"/>
                <w:szCs w:val="20"/>
              </w:rPr>
              <w:t>South Africa</w:t>
            </w:r>
          </w:p>
        </w:tc>
        <w:tc>
          <w:tcPr>
            <w:tcW w:w="1420" w:type="dxa"/>
            <w:tcBorders>
              <w:top w:val="single" w:sz="4" w:space="0" w:color="auto"/>
              <w:bottom w:val="single" w:sz="4" w:space="0" w:color="auto"/>
            </w:tcBorders>
            <w:shd w:val="clear" w:color="auto" w:fill="auto"/>
            <w:noWrap/>
            <w:vAlign w:val="bottom"/>
            <w:hideMark/>
          </w:tcPr>
          <w:p w14:paraId="26E104B2"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217DE59A"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75DDFC9D" w14:textId="77777777" w:rsidR="008517F2" w:rsidRPr="002A063A" w:rsidRDefault="008517F2" w:rsidP="008517F2">
            <w:pPr>
              <w:rPr>
                <w:color w:val="000000"/>
                <w:sz w:val="20"/>
                <w:szCs w:val="20"/>
              </w:rPr>
            </w:pPr>
            <w:r w:rsidRPr="002A063A">
              <w:rPr>
                <w:color w:val="000000"/>
                <w:sz w:val="20"/>
                <w:szCs w:val="20"/>
              </w:rPr>
              <w:t>Corbell et al. and national guidelines (2015)</w:t>
            </w:r>
          </w:p>
        </w:tc>
        <w:tc>
          <w:tcPr>
            <w:tcW w:w="1530" w:type="dxa"/>
            <w:tcBorders>
              <w:top w:val="single" w:sz="4" w:space="0" w:color="auto"/>
              <w:bottom w:val="single" w:sz="4" w:space="0" w:color="auto"/>
            </w:tcBorders>
            <w:shd w:val="clear" w:color="auto" w:fill="auto"/>
            <w:noWrap/>
            <w:vAlign w:val="bottom"/>
            <w:hideMark/>
          </w:tcPr>
          <w:p w14:paraId="603111AA"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1446E55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752C0CF" w14:textId="77777777" w:rsidR="008517F2" w:rsidRPr="002A063A" w:rsidRDefault="008517F2" w:rsidP="008517F2">
            <w:pPr>
              <w:rPr>
                <w:sz w:val="20"/>
                <w:szCs w:val="20"/>
              </w:rPr>
            </w:pPr>
            <w:r w:rsidRPr="002A063A">
              <w:rPr>
                <w:sz w:val="20"/>
                <w:szCs w:val="20"/>
              </w:rPr>
              <w:t>South Sudan</w:t>
            </w:r>
          </w:p>
        </w:tc>
        <w:tc>
          <w:tcPr>
            <w:tcW w:w="1420" w:type="dxa"/>
            <w:tcBorders>
              <w:top w:val="single" w:sz="4" w:space="0" w:color="auto"/>
              <w:bottom w:val="single" w:sz="4" w:space="0" w:color="auto"/>
            </w:tcBorders>
            <w:shd w:val="clear" w:color="auto" w:fill="auto"/>
            <w:noWrap/>
            <w:vAlign w:val="bottom"/>
            <w:hideMark/>
          </w:tcPr>
          <w:p w14:paraId="5CBB8350"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20A98428"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223FC22F"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3093BC7"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2C251D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ED8D5E1" w14:textId="77777777" w:rsidR="008517F2" w:rsidRPr="002A063A" w:rsidRDefault="008517F2" w:rsidP="008517F2">
            <w:pPr>
              <w:rPr>
                <w:sz w:val="20"/>
                <w:szCs w:val="20"/>
              </w:rPr>
            </w:pPr>
            <w:r w:rsidRPr="002A063A">
              <w:rPr>
                <w:sz w:val="20"/>
                <w:szCs w:val="20"/>
              </w:rPr>
              <w:t>Sri Lanka</w:t>
            </w:r>
          </w:p>
        </w:tc>
        <w:tc>
          <w:tcPr>
            <w:tcW w:w="1420" w:type="dxa"/>
            <w:tcBorders>
              <w:top w:val="single" w:sz="4" w:space="0" w:color="auto"/>
              <w:bottom w:val="single" w:sz="4" w:space="0" w:color="auto"/>
            </w:tcBorders>
            <w:shd w:val="clear" w:color="auto" w:fill="auto"/>
            <w:noWrap/>
            <w:vAlign w:val="bottom"/>
            <w:hideMark/>
          </w:tcPr>
          <w:p w14:paraId="5F920E13"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0132DA21"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6E6D4B2" w14:textId="77777777" w:rsidR="008517F2" w:rsidRPr="002A063A" w:rsidRDefault="008517F2" w:rsidP="008517F2">
            <w:pPr>
              <w:rPr>
                <w:color w:val="000000"/>
                <w:sz w:val="20"/>
                <w:szCs w:val="20"/>
              </w:rPr>
            </w:pPr>
            <w:r w:rsidRPr="002A063A">
              <w:rPr>
                <w:color w:val="000000"/>
                <w:sz w:val="20"/>
                <w:szCs w:val="20"/>
              </w:rPr>
              <w:t>National Guidelines (2000)</w:t>
            </w:r>
          </w:p>
        </w:tc>
        <w:tc>
          <w:tcPr>
            <w:tcW w:w="1530" w:type="dxa"/>
            <w:tcBorders>
              <w:top w:val="single" w:sz="4" w:space="0" w:color="auto"/>
              <w:bottom w:val="single" w:sz="4" w:space="0" w:color="auto"/>
            </w:tcBorders>
            <w:shd w:val="clear" w:color="auto" w:fill="auto"/>
            <w:noWrap/>
            <w:vAlign w:val="bottom"/>
            <w:hideMark/>
          </w:tcPr>
          <w:p w14:paraId="307A66B1" w14:textId="77777777" w:rsidR="008517F2" w:rsidRPr="002A063A" w:rsidRDefault="008517F2" w:rsidP="008517F2">
            <w:pPr>
              <w:rPr>
                <w:color w:val="000000"/>
                <w:sz w:val="20"/>
                <w:szCs w:val="20"/>
              </w:rPr>
            </w:pPr>
          </w:p>
        </w:tc>
      </w:tr>
      <w:tr w:rsidR="008517F2" w:rsidRPr="003409C7" w14:paraId="37381B24"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3CB0D92" w14:textId="77777777" w:rsidR="008517F2" w:rsidRPr="002A063A" w:rsidRDefault="008517F2" w:rsidP="008517F2">
            <w:pPr>
              <w:rPr>
                <w:sz w:val="20"/>
                <w:szCs w:val="20"/>
              </w:rPr>
            </w:pPr>
            <w:r w:rsidRPr="002A063A">
              <w:rPr>
                <w:sz w:val="20"/>
                <w:szCs w:val="20"/>
              </w:rPr>
              <w:t>Sudan</w:t>
            </w:r>
          </w:p>
        </w:tc>
        <w:tc>
          <w:tcPr>
            <w:tcW w:w="1420" w:type="dxa"/>
            <w:tcBorders>
              <w:top w:val="single" w:sz="4" w:space="0" w:color="auto"/>
              <w:bottom w:val="single" w:sz="4" w:space="0" w:color="auto"/>
            </w:tcBorders>
            <w:shd w:val="clear" w:color="auto" w:fill="auto"/>
            <w:noWrap/>
            <w:vAlign w:val="bottom"/>
            <w:hideMark/>
          </w:tcPr>
          <w:p w14:paraId="2FD47574"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04AAADB3"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22D6553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1390DB41"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7321267"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E75F556" w14:textId="77777777" w:rsidR="008517F2" w:rsidRPr="002A063A" w:rsidRDefault="008517F2" w:rsidP="008517F2">
            <w:pPr>
              <w:rPr>
                <w:sz w:val="20"/>
                <w:szCs w:val="20"/>
              </w:rPr>
            </w:pPr>
            <w:r w:rsidRPr="002A063A">
              <w:rPr>
                <w:sz w:val="20"/>
                <w:szCs w:val="20"/>
              </w:rPr>
              <w:t>Suriname</w:t>
            </w:r>
          </w:p>
        </w:tc>
        <w:tc>
          <w:tcPr>
            <w:tcW w:w="1420" w:type="dxa"/>
            <w:tcBorders>
              <w:top w:val="single" w:sz="4" w:space="0" w:color="auto"/>
              <w:bottom w:val="single" w:sz="4" w:space="0" w:color="auto"/>
            </w:tcBorders>
            <w:shd w:val="clear" w:color="auto" w:fill="auto"/>
            <w:noWrap/>
            <w:vAlign w:val="bottom"/>
            <w:hideMark/>
          </w:tcPr>
          <w:p w14:paraId="0E51EC77"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77E94D65"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4C4B166C"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77A81B7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ADBDFDC"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6F8A434" w14:textId="77777777" w:rsidR="008517F2" w:rsidRPr="002A063A" w:rsidRDefault="008517F2" w:rsidP="008517F2">
            <w:pPr>
              <w:rPr>
                <w:sz w:val="20"/>
                <w:szCs w:val="20"/>
              </w:rPr>
            </w:pPr>
            <w:r w:rsidRPr="002A063A">
              <w:rPr>
                <w:sz w:val="20"/>
                <w:szCs w:val="20"/>
              </w:rPr>
              <w:t>Swaziland</w:t>
            </w:r>
          </w:p>
        </w:tc>
        <w:tc>
          <w:tcPr>
            <w:tcW w:w="1420" w:type="dxa"/>
            <w:tcBorders>
              <w:top w:val="single" w:sz="4" w:space="0" w:color="auto"/>
              <w:bottom w:val="single" w:sz="4" w:space="0" w:color="auto"/>
            </w:tcBorders>
            <w:shd w:val="clear" w:color="auto" w:fill="auto"/>
            <w:noWrap/>
            <w:vAlign w:val="bottom"/>
            <w:hideMark/>
          </w:tcPr>
          <w:p w14:paraId="2BC02DDE"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06AC625D"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E462C8E"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52801D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2E77E03"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027E8B2" w14:textId="77777777" w:rsidR="008517F2" w:rsidRPr="002A063A" w:rsidRDefault="008517F2" w:rsidP="008517F2">
            <w:pPr>
              <w:rPr>
                <w:sz w:val="20"/>
                <w:szCs w:val="20"/>
              </w:rPr>
            </w:pPr>
            <w:r w:rsidRPr="002A063A">
              <w:rPr>
                <w:sz w:val="20"/>
                <w:szCs w:val="20"/>
              </w:rPr>
              <w:t>Syrian Arab Republic</w:t>
            </w:r>
          </w:p>
        </w:tc>
        <w:tc>
          <w:tcPr>
            <w:tcW w:w="1420" w:type="dxa"/>
            <w:tcBorders>
              <w:top w:val="single" w:sz="4" w:space="0" w:color="auto"/>
              <w:bottom w:val="single" w:sz="4" w:space="0" w:color="auto"/>
            </w:tcBorders>
            <w:shd w:val="clear" w:color="auto" w:fill="auto"/>
            <w:noWrap/>
            <w:vAlign w:val="bottom"/>
            <w:hideMark/>
          </w:tcPr>
          <w:p w14:paraId="6616AC2F"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0ED877C5"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21777B3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7FBF8F40"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2C44E3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5DA2B5B" w14:textId="77777777" w:rsidR="008517F2" w:rsidRPr="002A063A" w:rsidRDefault="008517F2" w:rsidP="008517F2">
            <w:pPr>
              <w:rPr>
                <w:sz w:val="20"/>
                <w:szCs w:val="20"/>
              </w:rPr>
            </w:pPr>
            <w:r w:rsidRPr="002A063A">
              <w:rPr>
                <w:sz w:val="20"/>
                <w:szCs w:val="20"/>
              </w:rPr>
              <w:t>Tajikistan</w:t>
            </w:r>
          </w:p>
        </w:tc>
        <w:tc>
          <w:tcPr>
            <w:tcW w:w="1420" w:type="dxa"/>
            <w:tcBorders>
              <w:top w:val="single" w:sz="4" w:space="0" w:color="auto"/>
              <w:bottom w:val="single" w:sz="4" w:space="0" w:color="auto"/>
            </w:tcBorders>
            <w:shd w:val="clear" w:color="auto" w:fill="auto"/>
            <w:noWrap/>
            <w:vAlign w:val="bottom"/>
            <w:hideMark/>
          </w:tcPr>
          <w:p w14:paraId="0DBE1C0D"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5146D7F8"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25D8163E"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6DDA177F"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57AC2D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1FF936D3" w14:textId="77777777" w:rsidR="008517F2" w:rsidRPr="002A063A" w:rsidRDefault="008517F2" w:rsidP="008517F2">
            <w:pPr>
              <w:rPr>
                <w:sz w:val="20"/>
                <w:szCs w:val="20"/>
              </w:rPr>
            </w:pPr>
            <w:r w:rsidRPr="002A063A">
              <w:rPr>
                <w:sz w:val="20"/>
                <w:szCs w:val="20"/>
              </w:rPr>
              <w:lastRenderedPageBreak/>
              <w:t>Tanzania</w:t>
            </w:r>
          </w:p>
        </w:tc>
        <w:tc>
          <w:tcPr>
            <w:tcW w:w="1420" w:type="dxa"/>
            <w:tcBorders>
              <w:top w:val="single" w:sz="4" w:space="0" w:color="auto"/>
              <w:bottom w:val="single" w:sz="4" w:space="0" w:color="auto"/>
            </w:tcBorders>
            <w:shd w:val="clear" w:color="auto" w:fill="auto"/>
            <w:noWrap/>
            <w:vAlign w:val="bottom"/>
            <w:hideMark/>
          </w:tcPr>
          <w:p w14:paraId="36B901E3"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28A3502"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3B207BDF" w14:textId="77777777" w:rsidR="008517F2" w:rsidRPr="002A063A" w:rsidRDefault="008517F2" w:rsidP="008517F2">
            <w:pPr>
              <w:rPr>
                <w:color w:val="000000"/>
                <w:sz w:val="20"/>
                <w:szCs w:val="20"/>
              </w:rPr>
            </w:pPr>
            <w:r w:rsidRPr="002A063A">
              <w:rPr>
                <w:color w:val="000000"/>
                <w:sz w:val="20"/>
                <w:szCs w:val="20"/>
              </w:rPr>
              <w:t>Corbell et al. and national guidelines (2007)</w:t>
            </w:r>
          </w:p>
        </w:tc>
        <w:tc>
          <w:tcPr>
            <w:tcW w:w="1530" w:type="dxa"/>
            <w:tcBorders>
              <w:top w:val="single" w:sz="4" w:space="0" w:color="auto"/>
              <w:bottom w:val="single" w:sz="4" w:space="0" w:color="auto"/>
            </w:tcBorders>
            <w:shd w:val="clear" w:color="auto" w:fill="auto"/>
            <w:noWrap/>
            <w:vAlign w:val="bottom"/>
            <w:hideMark/>
          </w:tcPr>
          <w:p w14:paraId="683CF473"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65ADDBBF"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191442A" w14:textId="77777777" w:rsidR="008517F2" w:rsidRPr="002A063A" w:rsidRDefault="008517F2" w:rsidP="008517F2">
            <w:pPr>
              <w:rPr>
                <w:sz w:val="20"/>
                <w:szCs w:val="20"/>
              </w:rPr>
            </w:pPr>
            <w:r w:rsidRPr="002A063A">
              <w:rPr>
                <w:sz w:val="20"/>
                <w:szCs w:val="20"/>
              </w:rPr>
              <w:t>Thailand</w:t>
            </w:r>
          </w:p>
        </w:tc>
        <w:tc>
          <w:tcPr>
            <w:tcW w:w="1420" w:type="dxa"/>
            <w:tcBorders>
              <w:top w:val="single" w:sz="4" w:space="0" w:color="auto"/>
              <w:bottom w:val="single" w:sz="4" w:space="0" w:color="auto"/>
            </w:tcBorders>
            <w:shd w:val="clear" w:color="auto" w:fill="auto"/>
            <w:noWrap/>
            <w:vAlign w:val="bottom"/>
            <w:hideMark/>
          </w:tcPr>
          <w:p w14:paraId="4CF0D07B"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4D7AD4A0"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7C3BE513" w14:textId="77777777" w:rsidR="008517F2" w:rsidRPr="002A063A" w:rsidRDefault="008517F2" w:rsidP="008517F2">
            <w:pPr>
              <w:rPr>
                <w:color w:val="000000"/>
                <w:sz w:val="20"/>
                <w:szCs w:val="20"/>
              </w:rPr>
            </w:pPr>
            <w:r w:rsidRPr="002A063A">
              <w:rPr>
                <w:color w:val="000000"/>
                <w:sz w:val="20"/>
                <w:szCs w:val="20"/>
              </w:rPr>
              <w:t>Corbell et al.</w:t>
            </w:r>
          </w:p>
        </w:tc>
        <w:tc>
          <w:tcPr>
            <w:tcW w:w="1530" w:type="dxa"/>
            <w:tcBorders>
              <w:top w:val="single" w:sz="4" w:space="0" w:color="auto"/>
              <w:bottom w:val="single" w:sz="4" w:space="0" w:color="auto"/>
            </w:tcBorders>
            <w:shd w:val="clear" w:color="auto" w:fill="auto"/>
            <w:noWrap/>
            <w:vAlign w:val="bottom"/>
            <w:hideMark/>
          </w:tcPr>
          <w:p w14:paraId="20CFF9C6"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2E5AD58A"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9D41EC7" w14:textId="77777777" w:rsidR="008517F2" w:rsidRPr="002A063A" w:rsidRDefault="008517F2" w:rsidP="008517F2">
            <w:pPr>
              <w:rPr>
                <w:sz w:val="20"/>
                <w:szCs w:val="20"/>
              </w:rPr>
            </w:pPr>
            <w:r w:rsidRPr="002A063A">
              <w:rPr>
                <w:sz w:val="20"/>
                <w:szCs w:val="20"/>
              </w:rPr>
              <w:t>Timor-Leste</w:t>
            </w:r>
          </w:p>
        </w:tc>
        <w:tc>
          <w:tcPr>
            <w:tcW w:w="1420" w:type="dxa"/>
            <w:tcBorders>
              <w:top w:val="single" w:sz="4" w:space="0" w:color="auto"/>
              <w:bottom w:val="single" w:sz="4" w:space="0" w:color="auto"/>
            </w:tcBorders>
            <w:shd w:val="clear" w:color="auto" w:fill="auto"/>
            <w:noWrap/>
            <w:vAlign w:val="bottom"/>
            <w:hideMark/>
          </w:tcPr>
          <w:p w14:paraId="39ADA3D1"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55725580"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1E4701C5"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51B961E"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7F5CDE6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DBEE466" w14:textId="77777777" w:rsidR="008517F2" w:rsidRPr="002A063A" w:rsidRDefault="008517F2" w:rsidP="008517F2">
            <w:pPr>
              <w:rPr>
                <w:sz w:val="20"/>
                <w:szCs w:val="20"/>
              </w:rPr>
            </w:pPr>
            <w:r w:rsidRPr="002A063A">
              <w:rPr>
                <w:sz w:val="20"/>
                <w:szCs w:val="20"/>
              </w:rPr>
              <w:t>Togo</w:t>
            </w:r>
          </w:p>
        </w:tc>
        <w:tc>
          <w:tcPr>
            <w:tcW w:w="1420" w:type="dxa"/>
            <w:tcBorders>
              <w:top w:val="single" w:sz="4" w:space="0" w:color="auto"/>
              <w:bottom w:val="single" w:sz="4" w:space="0" w:color="auto"/>
            </w:tcBorders>
            <w:shd w:val="clear" w:color="auto" w:fill="auto"/>
            <w:noWrap/>
            <w:vAlign w:val="bottom"/>
            <w:hideMark/>
          </w:tcPr>
          <w:p w14:paraId="4F4D1204"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5AB9121F"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08F913F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567FC95D"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55A06DFB"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8CE2683" w14:textId="77777777" w:rsidR="008517F2" w:rsidRPr="002A063A" w:rsidRDefault="008517F2" w:rsidP="008517F2">
            <w:pPr>
              <w:rPr>
                <w:sz w:val="20"/>
                <w:szCs w:val="20"/>
              </w:rPr>
            </w:pPr>
            <w:r w:rsidRPr="002A063A">
              <w:rPr>
                <w:sz w:val="20"/>
                <w:szCs w:val="20"/>
              </w:rPr>
              <w:t>Tonga</w:t>
            </w:r>
          </w:p>
        </w:tc>
        <w:tc>
          <w:tcPr>
            <w:tcW w:w="1420" w:type="dxa"/>
            <w:tcBorders>
              <w:top w:val="single" w:sz="4" w:space="0" w:color="auto"/>
              <w:bottom w:val="single" w:sz="4" w:space="0" w:color="auto"/>
            </w:tcBorders>
            <w:shd w:val="clear" w:color="auto" w:fill="auto"/>
            <w:noWrap/>
            <w:vAlign w:val="bottom"/>
            <w:hideMark/>
          </w:tcPr>
          <w:p w14:paraId="07A82F82"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5A333F61"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7B134C11"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E5A3498"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4700722"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6A809F5" w14:textId="77777777" w:rsidR="008517F2" w:rsidRPr="002A063A" w:rsidRDefault="008517F2" w:rsidP="008517F2">
            <w:pPr>
              <w:rPr>
                <w:sz w:val="20"/>
                <w:szCs w:val="20"/>
              </w:rPr>
            </w:pPr>
            <w:r w:rsidRPr="002A063A">
              <w:rPr>
                <w:sz w:val="20"/>
                <w:szCs w:val="20"/>
              </w:rPr>
              <w:t>Tunisia</w:t>
            </w:r>
          </w:p>
        </w:tc>
        <w:tc>
          <w:tcPr>
            <w:tcW w:w="1420" w:type="dxa"/>
            <w:tcBorders>
              <w:top w:val="single" w:sz="4" w:space="0" w:color="auto"/>
              <w:bottom w:val="single" w:sz="4" w:space="0" w:color="auto"/>
            </w:tcBorders>
            <w:shd w:val="clear" w:color="auto" w:fill="auto"/>
            <w:noWrap/>
            <w:vAlign w:val="bottom"/>
            <w:hideMark/>
          </w:tcPr>
          <w:p w14:paraId="7792B253"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51D00E71"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35C6DB4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28D7A8B6"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093264D"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8CEAC53" w14:textId="77777777" w:rsidR="008517F2" w:rsidRPr="002A063A" w:rsidRDefault="008517F2" w:rsidP="008517F2">
            <w:pPr>
              <w:rPr>
                <w:sz w:val="20"/>
                <w:szCs w:val="20"/>
              </w:rPr>
            </w:pPr>
            <w:r w:rsidRPr="002A063A">
              <w:rPr>
                <w:sz w:val="20"/>
                <w:szCs w:val="20"/>
              </w:rPr>
              <w:t>Turkey</w:t>
            </w:r>
          </w:p>
        </w:tc>
        <w:tc>
          <w:tcPr>
            <w:tcW w:w="1420" w:type="dxa"/>
            <w:tcBorders>
              <w:top w:val="single" w:sz="4" w:space="0" w:color="auto"/>
              <w:bottom w:val="single" w:sz="4" w:space="0" w:color="auto"/>
            </w:tcBorders>
            <w:shd w:val="clear" w:color="auto" w:fill="auto"/>
            <w:noWrap/>
            <w:vAlign w:val="bottom"/>
            <w:hideMark/>
          </w:tcPr>
          <w:p w14:paraId="7BB5A120"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01F33294"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69E8053F"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051E258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1D0C712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8314BE3" w14:textId="77777777" w:rsidR="008517F2" w:rsidRPr="002A063A" w:rsidRDefault="008517F2" w:rsidP="008517F2">
            <w:pPr>
              <w:rPr>
                <w:sz w:val="20"/>
                <w:szCs w:val="20"/>
              </w:rPr>
            </w:pPr>
            <w:r w:rsidRPr="002A063A">
              <w:rPr>
                <w:sz w:val="20"/>
                <w:szCs w:val="20"/>
              </w:rPr>
              <w:t>Turkmenistan</w:t>
            </w:r>
          </w:p>
        </w:tc>
        <w:tc>
          <w:tcPr>
            <w:tcW w:w="1420" w:type="dxa"/>
            <w:tcBorders>
              <w:top w:val="single" w:sz="4" w:space="0" w:color="auto"/>
              <w:bottom w:val="single" w:sz="4" w:space="0" w:color="auto"/>
            </w:tcBorders>
            <w:shd w:val="clear" w:color="auto" w:fill="auto"/>
            <w:noWrap/>
            <w:vAlign w:val="bottom"/>
            <w:hideMark/>
          </w:tcPr>
          <w:p w14:paraId="76391D4D"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08260B03"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36812544"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137F7DDE"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0925139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15DFEA0" w14:textId="77777777" w:rsidR="008517F2" w:rsidRPr="002A063A" w:rsidRDefault="008517F2" w:rsidP="008517F2">
            <w:pPr>
              <w:rPr>
                <w:sz w:val="20"/>
                <w:szCs w:val="20"/>
              </w:rPr>
            </w:pPr>
            <w:r w:rsidRPr="002A063A">
              <w:rPr>
                <w:sz w:val="20"/>
                <w:szCs w:val="20"/>
              </w:rPr>
              <w:t>Tuvalu</w:t>
            </w:r>
          </w:p>
        </w:tc>
        <w:tc>
          <w:tcPr>
            <w:tcW w:w="1420" w:type="dxa"/>
            <w:tcBorders>
              <w:top w:val="single" w:sz="4" w:space="0" w:color="auto"/>
              <w:bottom w:val="single" w:sz="4" w:space="0" w:color="auto"/>
            </w:tcBorders>
            <w:shd w:val="clear" w:color="auto" w:fill="auto"/>
            <w:noWrap/>
            <w:vAlign w:val="bottom"/>
            <w:hideMark/>
          </w:tcPr>
          <w:p w14:paraId="0DFDF39B"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62772C9E"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10F78E4B"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041A89CC"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5FF53A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E6CDEA4" w14:textId="77777777" w:rsidR="008517F2" w:rsidRPr="002A063A" w:rsidRDefault="008517F2" w:rsidP="008517F2">
            <w:pPr>
              <w:rPr>
                <w:sz w:val="20"/>
                <w:szCs w:val="20"/>
              </w:rPr>
            </w:pPr>
            <w:r w:rsidRPr="002A063A">
              <w:rPr>
                <w:sz w:val="20"/>
                <w:szCs w:val="20"/>
              </w:rPr>
              <w:t>Uganda</w:t>
            </w:r>
          </w:p>
        </w:tc>
        <w:tc>
          <w:tcPr>
            <w:tcW w:w="1420" w:type="dxa"/>
            <w:tcBorders>
              <w:top w:val="single" w:sz="4" w:space="0" w:color="auto"/>
              <w:bottom w:val="single" w:sz="4" w:space="0" w:color="auto"/>
            </w:tcBorders>
            <w:shd w:val="clear" w:color="auto" w:fill="auto"/>
            <w:noWrap/>
            <w:vAlign w:val="bottom"/>
            <w:hideMark/>
          </w:tcPr>
          <w:p w14:paraId="61A63D86"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419338F0"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47FC214F" w14:textId="77777777" w:rsidR="008517F2" w:rsidRPr="002A063A" w:rsidRDefault="008517F2" w:rsidP="008517F2">
            <w:pPr>
              <w:rPr>
                <w:color w:val="000000"/>
                <w:sz w:val="20"/>
                <w:szCs w:val="20"/>
              </w:rPr>
            </w:pPr>
            <w:r w:rsidRPr="002A063A">
              <w:rPr>
                <w:color w:val="000000"/>
                <w:sz w:val="20"/>
                <w:szCs w:val="20"/>
              </w:rPr>
              <w:t>Corbell et al.</w:t>
            </w:r>
          </w:p>
        </w:tc>
        <w:tc>
          <w:tcPr>
            <w:tcW w:w="1530" w:type="dxa"/>
            <w:tcBorders>
              <w:top w:val="single" w:sz="4" w:space="0" w:color="auto"/>
              <w:bottom w:val="single" w:sz="4" w:space="0" w:color="auto"/>
            </w:tcBorders>
            <w:shd w:val="clear" w:color="auto" w:fill="auto"/>
            <w:noWrap/>
            <w:vAlign w:val="bottom"/>
            <w:hideMark/>
          </w:tcPr>
          <w:p w14:paraId="2E96B089"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33936EB1"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0F383BDB" w14:textId="77777777" w:rsidR="008517F2" w:rsidRPr="002A063A" w:rsidRDefault="008517F2" w:rsidP="008517F2">
            <w:pPr>
              <w:rPr>
                <w:sz w:val="20"/>
                <w:szCs w:val="20"/>
              </w:rPr>
            </w:pPr>
            <w:r w:rsidRPr="002A063A">
              <w:rPr>
                <w:sz w:val="20"/>
                <w:szCs w:val="20"/>
              </w:rPr>
              <w:t>Ukraine</w:t>
            </w:r>
          </w:p>
        </w:tc>
        <w:tc>
          <w:tcPr>
            <w:tcW w:w="1420" w:type="dxa"/>
            <w:tcBorders>
              <w:top w:val="single" w:sz="4" w:space="0" w:color="auto"/>
              <w:bottom w:val="single" w:sz="4" w:space="0" w:color="auto"/>
            </w:tcBorders>
            <w:shd w:val="clear" w:color="auto" w:fill="auto"/>
            <w:noWrap/>
            <w:vAlign w:val="bottom"/>
            <w:hideMark/>
          </w:tcPr>
          <w:p w14:paraId="7B5CF767"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388C291F"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4126A18"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017D00C6" w14:textId="77777777" w:rsidR="008517F2" w:rsidRPr="002A063A" w:rsidRDefault="008517F2" w:rsidP="008517F2">
            <w:pPr>
              <w:rPr>
                <w:color w:val="000000"/>
                <w:sz w:val="20"/>
                <w:szCs w:val="20"/>
              </w:rPr>
            </w:pPr>
            <w:r w:rsidRPr="002A063A">
              <w:rPr>
                <w:color w:val="000000"/>
                <w:sz w:val="20"/>
                <w:szCs w:val="20"/>
              </w:rPr>
              <w:t>Corbell et al.</w:t>
            </w:r>
          </w:p>
        </w:tc>
      </w:tr>
      <w:tr w:rsidR="008517F2" w:rsidRPr="003409C7" w14:paraId="33644428"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3A0A5013" w14:textId="77777777" w:rsidR="008517F2" w:rsidRPr="002A063A" w:rsidRDefault="008517F2" w:rsidP="008517F2">
            <w:pPr>
              <w:rPr>
                <w:sz w:val="20"/>
                <w:szCs w:val="20"/>
              </w:rPr>
            </w:pPr>
            <w:r w:rsidRPr="002A063A">
              <w:rPr>
                <w:sz w:val="20"/>
                <w:szCs w:val="20"/>
              </w:rPr>
              <w:t>Uzbekistan</w:t>
            </w:r>
          </w:p>
        </w:tc>
        <w:tc>
          <w:tcPr>
            <w:tcW w:w="1420" w:type="dxa"/>
            <w:tcBorders>
              <w:top w:val="single" w:sz="4" w:space="0" w:color="auto"/>
              <w:bottom w:val="single" w:sz="4" w:space="0" w:color="auto"/>
            </w:tcBorders>
            <w:shd w:val="clear" w:color="auto" w:fill="auto"/>
            <w:noWrap/>
            <w:vAlign w:val="bottom"/>
            <w:hideMark/>
          </w:tcPr>
          <w:p w14:paraId="38AEAABA" w14:textId="77777777" w:rsidR="008517F2" w:rsidRPr="002A063A" w:rsidRDefault="008517F2" w:rsidP="008517F2">
            <w:pPr>
              <w:rPr>
                <w:color w:val="000000"/>
                <w:sz w:val="20"/>
                <w:szCs w:val="20"/>
              </w:rPr>
            </w:pPr>
            <w:r w:rsidRPr="002A063A">
              <w:rPr>
                <w:color w:val="000000"/>
                <w:sz w:val="20"/>
                <w:szCs w:val="20"/>
              </w:rPr>
              <w:t>EURO</w:t>
            </w:r>
          </w:p>
        </w:tc>
        <w:tc>
          <w:tcPr>
            <w:tcW w:w="2000" w:type="dxa"/>
            <w:tcBorders>
              <w:top w:val="single" w:sz="4" w:space="0" w:color="auto"/>
              <w:bottom w:val="single" w:sz="4" w:space="0" w:color="auto"/>
            </w:tcBorders>
            <w:shd w:val="clear" w:color="auto" w:fill="auto"/>
            <w:noWrap/>
            <w:vAlign w:val="bottom"/>
            <w:hideMark/>
          </w:tcPr>
          <w:p w14:paraId="1FD87E2F"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4F6D9808" w14:textId="77777777" w:rsidR="008517F2" w:rsidRPr="002A063A" w:rsidRDefault="008517F2" w:rsidP="008517F2">
            <w:pPr>
              <w:rPr>
                <w:color w:val="000000"/>
                <w:sz w:val="20"/>
                <w:szCs w:val="20"/>
              </w:rPr>
            </w:pPr>
            <w:r w:rsidRPr="002A063A">
              <w:rPr>
                <w:color w:val="000000"/>
                <w:sz w:val="20"/>
                <w:szCs w:val="20"/>
              </w:rPr>
              <w:t>European guidelines</w:t>
            </w:r>
          </w:p>
        </w:tc>
        <w:tc>
          <w:tcPr>
            <w:tcW w:w="1530" w:type="dxa"/>
            <w:tcBorders>
              <w:top w:val="single" w:sz="4" w:space="0" w:color="auto"/>
              <w:bottom w:val="single" w:sz="4" w:space="0" w:color="auto"/>
            </w:tcBorders>
            <w:shd w:val="clear" w:color="auto" w:fill="auto"/>
            <w:noWrap/>
            <w:vAlign w:val="bottom"/>
            <w:hideMark/>
          </w:tcPr>
          <w:p w14:paraId="3A6E4545"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30207C89"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28976F13" w14:textId="77777777" w:rsidR="008517F2" w:rsidRPr="002A063A" w:rsidRDefault="008517F2" w:rsidP="008517F2">
            <w:pPr>
              <w:rPr>
                <w:sz w:val="20"/>
                <w:szCs w:val="20"/>
              </w:rPr>
            </w:pPr>
            <w:r w:rsidRPr="002A063A">
              <w:rPr>
                <w:sz w:val="20"/>
                <w:szCs w:val="20"/>
              </w:rPr>
              <w:t>Vanuatu</w:t>
            </w:r>
          </w:p>
        </w:tc>
        <w:tc>
          <w:tcPr>
            <w:tcW w:w="1420" w:type="dxa"/>
            <w:tcBorders>
              <w:top w:val="single" w:sz="4" w:space="0" w:color="auto"/>
              <w:bottom w:val="single" w:sz="4" w:space="0" w:color="auto"/>
            </w:tcBorders>
            <w:shd w:val="clear" w:color="auto" w:fill="auto"/>
            <w:noWrap/>
            <w:vAlign w:val="bottom"/>
            <w:hideMark/>
          </w:tcPr>
          <w:p w14:paraId="548CFCC0" w14:textId="77777777" w:rsidR="008517F2" w:rsidRPr="002A063A" w:rsidRDefault="008517F2" w:rsidP="008517F2">
            <w:pPr>
              <w:rPr>
                <w:color w:val="000000"/>
                <w:sz w:val="20"/>
                <w:szCs w:val="20"/>
              </w:rPr>
            </w:pPr>
            <w:r w:rsidRPr="002A063A">
              <w:rPr>
                <w:color w:val="000000"/>
                <w:sz w:val="20"/>
                <w:szCs w:val="20"/>
              </w:rPr>
              <w:t>WPRO</w:t>
            </w:r>
          </w:p>
        </w:tc>
        <w:tc>
          <w:tcPr>
            <w:tcW w:w="2000" w:type="dxa"/>
            <w:tcBorders>
              <w:top w:val="single" w:sz="4" w:space="0" w:color="auto"/>
              <w:bottom w:val="single" w:sz="4" w:space="0" w:color="auto"/>
            </w:tcBorders>
            <w:shd w:val="clear" w:color="auto" w:fill="auto"/>
            <w:noWrap/>
            <w:vAlign w:val="bottom"/>
            <w:hideMark/>
          </w:tcPr>
          <w:p w14:paraId="3FC92B37"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238BB22D"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13F2FFB"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41AF26E6"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9567121" w14:textId="77777777" w:rsidR="008517F2" w:rsidRPr="002A063A" w:rsidRDefault="008517F2" w:rsidP="008517F2">
            <w:pPr>
              <w:rPr>
                <w:sz w:val="20"/>
                <w:szCs w:val="20"/>
              </w:rPr>
            </w:pPr>
            <w:r w:rsidRPr="002A063A">
              <w:rPr>
                <w:sz w:val="20"/>
                <w:szCs w:val="20"/>
              </w:rPr>
              <w:t>Venezuela, RB</w:t>
            </w:r>
          </w:p>
        </w:tc>
        <w:tc>
          <w:tcPr>
            <w:tcW w:w="1420" w:type="dxa"/>
            <w:tcBorders>
              <w:top w:val="single" w:sz="4" w:space="0" w:color="auto"/>
              <w:bottom w:val="single" w:sz="4" w:space="0" w:color="auto"/>
            </w:tcBorders>
            <w:shd w:val="clear" w:color="auto" w:fill="auto"/>
            <w:noWrap/>
            <w:vAlign w:val="bottom"/>
            <w:hideMark/>
          </w:tcPr>
          <w:p w14:paraId="343EE544" w14:textId="77777777" w:rsidR="008517F2" w:rsidRPr="002A063A" w:rsidRDefault="008517F2" w:rsidP="008517F2">
            <w:pPr>
              <w:rPr>
                <w:color w:val="000000"/>
                <w:sz w:val="20"/>
                <w:szCs w:val="20"/>
              </w:rPr>
            </w:pPr>
            <w:r w:rsidRPr="002A063A">
              <w:rPr>
                <w:color w:val="000000"/>
                <w:sz w:val="20"/>
                <w:szCs w:val="20"/>
              </w:rPr>
              <w:t>AMRO</w:t>
            </w:r>
          </w:p>
        </w:tc>
        <w:tc>
          <w:tcPr>
            <w:tcW w:w="2000" w:type="dxa"/>
            <w:tcBorders>
              <w:top w:val="single" w:sz="4" w:space="0" w:color="auto"/>
              <w:bottom w:val="single" w:sz="4" w:space="0" w:color="auto"/>
            </w:tcBorders>
            <w:shd w:val="clear" w:color="auto" w:fill="auto"/>
            <w:noWrap/>
            <w:vAlign w:val="bottom"/>
            <w:hideMark/>
          </w:tcPr>
          <w:p w14:paraId="6BEE3938" w14:textId="77777777" w:rsidR="008517F2" w:rsidRPr="002A063A" w:rsidRDefault="008517F2" w:rsidP="008517F2">
            <w:pPr>
              <w:rPr>
                <w:color w:val="000000"/>
                <w:sz w:val="20"/>
                <w:szCs w:val="20"/>
              </w:rPr>
            </w:pPr>
            <w:r w:rsidRPr="002A063A">
              <w:rPr>
                <w:color w:val="000000"/>
                <w:sz w:val="20"/>
                <w:szCs w:val="20"/>
              </w:rPr>
              <w:t>Upper middle income</w:t>
            </w:r>
          </w:p>
        </w:tc>
        <w:tc>
          <w:tcPr>
            <w:tcW w:w="2430" w:type="dxa"/>
            <w:tcBorders>
              <w:top w:val="single" w:sz="4" w:space="0" w:color="auto"/>
              <w:bottom w:val="single" w:sz="4" w:space="0" w:color="auto"/>
            </w:tcBorders>
            <w:shd w:val="clear" w:color="auto" w:fill="auto"/>
            <w:noWrap/>
            <w:vAlign w:val="bottom"/>
            <w:hideMark/>
          </w:tcPr>
          <w:p w14:paraId="2D15F92E"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3F05197A"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276D9CE"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77742DA1" w14:textId="77777777" w:rsidR="008517F2" w:rsidRPr="002A063A" w:rsidRDefault="008517F2" w:rsidP="008517F2">
            <w:pPr>
              <w:rPr>
                <w:sz w:val="20"/>
                <w:szCs w:val="20"/>
              </w:rPr>
            </w:pPr>
            <w:r w:rsidRPr="002A063A">
              <w:rPr>
                <w:sz w:val="20"/>
                <w:szCs w:val="20"/>
              </w:rPr>
              <w:t>Vietnam</w:t>
            </w:r>
          </w:p>
        </w:tc>
        <w:tc>
          <w:tcPr>
            <w:tcW w:w="1420" w:type="dxa"/>
            <w:tcBorders>
              <w:top w:val="single" w:sz="4" w:space="0" w:color="auto"/>
              <w:bottom w:val="single" w:sz="4" w:space="0" w:color="auto"/>
            </w:tcBorders>
            <w:shd w:val="clear" w:color="auto" w:fill="auto"/>
            <w:noWrap/>
            <w:vAlign w:val="bottom"/>
            <w:hideMark/>
          </w:tcPr>
          <w:p w14:paraId="3F075ECB" w14:textId="77777777" w:rsidR="008517F2" w:rsidRPr="002A063A" w:rsidRDefault="008517F2" w:rsidP="008517F2">
            <w:pPr>
              <w:rPr>
                <w:color w:val="000000"/>
                <w:sz w:val="20"/>
                <w:szCs w:val="20"/>
              </w:rPr>
            </w:pPr>
            <w:r w:rsidRPr="002A063A">
              <w:rPr>
                <w:color w:val="000000"/>
                <w:sz w:val="20"/>
                <w:szCs w:val="20"/>
              </w:rPr>
              <w:t>SERO</w:t>
            </w:r>
          </w:p>
        </w:tc>
        <w:tc>
          <w:tcPr>
            <w:tcW w:w="2000" w:type="dxa"/>
            <w:tcBorders>
              <w:top w:val="single" w:sz="4" w:space="0" w:color="auto"/>
              <w:bottom w:val="single" w:sz="4" w:space="0" w:color="auto"/>
            </w:tcBorders>
            <w:shd w:val="clear" w:color="auto" w:fill="auto"/>
            <w:noWrap/>
            <w:vAlign w:val="bottom"/>
            <w:hideMark/>
          </w:tcPr>
          <w:p w14:paraId="18CC5B67"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72DB4718"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61436B43"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75EEFA50"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548EA653" w14:textId="77777777" w:rsidR="008517F2" w:rsidRPr="002A063A" w:rsidRDefault="008517F2" w:rsidP="008517F2">
            <w:pPr>
              <w:rPr>
                <w:sz w:val="20"/>
                <w:szCs w:val="20"/>
              </w:rPr>
            </w:pPr>
            <w:r w:rsidRPr="002A063A">
              <w:rPr>
                <w:sz w:val="20"/>
                <w:szCs w:val="20"/>
              </w:rPr>
              <w:t>Yemen</w:t>
            </w:r>
          </w:p>
        </w:tc>
        <w:tc>
          <w:tcPr>
            <w:tcW w:w="1420" w:type="dxa"/>
            <w:tcBorders>
              <w:top w:val="single" w:sz="4" w:space="0" w:color="auto"/>
              <w:bottom w:val="single" w:sz="4" w:space="0" w:color="auto"/>
            </w:tcBorders>
            <w:shd w:val="clear" w:color="auto" w:fill="auto"/>
            <w:noWrap/>
            <w:vAlign w:val="bottom"/>
            <w:hideMark/>
          </w:tcPr>
          <w:p w14:paraId="7F8FACF8" w14:textId="77777777" w:rsidR="008517F2" w:rsidRPr="002A063A" w:rsidRDefault="008517F2" w:rsidP="008517F2">
            <w:pPr>
              <w:rPr>
                <w:color w:val="000000"/>
                <w:sz w:val="20"/>
                <w:szCs w:val="20"/>
              </w:rPr>
            </w:pPr>
            <w:r w:rsidRPr="002A063A">
              <w:rPr>
                <w:color w:val="000000"/>
                <w:sz w:val="20"/>
                <w:szCs w:val="20"/>
              </w:rPr>
              <w:t>EMRO</w:t>
            </w:r>
          </w:p>
        </w:tc>
        <w:tc>
          <w:tcPr>
            <w:tcW w:w="2000" w:type="dxa"/>
            <w:tcBorders>
              <w:top w:val="single" w:sz="4" w:space="0" w:color="auto"/>
              <w:bottom w:val="single" w:sz="4" w:space="0" w:color="auto"/>
            </w:tcBorders>
            <w:shd w:val="clear" w:color="auto" w:fill="auto"/>
            <w:noWrap/>
            <w:vAlign w:val="bottom"/>
            <w:hideMark/>
          </w:tcPr>
          <w:p w14:paraId="45EB98BC" w14:textId="77777777" w:rsidR="008517F2" w:rsidRPr="002A063A" w:rsidRDefault="008517F2" w:rsidP="008517F2">
            <w:pPr>
              <w:rPr>
                <w:color w:val="000000"/>
                <w:sz w:val="20"/>
                <w:szCs w:val="20"/>
              </w:rPr>
            </w:pPr>
            <w:r w:rsidRPr="002A063A">
              <w:rPr>
                <w:color w:val="000000"/>
                <w:sz w:val="20"/>
                <w:szCs w:val="20"/>
              </w:rPr>
              <w:t>Low income</w:t>
            </w:r>
          </w:p>
        </w:tc>
        <w:tc>
          <w:tcPr>
            <w:tcW w:w="2430" w:type="dxa"/>
            <w:tcBorders>
              <w:top w:val="single" w:sz="4" w:space="0" w:color="auto"/>
              <w:bottom w:val="single" w:sz="4" w:space="0" w:color="auto"/>
            </w:tcBorders>
            <w:shd w:val="clear" w:color="auto" w:fill="auto"/>
            <w:noWrap/>
            <w:vAlign w:val="bottom"/>
            <w:hideMark/>
          </w:tcPr>
          <w:p w14:paraId="7A4F3AD6" w14:textId="77777777" w:rsidR="008517F2" w:rsidRPr="002A063A" w:rsidRDefault="008517F2" w:rsidP="008517F2">
            <w:pPr>
              <w:rPr>
                <w:color w:val="000000"/>
                <w:sz w:val="20"/>
                <w:szCs w:val="20"/>
              </w:rPr>
            </w:pPr>
            <w:r w:rsidRPr="002A063A">
              <w:rPr>
                <w:color w:val="000000"/>
                <w:sz w:val="20"/>
                <w:szCs w:val="20"/>
              </w:rPr>
              <w:t>WHO STI guidelines</w:t>
            </w:r>
          </w:p>
        </w:tc>
        <w:tc>
          <w:tcPr>
            <w:tcW w:w="1530" w:type="dxa"/>
            <w:tcBorders>
              <w:top w:val="single" w:sz="4" w:space="0" w:color="auto"/>
              <w:bottom w:val="single" w:sz="4" w:space="0" w:color="auto"/>
            </w:tcBorders>
            <w:shd w:val="clear" w:color="auto" w:fill="auto"/>
            <w:noWrap/>
            <w:vAlign w:val="bottom"/>
            <w:hideMark/>
          </w:tcPr>
          <w:p w14:paraId="4C911C14" w14:textId="77777777" w:rsidR="008517F2" w:rsidRPr="002A063A" w:rsidRDefault="008517F2" w:rsidP="008517F2">
            <w:pPr>
              <w:rPr>
                <w:color w:val="000000"/>
                <w:sz w:val="20"/>
                <w:szCs w:val="20"/>
              </w:rPr>
            </w:pPr>
            <w:r w:rsidRPr="002A063A">
              <w:rPr>
                <w:color w:val="000000"/>
                <w:sz w:val="20"/>
                <w:szCs w:val="20"/>
              </w:rPr>
              <w:t>Assumed</w:t>
            </w:r>
          </w:p>
        </w:tc>
      </w:tr>
      <w:tr w:rsidR="008517F2" w:rsidRPr="003409C7" w14:paraId="643F2065" w14:textId="77777777" w:rsidTr="008517F2">
        <w:trPr>
          <w:trHeight w:val="320"/>
          <w:jc w:val="center"/>
        </w:trPr>
        <w:tc>
          <w:tcPr>
            <w:tcW w:w="1620" w:type="dxa"/>
            <w:tcBorders>
              <w:top w:val="single" w:sz="4" w:space="0" w:color="auto"/>
              <w:bottom w:val="single" w:sz="4" w:space="0" w:color="auto"/>
            </w:tcBorders>
            <w:shd w:val="clear" w:color="000000" w:fill="FFFFFF"/>
            <w:noWrap/>
            <w:vAlign w:val="center"/>
            <w:hideMark/>
          </w:tcPr>
          <w:p w14:paraId="6C05C11A" w14:textId="77777777" w:rsidR="008517F2" w:rsidRPr="002A063A" w:rsidRDefault="008517F2" w:rsidP="008517F2">
            <w:pPr>
              <w:rPr>
                <w:sz w:val="20"/>
                <w:szCs w:val="20"/>
              </w:rPr>
            </w:pPr>
            <w:r w:rsidRPr="002A063A">
              <w:rPr>
                <w:sz w:val="20"/>
                <w:szCs w:val="20"/>
              </w:rPr>
              <w:t>Zambia</w:t>
            </w:r>
          </w:p>
        </w:tc>
        <w:tc>
          <w:tcPr>
            <w:tcW w:w="1420" w:type="dxa"/>
            <w:tcBorders>
              <w:top w:val="single" w:sz="4" w:space="0" w:color="auto"/>
              <w:bottom w:val="single" w:sz="4" w:space="0" w:color="auto"/>
            </w:tcBorders>
            <w:shd w:val="clear" w:color="auto" w:fill="auto"/>
            <w:noWrap/>
            <w:vAlign w:val="bottom"/>
            <w:hideMark/>
          </w:tcPr>
          <w:p w14:paraId="33CDEDF8" w14:textId="77777777" w:rsidR="008517F2" w:rsidRPr="002A063A" w:rsidRDefault="008517F2" w:rsidP="008517F2">
            <w:pPr>
              <w:rPr>
                <w:color w:val="000000"/>
                <w:sz w:val="20"/>
                <w:szCs w:val="20"/>
              </w:rPr>
            </w:pPr>
            <w:r w:rsidRPr="002A063A">
              <w:rPr>
                <w:color w:val="000000"/>
                <w:sz w:val="20"/>
                <w:szCs w:val="20"/>
              </w:rPr>
              <w:t>AFRO</w:t>
            </w:r>
          </w:p>
        </w:tc>
        <w:tc>
          <w:tcPr>
            <w:tcW w:w="2000" w:type="dxa"/>
            <w:tcBorders>
              <w:top w:val="single" w:sz="4" w:space="0" w:color="auto"/>
              <w:bottom w:val="single" w:sz="4" w:space="0" w:color="auto"/>
            </w:tcBorders>
            <w:shd w:val="clear" w:color="auto" w:fill="auto"/>
            <w:noWrap/>
            <w:vAlign w:val="bottom"/>
            <w:hideMark/>
          </w:tcPr>
          <w:p w14:paraId="7E2F0FBE" w14:textId="77777777" w:rsidR="008517F2" w:rsidRPr="002A063A" w:rsidRDefault="008517F2" w:rsidP="008517F2">
            <w:pPr>
              <w:rPr>
                <w:color w:val="000000"/>
                <w:sz w:val="20"/>
                <w:szCs w:val="20"/>
              </w:rPr>
            </w:pPr>
            <w:r w:rsidRPr="002A063A">
              <w:rPr>
                <w:color w:val="000000"/>
                <w:sz w:val="20"/>
                <w:szCs w:val="20"/>
              </w:rPr>
              <w:t>Lower middle income</w:t>
            </w:r>
          </w:p>
        </w:tc>
        <w:tc>
          <w:tcPr>
            <w:tcW w:w="2430" w:type="dxa"/>
            <w:tcBorders>
              <w:top w:val="single" w:sz="4" w:space="0" w:color="auto"/>
              <w:bottom w:val="single" w:sz="4" w:space="0" w:color="auto"/>
            </w:tcBorders>
            <w:shd w:val="clear" w:color="auto" w:fill="auto"/>
            <w:noWrap/>
            <w:vAlign w:val="bottom"/>
            <w:hideMark/>
          </w:tcPr>
          <w:p w14:paraId="6E7BE541" w14:textId="77777777" w:rsidR="008517F2" w:rsidRPr="002A063A" w:rsidRDefault="008517F2" w:rsidP="008517F2">
            <w:pPr>
              <w:rPr>
                <w:color w:val="000000"/>
                <w:sz w:val="20"/>
                <w:szCs w:val="20"/>
              </w:rPr>
            </w:pPr>
            <w:r w:rsidRPr="002A063A">
              <w:rPr>
                <w:color w:val="000000"/>
                <w:sz w:val="20"/>
                <w:szCs w:val="20"/>
              </w:rPr>
              <w:t>Corbell et al.</w:t>
            </w:r>
          </w:p>
        </w:tc>
        <w:tc>
          <w:tcPr>
            <w:tcW w:w="1530" w:type="dxa"/>
            <w:tcBorders>
              <w:top w:val="single" w:sz="4" w:space="0" w:color="auto"/>
              <w:bottom w:val="single" w:sz="4" w:space="0" w:color="auto"/>
            </w:tcBorders>
            <w:shd w:val="clear" w:color="auto" w:fill="auto"/>
            <w:noWrap/>
            <w:vAlign w:val="bottom"/>
            <w:hideMark/>
          </w:tcPr>
          <w:p w14:paraId="2216EAEC" w14:textId="77777777" w:rsidR="008517F2" w:rsidRPr="002A063A" w:rsidRDefault="008517F2" w:rsidP="008517F2">
            <w:pPr>
              <w:rPr>
                <w:color w:val="000000"/>
                <w:sz w:val="20"/>
                <w:szCs w:val="20"/>
              </w:rPr>
            </w:pPr>
            <w:r w:rsidRPr="002A063A">
              <w:rPr>
                <w:color w:val="000000"/>
                <w:sz w:val="20"/>
                <w:szCs w:val="20"/>
              </w:rPr>
              <w:t>Corbell et al.</w:t>
            </w:r>
          </w:p>
        </w:tc>
      </w:tr>
    </w:tbl>
    <w:p w14:paraId="640B1B78" w14:textId="77777777" w:rsidR="00647993" w:rsidRDefault="00647993" w:rsidP="00647993">
      <w:pPr>
        <w:pStyle w:val="Caption"/>
      </w:pPr>
    </w:p>
    <w:p w14:paraId="2637EDF2" w14:textId="390982F8" w:rsidR="008517F2" w:rsidRPr="001F1C09" w:rsidRDefault="00647993" w:rsidP="00647993">
      <w:pPr>
        <w:pStyle w:val="Caption"/>
        <w:jc w:val="center"/>
        <w:rPr>
          <w:rFonts w:ascii="Arial" w:hAnsi="Arial" w:cs="Arial"/>
          <w:b/>
          <w:color w:val="000000" w:themeColor="text1"/>
          <w:sz w:val="22"/>
          <w:szCs w:val="22"/>
        </w:rPr>
      </w:pPr>
      <w:bookmarkStart w:id="58" w:name="_Toc111481804"/>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7</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xml:space="preserve">: Literature on care-seeking for </w:t>
      </w:r>
      <w:r w:rsidR="002A72F7" w:rsidRPr="008D6407">
        <w:rPr>
          <w:rFonts w:ascii="Arial" w:hAnsi="Arial" w:cs="Arial"/>
          <w:color w:val="000000" w:themeColor="text1"/>
          <w:sz w:val="22"/>
          <w:szCs w:val="22"/>
        </w:rPr>
        <w:t>sexually transmitted</w:t>
      </w:r>
      <w:r w:rsidRPr="008D6407">
        <w:rPr>
          <w:rFonts w:ascii="Arial" w:hAnsi="Arial" w:cs="Arial"/>
          <w:color w:val="000000" w:themeColor="text1"/>
          <w:sz w:val="22"/>
          <w:szCs w:val="22"/>
        </w:rPr>
        <w:t xml:space="preserve"> infections</w:t>
      </w:r>
      <w:bookmarkEnd w:id="58"/>
    </w:p>
    <w:tbl>
      <w:tblPr>
        <w:tblW w:w="819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20"/>
        <w:gridCol w:w="4770"/>
      </w:tblGrid>
      <w:tr w:rsidR="008517F2" w:rsidRPr="004543D9" w14:paraId="1EFC0FF6" w14:textId="77777777" w:rsidTr="008517F2">
        <w:trPr>
          <w:trHeight w:val="320"/>
          <w:jc w:val="center"/>
        </w:trPr>
        <w:tc>
          <w:tcPr>
            <w:tcW w:w="3420" w:type="dxa"/>
          </w:tcPr>
          <w:p w14:paraId="72FBD5CF" w14:textId="77777777" w:rsidR="008517F2" w:rsidRPr="002A063A" w:rsidRDefault="008517F2" w:rsidP="008517F2">
            <w:pPr>
              <w:rPr>
                <w:color w:val="000000"/>
                <w:sz w:val="20"/>
                <w:szCs w:val="20"/>
              </w:rPr>
            </w:pPr>
            <w:r w:rsidRPr="002A063A">
              <w:rPr>
                <w:b/>
                <w:bCs/>
                <w:color w:val="000000"/>
                <w:sz w:val="20"/>
                <w:szCs w:val="20"/>
              </w:rPr>
              <w:t>Author</w:t>
            </w:r>
          </w:p>
        </w:tc>
        <w:tc>
          <w:tcPr>
            <w:tcW w:w="4770" w:type="dxa"/>
          </w:tcPr>
          <w:p w14:paraId="42465372" w14:textId="77777777" w:rsidR="008517F2" w:rsidRPr="002A063A" w:rsidRDefault="008517F2" w:rsidP="008517F2">
            <w:pPr>
              <w:rPr>
                <w:color w:val="000000"/>
                <w:sz w:val="20"/>
                <w:szCs w:val="20"/>
              </w:rPr>
            </w:pPr>
            <w:r w:rsidRPr="002A063A">
              <w:rPr>
                <w:b/>
                <w:bCs/>
                <w:color w:val="000000"/>
                <w:sz w:val="20"/>
                <w:szCs w:val="20"/>
              </w:rPr>
              <w:t>Title</w:t>
            </w:r>
          </w:p>
        </w:tc>
      </w:tr>
      <w:tr w:rsidR="008517F2" w:rsidRPr="004543D9" w14:paraId="310521D7" w14:textId="77777777" w:rsidTr="008517F2">
        <w:trPr>
          <w:trHeight w:val="320"/>
          <w:jc w:val="center"/>
        </w:trPr>
        <w:tc>
          <w:tcPr>
            <w:tcW w:w="3420" w:type="dxa"/>
          </w:tcPr>
          <w:p w14:paraId="46FD1826" w14:textId="77777777" w:rsidR="008517F2" w:rsidRPr="00124033" w:rsidRDefault="008517F2" w:rsidP="008517F2">
            <w:pPr>
              <w:rPr>
                <w:color w:val="000000"/>
                <w:sz w:val="20"/>
                <w:szCs w:val="20"/>
                <w:lang w:val="fr-FR"/>
              </w:rPr>
            </w:pPr>
            <w:r w:rsidRPr="00124033">
              <w:rPr>
                <w:color w:val="000000"/>
                <w:sz w:val="20"/>
                <w:szCs w:val="20"/>
                <w:lang w:val="fr-FR"/>
              </w:rPr>
              <w:t>Htut KM, Mon MM, Aye ZM, Ni LL.</w:t>
            </w:r>
          </w:p>
        </w:tc>
        <w:tc>
          <w:tcPr>
            <w:tcW w:w="4770" w:type="dxa"/>
          </w:tcPr>
          <w:p w14:paraId="76944417" w14:textId="77777777" w:rsidR="008517F2" w:rsidRPr="002A063A" w:rsidRDefault="008517F2" w:rsidP="008517F2">
            <w:pPr>
              <w:rPr>
                <w:color w:val="000000"/>
                <w:sz w:val="20"/>
                <w:szCs w:val="20"/>
              </w:rPr>
            </w:pPr>
            <w:r w:rsidRPr="002A063A">
              <w:rPr>
                <w:color w:val="000000"/>
                <w:sz w:val="20"/>
                <w:szCs w:val="20"/>
              </w:rPr>
              <w:t>Young key affected population in Myanmar: are there any challenges in seeking information and care for HIV/sexually transmitted infections and reproductive health?</w:t>
            </w:r>
          </w:p>
        </w:tc>
      </w:tr>
      <w:tr w:rsidR="008517F2" w:rsidRPr="004543D9" w14:paraId="7D7BF79E" w14:textId="77777777" w:rsidTr="008517F2">
        <w:trPr>
          <w:trHeight w:val="320"/>
          <w:jc w:val="center"/>
        </w:trPr>
        <w:tc>
          <w:tcPr>
            <w:tcW w:w="3420" w:type="dxa"/>
          </w:tcPr>
          <w:p w14:paraId="2CEFF5C5" w14:textId="77777777" w:rsidR="008517F2" w:rsidRPr="002A063A" w:rsidRDefault="008517F2" w:rsidP="008517F2">
            <w:pPr>
              <w:rPr>
                <w:color w:val="000000"/>
                <w:sz w:val="20"/>
                <w:szCs w:val="20"/>
              </w:rPr>
            </w:pPr>
            <w:r w:rsidRPr="002A063A">
              <w:rPr>
                <w:color w:val="000000"/>
                <w:sz w:val="20"/>
                <w:szCs w:val="20"/>
              </w:rPr>
              <w:t>Version 2. F1000Res. 2018 Sep 21;7:1515. doi: 10.12688/f1000research.16029.2. eCollection 2018.</w:t>
            </w:r>
          </w:p>
        </w:tc>
        <w:tc>
          <w:tcPr>
            <w:tcW w:w="4770" w:type="dxa"/>
          </w:tcPr>
          <w:p w14:paraId="0CB4570B" w14:textId="77777777" w:rsidR="008517F2" w:rsidRPr="002A063A" w:rsidRDefault="008517F2" w:rsidP="008517F2">
            <w:pPr>
              <w:rPr>
                <w:color w:val="000000"/>
                <w:sz w:val="20"/>
                <w:szCs w:val="20"/>
              </w:rPr>
            </w:pPr>
          </w:p>
        </w:tc>
      </w:tr>
      <w:tr w:rsidR="008517F2" w:rsidRPr="004543D9" w14:paraId="56D7B27B" w14:textId="77777777" w:rsidTr="008517F2">
        <w:trPr>
          <w:trHeight w:val="320"/>
          <w:jc w:val="center"/>
        </w:trPr>
        <w:tc>
          <w:tcPr>
            <w:tcW w:w="3420" w:type="dxa"/>
          </w:tcPr>
          <w:p w14:paraId="17D75233" w14:textId="77777777" w:rsidR="008517F2" w:rsidRPr="002A063A" w:rsidRDefault="008517F2" w:rsidP="008517F2">
            <w:pPr>
              <w:rPr>
                <w:color w:val="000000"/>
                <w:sz w:val="20"/>
                <w:szCs w:val="20"/>
              </w:rPr>
            </w:pPr>
            <w:r w:rsidRPr="002A063A">
              <w:rPr>
                <w:color w:val="000000"/>
                <w:sz w:val="20"/>
                <w:szCs w:val="20"/>
              </w:rPr>
              <w:t>PMID: 30519458 Free PMC article.</w:t>
            </w:r>
          </w:p>
        </w:tc>
        <w:tc>
          <w:tcPr>
            <w:tcW w:w="4770" w:type="dxa"/>
          </w:tcPr>
          <w:p w14:paraId="3A793449" w14:textId="77777777" w:rsidR="008517F2" w:rsidRPr="002A063A" w:rsidRDefault="008517F2" w:rsidP="008517F2">
            <w:pPr>
              <w:rPr>
                <w:color w:val="000000"/>
                <w:sz w:val="20"/>
                <w:szCs w:val="20"/>
              </w:rPr>
            </w:pPr>
          </w:p>
        </w:tc>
      </w:tr>
      <w:tr w:rsidR="008517F2" w:rsidRPr="004543D9" w14:paraId="43D4BE8D" w14:textId="77777777" w:rsidTr="008517F2">
        <w:trPr>
          <w:trHeight w:val="320"/>
          <w:jc w:val="center"/>
        </w:trPr>
        <w:tc>
          <w:tcPr>
            <w:tcW w:w="3420" w:type="dxa"/>
          </w:tcPr>
          <w:p w14:paraId="2BE6E9FB"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54AB1F18" w14:textId="77777777" w:rsidR="008517F2" w:rsidRPr="002A063A" w:rsidRDefault="008517F2" w:rsidP="008517F2">
            <w:pPr>
              <w:rPr>
                <w:color w:val="000000"/>
                <w:sz w:val="20"/>
                <w:szCs w:val="20"/>
              </w:rPr>
            </w:pPr>
          </w:p>
        </w:tc>
      </w:tr>
      <w:tr w:rsidR="008517F2" w:rsidRPr="004543D9" w14:paraId="3BCF17BA" w14:textId="77777777" w:rsidTr="008517F2">
        <w:trPr>
          <w:trHeight w:val="320"/>
          <w:jc w:val="center"/>
        </w:trPr>
        <w:tc>
          <w:tcPr>
            <w:tcW w:w="3420" w:type="dxa"/>
          </w:tcPr>
          <w:p w14:paraId="539EF11A" w14:textId="77777777" w:rsidR="008517F2" w:rsidRPr="00124033" w:rsidRDefault="008517F2" w:rsidP="008517F2">
            <w:pPr>
              <w:rPr>
                <w:color w:val="000000"/>
                <w:sz w:val="20"/>
                <w:szCs w:val="20"/>
                <w:lang w:val="fr-FR"/>
              </w:rPr>
            </w:pPr>
            <w:r w:rsidRPr="00124033">
              <w:rPr>
                <w:color w:val="000000"/>
                <w:sz w:val="20"/>
                <w:szCs w:val="20"/>
                <w:lang w:val="fr-FR"/>
              </w:rPr>
              <w:t>Leichliter JS, Lewis DA, Sternberg M, Habel MA, Paz-Bailey G.</w:t>
            </w:r>
          </w:p>
        </w:tc>
        <w:tc>
          <w:tcPr>
            <w:tcW w:w="4770" w:type="dxa"/>
          </w:tcPr>
          <w:p w14:paraId="13945009" w14:textId="77777777" w:rsidR="008517F2" w:rsidRPr="002A063A" w:rsidRDefault="008517F2" w:rsidP="008517F2">
            <w:pPr>
              <w:rPr>
                <w:color w:val="000000"/>
                <w:sz w:val="20"/>
                <w:szCs w:val="20"/>
              </w:rPr>
            </w:pPr>
            <w:r w:rsidRPr="002A063A">
              <w:rPr>
                <w:color w:val="000000"/>
                <w:sz w:val="20"/>
                <w:szCs w:val="20"/>
              </w:rPr>
              <w:t>Health care seeking among men with genital ulcer disease in South Africa: correlates and relationship to human immunodeficiency virus-1 and herpes simplex virus type 2 detection and shedding.</w:t>
            </w:r>
          </w:p>
        </w:tc>
      </w:tr>
      <w:tr w:rsidR="008517F2" w:rsidRPr="004543D9" w14:paraId="182205BF" w14:textId="77777777" w:rsidTr="008517F2">
        <w:trPr>
          <w:trHeight w:val="320"/>
          <w:jc w:val="center"/>
        </w:trPr>
        <w:tc>
          <w:tcPr>
            <w:tcW w:w="3420" w:type="dxa"/>
          </w:tcPr>
          <w:p w14:paraId="12CE05BA" w14:textId="77777777" w:rsidR="008517F2" w:rsidRPr="002A063A" w:rsidRDefault="008517F2" w:rsidP="008517F2">
            <w:pPr>
              <w:rPr>
                <w:color w:val="000000"/>
                <w:sz w:val="20"/>
                <w:szCs w:val="20"/>
              </w:rPr>
            </w:pPr>
            <w:r w:rsidRPr="002A063A">
              <w:rPr>
                <w:color w:val="000000"/>
                <w:sz w:val="20"/>
                <w:szCs w:val="20"/>
              </w:rPr>
              <w:t>Sex Transm Dis. 2011 Sep;38(9):865-70. doi: 10.1097/OLQ.0b013e31821d4ceb.</w:t>
            </w:r>
          </w:p>
        </w:tc>
        <w:tc>
          <w:tcPr>
            <w:tcW w:w="4770" w:type="dxa"/>
          </w:tcPr>
          <w:p w14:paraId="04BE6B2B" w14:textId="77777777" w:rsidR="008517F2" w:rsidRPr="002A063A" w:rsidRDefault="008517F2" w:rsidP="008517F2">
            <w:pPr>
              <w:rPr>
                <w:color w:val="000000"/>
                <w:sz w:val="20"/>
                <w:szCs w:val="20"/>
              </w:rPr>
            </w:pPr>
          </w:p>
        </w:tc>
      </w:tr>
      <w:tr w:rsidR="008517F2" w:rsidRPr="004543D9" w14:paraId="3734BCA0" w14:textId="77777777" w:rsidTr="008517F2">
        <w:trPr>
          <w:trHeight w:val="320"/>
          <w:jc w:val="center"/>
        </w:trPr>
        <w:tc>
          <w:tcPr>
            <w:tcW w:w="3420" w:type="dxa"/>
          </w:tcPr>
          <w:p w14:paraId="6C4341E8" w14:textId="77777777" w:rsidR="008517F2" w:rsidRPr="002A063A" w:rsidRDefault="008517F2" w:rsidP="008517F2">
            <w:pPr>
              <w:rPr>
                <w:color w:val="000000"/>
                <w:sz w:val="20"/>
                <w:szCs w:val="20"/>
              </w:rPr>
            </w:pPr>
            <w:r w:rsidRPr="002A063A">
              <w:rPr>
                <w:color w:val="000000"/>
                <w:sz w:val="20"/>
                <w:szCs w:val="20"/>
              </w:rPr>
              <w:t>PMID: 21844743 Clinical Trial.</w:t>
            </w:r>
          </w:p>
        </w:tc>
        <w:tc>
          <w:tcPr>
            <w:tcW w:w="4770" w:type="dxa"/>
          </w:tcPr>
          <w:p w14:paraId="6B445318" w14:textId="77777777" w:rsidR="008517F2" w:rsidRPr="002A063A" w:rsidRDefault="008517F2" w:rsidP="008517F2">
            <w:pPr>
              <w:rPr>
                <w:color w:val="000000"/>
                <w:sz w:val="20"/>
                <w:szCs w:val="20"/>
              </w:rPr>
            </w:pPr>
          </w:p>
        </w:tc>
      </w:tr>
      <w:tr w:rsidR="008517F2" w:rsidRPr="004543D9" w14:paraId="3CD1FC54" w14:textId="77777777" w:rsidTr="008517F2">
        <w:trPr>
          <w:trHeight w:val="320"/>
          <w:jc w:val="center"/>
        </w:trPr>
        <w:tc>
          <w:tcPr>
            <w:tcW w:w="3420" w:type="dxa"/>
          </w:tcPr>
          <w:p w14:paraId="7D35182B"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78ED25D9" w14:textId="77777777" w:rsidR="008517F2" w:rsidRPr="002A063A" w:rsidRDefault="008517F2" w:rsidP="008517F2">
            <w:pPr>
              <w:rPr>
                <w:color w:val="000000"/>
                <w:sz w:val="20"/>
                <w:szCs w:val="20"/>
              </w:rPr>
            </w:pPr>
          </w:p>
        </w:tc>
      </w:tr>
      <w:tr w:rsidR="008517F2" w:rsidRPr="004543D9" w14:paraId="4739CCB3" w14:textId="77777777" w:rsidTr="008517F2">
        <w:trPr>
          <w:trHeight w:val="320"/>
          <w:jc w:val="center"/>
        </w:trPr>
        <w:tc>
          <w:tcPr>
            <w:tcW w:w="3420" w:type="dxa"/>
          </w:tcPr>
          <w:p w14:paraId="5EC9FE27" w14:textId="77777777" w:rsidR="008517F2" w:rsidRPr="002A063A" w:rsidRDefault="008517F2" w:rsidP="008517F2">
            <w:pPr>
              <w:rPr>
                <w:color w:val="000000"/>
                <w:sz w:val="20"/>
                <w:szCs w:val="20"/>
              </w:rPr>
            </w:pPr>
            <w:r w:rsidRPr="002A063A">
              <w:rPr>
                <w:color w:val="000000"/>
                <w:sz w:val="20"/>
                <w:szCs w:val="20"/>
              </w:rPr>
              <w:t>Chuh A, Zawar V, Ooi C, Lee A.</w:t>
            </w:r>
          </w:p>
        </w:tc>
        <w:tc>
          <w:tcPr>
            <w:tcW w:w="4770" w:type="dxa"/>
          </w:tcPr>
          <w:p w14:paraId="0627FDA1" w14:textId="77777777" w:rsidR="008517F2" w:rsidRPr="002A063A" w:rsidRDefault="008517F2" w:rsidP="008517F2">
            <w:pPr>
              <w:rPr>
                <w:color w:val="000000"/>
                <w:sz w:val="20"/>
                <w:szCs w:val="20"/>
              </w:rPr>
            </w:pPr>
            <w:r w:rsidRPr="002A063A">
              <w:rPr>
                <w:color w:val="000000"/>
                <w:sz w:val="20"/>
                <w:szCs w:val="20"/>
              </w:rPr>
              <w:t>A Case-Control Study in Primary Care Settings on the Roles of Dermatoscopy in Infectious Diseases Affecting the Skin, Part 1: Viral and Bacterial Infections.</w:t>
            </w:r>
          </w:p>
        </w:tc>
      </w:tr>
      <w:tr w:rsidR="008517F2" w:rsidRPr="004543D9" w14:paraId="5E1DAF01" w14:textId="77777777" w:rsidTr="008517F2">
        <w:trPr>
          <w:trHeight w:val="320"/>
          <w:jc w:val="center"/>
        </w:trPr>
        <w:tc>
          <w:tcPr>
            <w:tcW w:w="3420" w:type="dxa"/>
          </w:tcPr>
          <w:p w14:paraId="0F6EC63F" w14:textId="77777777" w:rsidR="008517F2" w:rsidRPr="002A063A" w:rsidRDefault="008517F2" w:rsidP="008517F2">
            <w:pPr>
              <w:rPr>
                <w:color w:val="000000"/>
                <w:sz w:val="20"/>
                <w:szCs w:val="20"/>
              </w:rPr>
            </w:pPr>
            <w:r w:rsidRPr="002A063A">
              <w:rPr>
                <w:color w:val="000000"/>
                <w:sz w:val="20"/>
                <w:szCs w:val="20"/>
              </w:rPr>
              <w:t>Skinmed. 2018 Jul 1;16(4):247-254. eCollection 2018.</w:t>
            </w:r>
          </w:p>
        </w:tc>
        <w:tc>
          <w:tcPr>
            <w:tcW w:w="4770" w:type="dxa"/>
          </w:tcPr>
          <w:p w14:paraId="27B822D9" w14:textId="77777777" w:rsidR="008517F2" w:rsidRPr="002A063A" w:rsidRDefault="008517F2" w:rsidP="008517F2">
            <w:pPr>
              <w:rPr>
                <w:color w:val="000000"/>
                <w:sz w:val="20"/>
                <w:szCs w:val="20"/>
              </w:rPr>
            </w:pPr>
          </w:p>
        </w:tc>
      </w:tr>
      <w:tr w:rsidR="008517F2" w:rsidRPr="004543D9" w14:paraId="0157CCCF" w14:textId="77777777" w:rsidTr="008517F2">
        <w:trPr>
          <w:trHeight w:val="320"/>
          <w:jc w:val="center"/>
        </w:trPr>
        <w:tc>
          <w:tcPr>
            <w:tcW w:w="3420" w:type="dxa"/>
          </w:tcPr>
          <w:p w14:paraId="33CFA0D7" w14:textId="77777777" w:rsidR="008517F2" w:rsidRPr="002A063A" w:rsidRDefault="008517F2" w:rsidP="008517F2">
            <w:pPr>
              <w:rPr>
                <w:color w:val="000000"/>
                <w:sz w:val="20"/>
                <w:szCs w:val="20"/>
              </w:rPr>
            </w:pPr>
            <w:r w:rsidRPr="002A063A">
              <w:rPr>
                <w:color w:val="000000"/>
                <w:sz w:val="20"/>
                <w:szCs w:val="20"/>
              </w:rPr>
              <w:lastRenderedPageBreak/>
              <w:t>PMID: 30207527</w:t>
            </w:r>
          </w:p>
        </w:tc>
        <w:tc>
          <w:tcPr>
            <w:tcW w:w="4770" w:type="dxa"/>
          </w:tcPr>
          <w:p w14:paraId="3F5A2C07" w14:textId="77777777" w:rsidR="008517F2" w:rsidRPr="002A063A" w:rsidRDefault="008517F2" w:rsidP="008517F2">
            <w:pPr>
              <w:rPr>
                <w:color w:val="000000"/>
                <w:sz w:val="20"/>
                <w:szCs w:val="20"/>
              </w:rPr>
            </w:pPr>
          </w:p>
        </w:tc>
      </w:tr>
      <w:tr w:rsidR="008517F2" w:rsidRPr="004543D9" w14:paraId="7EAD089E" w14:textId="77777777" w:rsidTr="008517F2">
        <w:trPr>
          <w:trHeight w:val="320"/>
          <w:jc w:val="center"/>
        </w:trPr>
        <w:tc>
          <w:tcPr>
            <w:tcW w:w="3420" w:type="dxa"/>
          </w:tcPr>
          <w:p w14:paraId="2058C086"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07DE8550" w14:textId="77777777" w:rsidR="008517F2" w:rsidRPr="002A063A" w:rsidRDefault="008517F2" w:rsidP="008517F2">
            <w:pPr>
              <w:rPr>
                <w:color w:val="000000"/>
                <w:sz w:val="20"/>
                <w:szCs w:val="20"/>
              </w:rPr>
            </w:pPr>
          </w:p>
        </w:tc>
      </w:tr>
      <w:tr w:rsidR="008517F2" w:rsidRPr="004543D9" w14:paraId="2D2FFE44" w14:textId="77777777" w:rsidTr="008517F2">
        <w:trPr>
          <w:trHeight w:val="320"/>
          <w:jc w:val="center"/>
        </w:trPr>
        <w:tc>
          <w:tcPr>
            <w:tcW w:w="3420" w:type="dxa"/>
          </w:tcPr>
          <w:p w14:paraId="4F308095" w14:textId="77777777" w:rsidR="008517F2" w:rsidRPr="002A063A" w:rsidRDefault="008517F2" w:rsidP="008517F2">
            <w:pPr>
              <w:rPr>
                <w:color w:val="000000"/>
                <w:sz w:val="20"/>
                <w:szCs w:val="20"/>
              </w:rPr>
            </w:pPr>
            <w:r w:rsidRPr="002A063A">
              <w:rPr>
                <w:color w:val="000000"/>
                <w:sz w:val="20"/>
                <w:szCs w:val="20"/>
              </w:rPr>
              <w:t>Fleming DT, Leone P, Esposito D, Heitman CK, Justus S, Chin S, Fife KH.</w:t>
            </w:r>
          </w:p>
        </w:tc>
        <w:tc>
          <w:tcPr>
            <w:tcW w:w="4770" w:type="dxa"/>
          </w:tcPr>
          <w:p w14:paraId="12C1BB02" w14:textId="77777777" w:rsidR="008517F2" w:rsidRPr="002A063A" w:rsidRDefault="008517F2" w:rsidP="008517F2">
            <w:pPr>
              <w:rPr>
                <w:color w:val="000000"/>
                <w:sz w:val="20"/>
                <w:szCs w:val="20"/>
              </w:rPr>
            </w:pPr>
            <w:r w:rsidRPr="002A063A">
              <w:rPr>
                <w:color w:val="000000"/>
                <w:sz w:val="20"/>
                <w:szCs w:val="20"/>
              </w:rPr>
              <w:t>Herpes virus type 2 infection and genital symptoms in primary care patients.</w:t>
            </w:r>
          </w:p>
        </w:tc>
      </w:tr>
      <w:tr w:rsidR="008517F2" w:rsidRPr="004543D9" w14:paraId="59C4805F" w14:textId="77777777" w:rsidTr="008517F2">
        <w:trPr>
          <w:trHeight w:val="320"/>
          <w:jc w:val="center"/>
        </w:trPr>
        <w:tc>
          <w:tcPr>
            <w:tcW w:w="3420" w:type="dxa"/>
          </w:tcPr>
          <w:p w14:paraId="253A3592" w14:textId="77777777" w:rsidR="008517F2" w:rsidRPr="002A063A" w:rsidRDefault="008517F2" w:rsidP="008517F2">
            <w:pPr>
              <w:rPr>
                <w:color w:val="000000"/>
                <w:sz w:val="20"/>
                <w:szCs w:val="20"/>
              </w:rPr>
            </w:pPr>
            <w:r w:rsidRPr="002A063A">
              <w:rPr>
                <w:color w:val="000000"/>
                <w:sz w:val="20"/>
                <w:szCs w:val="20"/>
              </w:rPr>
              <w:t>Sex Transm Dis. 2006 Jul;33(7):416-21. doi: 10.1097/01.olq.0000200578.86276.0b.</w:t>
            </w:r>
          </w:p>
        </w:tc>
        <w:tc>
          <w:tcPr>
            <w:tcW w:w="4770" w:type="dxa"/>
          </w:tcPr>
          <w:p w14:paraId="4525E4BA" w14:textId="77777777" w:rsidR="008517F2" w:rsidRPr="002A063A" w:rsidRDefault="008517F2" w:rsidP="008517F2">
            <w:pPr>
              <w:rPr>
                <w:color w:val="000000"/>
                <w:sz w:val="20"/>
                <w:szCs w:val="20"/>
              </w:rPr>
            </w:pPr>
          </w:p>
        </w:tc>
      </w:tr>
      <w:tr w:rsidR="008517F2" w:rsidRPr="004543D9" w14:paraId="612A835E" w14:textId="77777777" w:rsidTr="008517F2">
        <w:trPr>
          <w:trHeight w:val="320"/>
          <w:jc w:val="center"/>
        </w:trPr>
        <w:tc>
          <w:tcPr>
            <w:tcW w:w="3420" w:type="dxa"/>
          </w:tcPr>
          <w:p w14:paraId="627D9D51" w14:textId="77777777" w:rsidR="008517F2" w:rsidRPr="002A063A" w:rsidRDefault="008517F2" w:rsidP="008517F2">
            <w:pPr>
              <w:rPr>
                <w:color w:val="000000"/>
                <w:sz w:val="20"/>
                <w:szCs w:val="20"/>
              </w:rPr>
            </w:pPr>
            <w:r w:rsidRPr="002A063A">
              <w:rPr>
                <w:color w:val="000000"/>
                <w:sz w:val="20"/>
                <w:szCs w:val="20"/>
              </w:rPr>
              <w:t>PMID: 16601657 Clinical Trial.</w:t>
            </w:r>
          </w:p>
        </w:tc>
        <w:tc>
          <w:tcPr>
            <w:tcW w:w="4770" w:type="dxa"/>
          </w:tcPr>
          <w:p w14:paraId="08092058" w14:textId="77777777" w:rsidR="008517F2" w:rsidRPr="002A063A" w:rsidRDefault="008517F2" w:rsidP="008517F2">
            <w:pPr>
              <w:rPr>
                <w:color w:val="000000"/>
                <w:sz w:val="20"/>
                <w:szCs w:val="20"/>
              </w:rPr>
            </w:pPr>
          </w:p>
        </w:tc>
      </w:tr>
      <w:tr w:rsidR="008517F2" w:rsidRPr="004543D9" w14:paraId="1E5C8CA0" w14:textId="77777777" w:rsidTr="008517F2">
        <w:trPr>
          <w:trHeight w:val="320"/>
          <w:jc w:val="center"/>
        </w:trPr>
        <w:tc>
          <w:tcPr>
            <w:tcW w:w="3420" w:type="dxa"/>
          </w:tcPr>
          <w:p w14:paraId="36FE9E37"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6108817D" w14:textId="77777777" w:rsidR="008517F2" w:rsidRPr="002A063A" w:rsidRDefault="008517F2" w:rsidP="008517F2">
            <w:pPr>
              <w:rPr>
                <w:color w:val="000000"/>
                <w:sz w:val="20"/>
                <w:szCs w:val="20"/>
              </w:rPr>
            </w:pPr>
          </w:p>
        </w:tc>
      </w:tr>
      <w:tr w:rsidR="008517F2" w:rsidRPr="004543D9" w14:paraId="5AEBBE39" w14:textId="77777777" w:rsidTr="008517F2">
        <w:trPr>
          <w:trHeight w:val="320"/>
          <w:jc w:val="center"/>
        </w:trPr>
        <w:tc>
          <w:tcPr>
            <w:tcW w:w="3420" w:type="dxa"/>
            <w:tcBorders>
              <w:bottom w:val="nil"/>
            </w:tcBorders>
          </w:tcPr>
          <w:p w14:paraId="5F8BA566" w14:textId="77777777" w:rsidR="008517F2" w:rsidRPr="002A063A" w:rsidRDefault="008517F2" w:rsidP="008517F2">
            <w:pPr>
              <w:rPr>
                <w:color w:val="000000"/>
                <w:sz w:val="20"/>
                <w:szCs w:val="20"/>
              </w:rPr>
            </w:pPr>
            <w:r w:rsidRPr="002A063A">
              <w:rPr>
                <w:color w:val="000000"/>
                <w:sz w:val="20"/>
                <w:szCs w:val="20"/>
              </w:rPr>
              <w:t>Dorjgochoo T, Noel F, Deschamps MM, Theodore H, Dupont W, Wright PF, Fitzgerald DW, Vermund SH, Pape JW.</w:t>
            </w:r>
          </w:p>
        </w:tc>
        <w:tc>
          <w:tcPr>
            <w:tcW w:w="4770" w:type="dxa"/>
            <w:tcBorders>
              <w:bottom w:val="nil"/>
            </w:tcBorders>
          </w:tcPr>
          <w:p w14:paraId="0B551AA4" w14:textId="77777777" w:rsidR="008517F2" w:rsidRPr="002A063A" w:rsidRDefault="008517F2" w:rsidP="008517F2">
            <w:pPr>
              <w:rPr>
                <w:color w:val="000000"/>
                <w:sz w:val="20"/>
                <w:szCs w:val="20"/>
              </w:rPr>
            </w:pPr>
            <w:r w:rsidRPr="002A063A">
              <w:rPr>
                <w:color w:val="000000"/>
                <w:sz w:val="20"/>
                <w:szCs w:val="20"/>
              </w:rPr>
              <w:t>Risk factors for HIV infection among Haitian adolescents and young adults seeking counseling and testing in Port-au-Prince.</w:t>
            </w:r>
          </w:p>
        </w:tc>
      </w:tr>
      <w:tr w:rsidR="008517F2" w:rsidRPr="004543D9" w14:paraId="577666DD" w14:textId="77777777" w:rsidTr="008517F2">
        <w:trPr>
          <w:trHeight w:val="320"/>
          <w:jc w:val="center"/>
        </w:trPr>
        <w:tc>
          <w:tcPr>
            <w:tcW w:w="3420" w:type="dxa"/>
          </w:tcPr>
          <w:p w14:paraId="20ED76D6" w14:textId="77777777" w:rsidR="008517F2" w:rsidRPr="002A063A" w:rsidRDefault="008517F2" w:rsidP="008517F2">
            <w:pPr>
              <w:rPr>
                <w:color w:val="000000"/>
                <w:sz w:val="20"/>
                <w:szCs w:val="20"/>
              </w:rPr>
            </w:pPr>
            <w:r w:rsidRPr="00124033">
              <w:rPr>
                <w:color w:val="000000"/>
                <w:sz w:val="20"/>
                <w:szCs w:val="20"/>
                <w:lang w:val="fr-FR"/>
              </w:rPr>
              <w:t xml:space="preserve">J Acquir Immune Defic Syndr. </w:t>
            </w:r>
            <w:r w:rsidRPr="002A063A">
              <w:rPr>
                <w:color w:val="000000"/>
                <w:sz w:val="20"/>
                <w:szCs w:val="20"/>
              </w:rPr>
              <w:t>2009 Dec 1;52(4):498-508. doi: 10.1097/QAI.0b013e3181ac12a8.</w:t>
            </w:r>
          </w:p>
        </w:tc>
        <w:tc>
          <w:tcPr>
            <w:tcW w:w="4770" w:type="dxa"/>
          </w:tcPr>
          <w:p w14:paraId="50F4B952" w14:textId="77777777" w:rsidR="008517F2" w:rsidRPr="002A063A" w:rsidRDefault="008517F2" w:rsidP="008517F2">
            <w:pPr>
              <w:rPr>
                <w:color w:val="000000"/>
                <w:sz w:val="20"/>
                <w:szCs w:val="20"/>
              </w:rPr>
            </w:pPr>
          </w:p>
        </w:tc>
      </w:tr>
      <w:tr w:rsidR="008517F2" w:rsidRPr="004543D9" w14:paraId="0C114559" w14:textId="77777777" w:rsidTr="008517F2">
        <w:trPr>
          <w:trHeight w:val="320"/>
          <w:jc w:val="center"/>
        </w:trPr>
        <w:tc>
          <w:tcPr>
            <w:tcW w:w="3420" w:type="dxa"/>
          </w:tcPr>
          <w:p w14:paraId="74551196" w14:textId="77777777" w:rsidR="008517F2" w:rsidRPr="002A063A" w:rsidRDefault="008517F2" w:rsidP="008517F2">
            <w:pPr>
              <w:rPr>
                <w:color w:val="000000"/>
                <w:sz w:val="20"/>
                <w:szCs w:val="20"/>
              </w:rPr>
            </w:pPr>
            <w:r w:rsidRPr="002A063A">
              <w:rPr>
                <w:color w:val="000000"/>
                <w:sz w:val="20"/>
                <w:szCs w:val="20"/>
              </w:rPr>
              <w:t>PMID: 19738486 Free PMC article.</w:t>
            </w:r>
          </w:p>
        </w:tc>
        <w:tc>
          <w:tcPr>
            <w:tcW w:w="4770" w:type="dxa"/>
          </w:tcPr>
          <w:p w14:paraId="7E909782" w14:textId="77777777" w:rsidR="008517F2" w:rsidRPr="002A063A" w:rsidRDefault="008517F2" w:rsidP="008517F2">
            <w:pPr>
              <w:rPr>
                <w:color w:val="000000"/>
                <w:sz w:val="20"/>
                <w:szCs w:val="20"/>
              </w:rPr>
            </w:pPr>
          </w:p>
        </w:tc>
      </w:tr>
      <w:tr w:rsidR="008517F2" w:rsidRPr="004543D9" w14:paraId="749DFAB4" w14:textId="77777777" w:rsidTr="008517F2">
        <w:trPr>
          <w:trHeight w:val="320"/>
          <w:jc w:val="center"/>
        </w:trPr>
        <w:tc>
          <w:tcPr>
            <w:tcW w:w="3420" w:type="dxa"/>
          </w:tcPr>
          <w:p w14:paraId="28DEC068" w14:textId="77777777" w:rsidR="008517F2" w:rsidRPr="002A063A" w:rsidRDefault="008517F2" w:rsidP="008517F2">
            <w:pPr>
              <w:rPr>
                <w:color w:val="000000"/>
                <w:sz w:val="20"/>
                <w:szCs w:val="20"/>
              </w:rPr>
            </w:pPr>
            <w:r w:rsidRPr="002A063A">
              <w:rPr>
                <w:color w:val="000000"/>
                <w:sz w:val="20"/>
                <w:szCs w:val="20"/>
              </w:rPr>
              <w:t>Goncalez TT, Blatyta PF, Santos FM, Montebello S, Esposti SP, Hangai FN, Salles NA, Mendrone A, Truong HM, Sabino EC, McFarland W.</w:t>
            </w:r>
          </w:p>
        </w:tc>
        <w:tc>
          <w:tcPr>
            <w:tcW w:w="4770" w:type="dxa"/>
          </w:tcPr>
          <w:p w14:paraId="04881BC5" w14:textId="77777777" w:rsidR="008517F2" w:rsidRPr="002A063A" w:rsidRDefault="008517F2" w:rsidP="008517F2">
            <w:pPr>
              <w:rPr>
                <w:color w:val="000000"/>
                <w:sz w:val="20"/>
                <w:szCs w:val="20"/>
              </w:rPr>
            </w:pPr>
            <w:r w:rsidRPr="002A063A">
              <w:rPr>
                <w:color w:val="000000"/>
                <w:sz w:val="20"/>
                <w:szCs w:val="20"/>
              </w:rPr>
              <w:t>Does offering human immunodeficiency virus testing at the time of blood donation reduce transfusion transmission risk and increase disclosure counseling? Results of a randomized controlled trial, São Paulo, Brazil.</w:t>
            </w:r>
          </w:p>
        </w:tc>
      </w:tr>
      <w:tr w:rsidR="008517F2" w:rsidRPr="004543D9" w14:paraId="6D8D37CC" w14:textId="77777777" w:rsidTr="008517F2">
        <w:trPr>
          <w:trHeight w:val="320"/>
          <w:jc w:val="center"/>
        </w:trPr>
        <w:tc>
          <w:tcPr>
            <w:tcW w:w="3420" w:type="dxa"/>
          </w:tcPr>
          <w:p w14:paraId="6BA7B6B0" w14:textId="77777777" w:rsidR="008517F2" w:rsidRPr="002A063A" w:rsidRDefault="008517F2" w:rsidP="008517F2">
            <w:pPr>
              <w:rPr>
                <w:color w:val="000000"/>
                <w:sz w:val="20"/>
                <w:szCs w:val="20"/>
              </w:rPr>
            </w:pPr>
            <w:r w:rsidRPr="002A063A">
              <w:rPr>
                <w:color w:val="000000"/>
                <w:sz w:val="20"/>
                <w:szCs w:val="20"/>
              </w:rPr>
              <w:t>Transfusion. 2015 Jun;55(6):1214-22. doi: 10.1111/trf.13009. Epub 2015 Feb 3.</w:t>
            </w:r>
          </w:p>
        </w:tc>
        <w:tc>
          <w:tcPr>
            <w:tcW w:w="4770" w:type="dxa"/>
          </w:tcPr>
          <w:p w14:paraId="1C185BFA" w14:textId="77777777" w:rsidR="008517F2" w:rsidRPr="002A063A" w:rsidRDefault="008517F2" w:rsidP="008517F2">
            <w:pPr>
              <w:rPr>
                <w:color w:val="000000"/>
                <w:sz w:val="20"/>
                <w:szCs w:val="20"/>
              </w:rPr>
            </w:pPr>
          </w:p>
        </w:tc>
      </w:tr>
      <w:tr w:rsidR="008517F2" w:rsidRPr="004543D9" w14:paraId="566635C5" w14:textId="77777777" w:rsidTr="008517F2">
        <w:trPr>
          <w:trHeight w:val="320"/>
          <w:jc w:val="center"/>
        </w:trPr>
        <w:tc>
          <w:tcPr>
            <w:tcW w:w="3420" w:type="dxa"/>
          </w:tcPr>
          <w:p w14:paraId="5DA26CDE" w14:textId="77777777" w:rsidR="008517F2" w:rsidRPr="002A063A" w:rsidRDefault="008517F2" w:rsidP="008517F2">
            <w:pPr>
              <w:rPr>
                <w:color w:val="000000"/>
                <w:sz w:val="20"/>
                <w:szCs w:val="20"/>
              </w:rPr>
            </w:pPr>
            <w:r w:rsidRPr="002A063A">
              <w:rPr>
                <w:color w:val="000000"/>
                <w:sz w:val="20"/>
                <w:szCs w:val="20"/>
              </w:rPr>
              <w:t>PMID: 25646883 Free PMC article. Clinical Trial.</w:t>
            </w:r>
          </w:p>
        </w:tc>
        <w:tc>
          <w:tcPr>
            <w:tcW w:w="4770" w:type="dxa"/>
          </w:tcPr>
          <w:p w14:paraId="3B375FE2" w14:textId="77777777" w:rsidR="008517F2" w:rsidRPr="002A063A" w:rsidRDefault="008517F2" w:rsidP="008517F2">
            <w:pPr>
              <w:rPr>
                <w:color w:val="000000"/>
                <w:sz w:val="20"/>
                <w:szCs w:val="20"/>
              </w:rPr>
            </w:pPr>
          </w:p>
        </w:tc>
      </w:tr>
      <w:tr w:rsidR="008517F2" w:rsidRPr="004543D9" w14:paraId="614A0C51" w14:textId="77777777" w:rsidTr="008517F2">
        <w:trPr>
          <w:trHeight w:val="320"/>
          <w:jc w:val="center"/>
        </w:trPr>
        <w:tc>
          <w:tcPr>
            <w:tcW w:w="3420" w:type="dxa"/>
          </w:tcPr>
          <w:p w14:paraId="2A29AA26"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B7136A5" w14:textId="77777777" w:rsidR="008517F2" w:rsidRPr="002A063A" w:rsidRDefault="008517F2" w:rsidP="008517F2">
            <w:pPr>
              <w:rPr>
                <w:color w:val="000000"/>
                <w:sz w:val="20"/>
                <w:szCs w:val="20"/>
              </w:rPr>
            </w:pPr>
          </w:p>
        </w:tc>
      </w:tr>
      <w:tr w:rsidR="008517F2" w:rsidRPr="007E15ED" w14:paraId="2A4FCF33" w14:textId="77777777" w:rsidTr="008517F2">
        <w:trPr>
          <w:trHeight w:val="320"/>
          <w:jc w:val="center"/>
        </w:trPr>
        <w:tc>
          <w:tcPr>
            <w:tcW w:w="3420" w:type="dxa"/>
          </w:tcPr>
          <w:p w14:paraId="70C757FD" w14:textId="77777777" w:rsidR="008517F2" w:rsidRPr="00124033" w:rsidRDefault="008517F2" w:rsidP="008517F2">
            <w:pPr>
              <w:rPr>
                <w:color w:val="000000"/>
                <w:sz w:val="20"/>
                <w:szCs w:val="20"/>
                <w:lang w:val="fr-FR"/>
              </w:rPr>
            </w:pPr>
            <w:r w:rsidRPr="00124033">
              <w:rPr>
                <w:color w:val="000000"/>
                <w:sz w:val="20"/>
                <w:szCs w:val="20"/>
                <w:lang w:val="fr-FR"/>
              </w:rPr>
              <w:t>Namkinga LA, Matee MI, Kivaisi AK, Moshiro C.</w:t>
            </w:r>
          </w:p>
        </w:tc>
        <w:tc>
          <w:tcPr>
            <w:tcW w:w="4770" w:type="dxa"/>
          </w:tcPr>
          <w:p w14:paraId="2A877993" w14:textId="77777777" w:rsidR="008517F2" w:rsidRPr="00124033" w:rsidRDefault="008517F2" w:rsidP="008517F2">
            <w:pPr>
              <w:rPr>
                <w:color w:val="000000"/>
                <w:sz w:val="20"/>
                <w:szCs w:val="20"/>
                <w:lang w:val="fr-FR"/>
              </w:rPr>
            </w:pPr>
            <w:r w:rsidRPr="00124033">
              <w:rPr>
                <w:color w:val="000000"/>
                <w:sz w:val="20"/>
                <w:szCs w:val="20"/>
                <w:lang w:val="fr-FR"/>
              </w:rPr>
              <w:t>Goncalez TT, Blatyta PF, Santos FM, Montebello S, Esposti SP, Hangai FN, Salles NA, Mendrone A, Truong HM, Sabino EC, McFarland W.</w:t>
            </w:r>
          </w:p>
        </w:tc>
      </w:tr>
      <w:tr w:rsidR="008517F2" w:rsidRPr="004543D9" w14:paraId="503167C0" w14:textId="77777777" w:rsidTr="008517F2">
        <w:trPr>
          <w:trHeight w:val="320"/>
          <w:jc w:val="center"/>
        </w:trPr>
        <w:tc>
          <w:tcPr>
            <w:tcW w:w="3420" w:type="dxa"/>
          </w:tcPr>
          <w:p w14:paraId="52CCA65A" w14:textId="77777777" w:rsidR="008517F2" w:rsidRPr="002A063A" w:rsidRDefault="008517F2" w:rsidP="008517F2">
            <w:pPr>
              <w:rPr>
                <w:color w:val="000000"/>
                <w:sz w:val="20"/>
                <w:szCs w:val="20"/>
              </w:rPr>
            </w:pPr>
            <w:r w:rsidRPr="002A063A">
              <w:rPr>
                <w:color w:val="000000"/>
                <w:sz w:val="20"/>
                <w:szCs w:val="20"/>
              </w:rPr>
              <w:t>East Afr Med J. 2005 Mar;82(3):138-43. doi: 10.4314/eamj.v82i3.9270.</w:t>
            </w:r>
          </w:p>
        </w:tc>
        <w:tc>
          <w:tcPr>
            <w:tcW w:w="4770" w:type="dxa"/>
          </w:tcPr>
          <w:p w14:paraId="1016A7D6" w14:textId="77777777" w:rsidR="008517F2" w:rsidRPr="002A063A" w:rsidRDefault="008517F2" w:rsidP="008517F2">
            <w:pPr>
              <w:rPr>
                <w:color w:val="000000"/>
                <w:sz w:val="20"/>
                <w:szCs w:val="20"/>
              </w:rPr>
            </w:pPr>
          </w:p>
        </w:tc>
      </w:tr>
      <w:tr w:rsidR="008517F2" w:rsidRPr="004543D9" w14:paraId="3048C5C8" w14:textId="77777777" w:rsidTr="008517F2">
        <w:trPr>
          <w:trHeight w:val="320"/>
          <w:jc w:val="center"/>
        </w:trPr>
        <w:tc>
          <w:tcPr>
            <w:tcW w:w="3420" w:type="dxa"/>
          </w:tcPr>
          <w:p w14:paraId="126614A2" w14:textId="77777777" w:rsidR="008517F2" w:rsidRPr="002A063A" w:rsidRDefault="008517F2" w:rsidP="008517F2">
            <w:pPr>
              <w:rPr>
                <w:color w:val="000000"/>
                <w:sz w:val="20"/>
                <w:szCs w:val="20"/>
              </w:rPr>
            </w:pPr>
            <w:r w:rsidRPr="002A063A">
              <w:rPr>
                <w:color w:val="000000"/>
                <w:sz w:val="20"/>
                <w:szCs w:val="20"/>
              </w:rPr>
              <w:t>PMID: 16122076</w:t>
            </w:r>
          </w:p>
        </w:tc>
        <w:tc>
          <w:tcPr>
            <w:tcW w:w="4770" w:type="dxa"/>
          </w:tcPr>
          <w:p w14:paraId="71324332" w14:textId="77777777" w:rsidR="008517F2" w:rsidRPr="002A063A" w:rsidRDefault="008517F2" w:rsidP="008517F2">
            <w:pPr>
              <w:rPr>
                <w:color w:val="000000"/>
                <w:sz w:val="20"/>
                <w:szCs w:val="20"/>
              </w:rPr>
            </w:pPr>
          </w:p>
        </w:tc>
      </w:tr>
      <w:tr w:rsidR="008517F2" w:rsidRPr="004543D9" w14:paraId="330A164D" w14:textId="77777777" w:rsidTr="008517F2">
        <w:trPr>
          <w:trHeight w:val="320"/>
          <w:jc w:val="center"/>
        </w:trPr>
        <w:tc>
          <w:tcPr>
            <w:tcW w:w="3420" w:type="dxa"/>
          </w:tcPr>
          <w:p w14:paraId="72D863CB"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7279504A" w14:textId="77777777" w:rsidR="008517F2" w:rsidRPr="002A063A" w:rsidRDefault="008517F2" w:rsidP="008517F2">
            <w:pPr>
              <w:rPr>
                <w:color w:val="000000"/>
                <w:sz w:val="20"/>
                <w:szCs w:val="20"/>
              </w:rPr>
            </w:pPr>
          </w:p>
        </w:tc>
      </w:tr>
      <w:tr w:rsidR="008517F2" w:rsidRPr="004543D9" w14:paraId="0E8B6B81" w14:textId="77777777" w:rsidTr="008517F2">
        <w:trPr>
          <w:trHeight w:val="320"/>
          <w:jc w:val="center"/>
        </w:trPr>
        <w:tc>
          <w:tcPr>
            <w:tcW w:w="3420" w:type="dxa"/>
          </w:tcPr>
          <w:p w14:paraId="250665B6" w14:textId="77777777" w:rsidR="008517F2" w:rsidRPr="002A063A" w:rsidRDefault="008517F2" w:rsidP="008517F2">
            <w:pPr>
              <w:rPr>
                <w:color w:val="000000"/>
                <w:sz w:val="20"/>
                <w:szCs w:val="20"/>
              </w:rPr>
            </w:pPr>
            <w:r w:rsidRPr="002A063A">
              <w:rPr>
                <w:color w:val="000000"/>
                <w:sz w:val="20"/>
                <w:szCs w:val="20"/>
              </w:rPr>
              <w:t>Fortenberry JD.</w:t>
            </w:r>
          </w:p>
        </w:tc>
        <w:tc>
          <w:tcPr>
            <w:tcW w:w="4770" w:type="dxa"/>
          </w:tcPr>
          <w:p w14:paraId="0178B383" w14:textId="77777777" w:rsidR="008517F2" w:rsidRPr="002A063A" w:rsidRDefault="008517F2" w:rsidP="008517F2">
            <w:pPr>
              <w:rPr>
                <w:color w:val="000000"/>
                <w:sz w:val="20"/>
                <w:szCs w:val="20"/>
              </w:rPr>
            </w:pPr>
            <w:r w:rsidRPr="002A063A">
              <w:rPr>
                <w:color w:val="000000"/>
                <w:sz w:val="20"/>
                <w:szCs w:val="20"/>
              </w:rPr>
              <w:t>Prevalence and risk factors for vaginal candidiasis among women seeking primary care for genital infections in Dar es Salaam, Tanzania.</w:t>
            </w:r>
          </w:p>
        </w:tc>
      </w:tr>
      <w:tr w:rsidR="008517F2" w:rsidRPr="004543D9" w14:paraId="55F815D9" w14:textId="77777777" w:rsidTr="008517F2">
        <w:trPr>
          <w:trHeight w:val="320"/>
          <w:jc w:val="center"/>
        </w:trPr>
        <w:tc>
          <w:tcPr>
            <w:tcW w:w="3420" w:type="dxa"/>
          </w:tcPr>
          <w:p w14:paraId="15A7EF36" w14:textId="77777777" w:rsidR="008517F2" w:rsidRPr="002A063A" w:rsidRDefault="008517F2" w:rsidP="008517F2">
            <w:pPr>
              <w:rPr>
                <w:color w:val="000000"/>
                <w:sz w:val="20"/>
                <w:szCs w:val="20"/>
              </w:rPr>
            </w:pPr>
            <w:r w:rsidRPr="002A063A">
              <w:rPr>
                <w:color w:val="000000"/>
                <w:sz w:val="20"/>
                <w:szCs w:val="20"/>
              </w:rPr>
              <w:t>Herpes. 2004 Apr;11(1):8-11.</w:t>
            </w:r>
          </w:p>
        </w:tc>
        <w:tc>
          <w:tcPr>
            <w:tcW w:w="4770" w:type="dxa"/>
          </w:tcPr>
          <w:p w14:paraId="6690A433" w14:textId="77777777" w:rsidR="008517F2" w:rsidRPr="002A063A" w:rsidRDefault="008517F2" w:rsidP="008517F2">
            <w:pPr>
              <w:rPr>
                <w:color w:val="000000"/>
                <w:sz w:val="20"/>
                <w:szCs w:val="20"/>
              </w:rPr>
            </w:pPr>
          </w:p>
        </w:tc>
      </w:tr>
      <w:tr w:rsidR="008517F2" w:rsidRPr="004543D9" w14:paraId="001263EC" w14:textId="77777777" w:rsidTr="008517F2">
        <w:trPr>
          <w:trHeight w:val="320"/>
          <w:jc w:val="center"/>
        </w:trPr>
        <w:tc>
          <w:tcPr>
            <w:tcW w:w="3420" w:type="dxa"/>
          </w:tcPr>
          <w:p w14:paraId="296B1BC5" w14:textId="77777777" w:rsidR="008517F2" w:rsidRPr="002A063A" w:rsidRDefault="008517F2" w:rsidP="008517F2">
            <w:pPr>
              <w:rPr>
                <w:color w:val="000000"/>
                <w:sz w:val="20"/>
                <w:szCs w:val="20"/>
              </w:rPr>
            </w:pPr>
            <w:r w:rsidRPr="002A063A">
              <w:rPr>
                <w:color w:val="000000"/>
                <w:sz w:val="20"/>
                <w:szCs w:val="20"/>
              </w:rPr>
              <w:t>PMID: 15115631 Review.</w:t>
            </w:r>
          </w:p>
        </w:tc>
        <w:tc>
          <w:tcPr>
            <w:tcW w:w="4770" w:type="dxa"/>
          </w:tcPr>
          <w:p w14:paraId="0D152AAA" w14:textId="77777777" w:rsidR="008517F2" w:rsidRPr="002A063A" w:rsidRDefault="008517F2" w:rsidP="008517F2">
            <w:pPr>
              <w:rPr>
                <w:color w:val="000000"/>
                <w:sz w:val="20"/>
                <w:szCs w:val="20"/>
              </w:rPr>
            </w:pPr>
          </w:p>
        </w:tc>
      </w:tr>
      <w:tr w:rsidR="008517F2" w:rsidRPr="004543D9" w14:paraId="49E106CA" w14:textId="77777777" w:rsidTr="008517F2">
        <w:trPr>
          <w:trHeight w:val="320"/>
          <w:jc w:val="center"/>
        </w:trPr>
        <w:tc>
          <w:tcPr>
            <w:tcW w:w="3420" w:type="dxa"/>
          </w:tcPr>
          <w:p w14:paraId="5C9015FF"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EA8B97F" w14:textId="77777777" w:rsidR="008517F2" w:rsidRPr="002A063A" w:rsidRDefault="008517F2" w:rsidP="008517F2">
            <w:pPr>
              <w:rPr>
                <w:color w:val="000000"/>
                <w:sz w:val="20"/>
                <w:szCs w:val="20"/>
              </w:rPr>
            </w:pPr>
          </w:p>
        </w:tc>
      </w:tr>
      <w:tr w:rsidR="008517F2" w:rsidRPr="004543D9" w14:paraId="013052B1" w14:textId="77777777" w:rsidTr="008517F2">
        <w:trPr>
          <w:trHeight w:val="320"/>
          <w:jc w:val="center"/>
        </w:trPr>
        <w:tc>
          <w:tcPr>
            <w:tcW w:w="3420" w:type="dxa"/>
          </w:tcPr>
          <w:p w14:paraId="58CE626D" w14:textId="77777777" w:rsidR="008517F2" w:rsidRPr="002A063A" w:rsidRDefault="008517F2" w:rsidP="008517F2">
            <w:pPr>
              <w:rPr>
                <w:color w:val="000000"/>
                <w:sz w:val="20"/>
                <w:szCs w:val="20"/>
              </w:rPr>
            </w:pPr>
            <w:r w:rsidRPr="002A063A">
              <w:rPr>
                <w:color w:val="000000"/>
                <w:sz w:val="20"/>
                <w:szCs w:val="20"/>
              </w:rPr>
              <w:t>Khan AA, Naghma-e-Rehan, Qayyum K, Khan A.</w:t>
            </w:r>
          </w:p>
        </w:tc>
        <w:tc>
          <w:tcPr>
            <w:tcW w:w="4770" w:type="dxa"/>
          </w:tcPr>
          <w:p w14:paraId="00A2D0C9" w14:textId="77777777" w:rsidR="008517F2" w:rsidRPr="002A063A" w:rsidRDefault="008517F2" w:rsidP="008517F2">
            <w:pPr>
              <w:rPr>
                <w:color w:val="000000"/>
                <w:sz w:val="20"/>
                <w:szCs w:val="20"/>
              </w:rPr>
            </w:pPr>
            <w:r w:rsidRPr="002A063A">
              <w:rPr>
                <w:color w:val="000000"/>
                <w:sz w:val="20"/>
                <w:szCs w:val="20"/>
              </w:rPr>
              <w:t>The effects of stigma on genital herpes care-seeking behaviours.</w:t>
            </w:r>
          </w:p>
        </w:tc>
      </w:tr>
      <w:tr w:rsidR="008517F2" w:rsidRPr="004543D9" w14:paraId="15926A7C" w14:textId="77777777" w:rsidTr="008517F2">
        <w:trPr>
          <w:trHeight w:val="320"/>
          <w:jc w:val="center"/>
        </w:trPr>
        <w:tc>
          <w:tcPr>
            <w:tcW w:w="3420" w:type="dxa"/>
          </w:tcPr>
          <w:p w14:paraId="35E0EF19" w14:textId="77777777" w:rsidR="008517F2" w:rsidRPr="002A063A" w:rsidRDefault="008517F2" w:rsidP="008517F2">
            <w:pPr>
              <w:rPr>
                <w:color w:val="000000"/>
                <w:sz w:val="20"/>
                <w:szCs w:val="20"/>
              </w:rPr>
            </w:pPr>
            <w:r w:rsidRPr="002A063A">
              <w:rPr>
                <w:color w:val="000000"/>
                <w:sz w:val="20"/>
                <w:szCs w:val="20"/>
              </w:rPr>
              <w:t>J Pak Med Assoc. 2009 Sep;59(9):628-30.</w:t>
            </w:r>
          </w:p>
        </w:tc>
        <w:tc>
          <w:tcPr>
            <w:tcW w:w="4770" w:type="dxa"/>
          </w:tcPr>
          <w:p w14:paraId="11416A29" w14:textId="77777777" w:rsidR="008517F2" w:rsidRPr="002A063A" w:rsidRDefault="008517F2" w:rsidP="008517F2">
            <w:pPr>
              <w:rPr>
                <w:color w:val="000000"/>
                <w:sz w:val="20"/>
                <w:szCs w:val="20"/>
              </w:rPr>
            </w:pPr>
          </w:p>
        </w:tc>
      </w:tr>
      <w:tr w:rsidR="008517F2" w:rsidRPr="004543D9" w14:paraId="4E07930D" w14:textId="77777777" w:rsidTr="008517F2">
        <w:trPr>
          <w:trHeight w:val="320"/>
          <w:jc w:val="center"/>
        </w:trPr>
        <w:tc>
          <w:tcPr>
            <w:tcW w:w="3420" w:type="dxa"/>
          </w:tcPr>
          <w:p w14:paraId="2D0BC461" w14:textId="77777777" w:rsidR="008517F2" w:rsidRPr="002A063A" w:rsidRDefault="008517F2" w:rsidP="008517F2">
            <w:pPr>
              <w:rPr>
                <w:color w:val="000000"/>
                <w:sz w:val="20"/>
                <w:szCs w:val="20"/>
              </w:rPr>
            </w:pPr>
            <w:r w:rsidRPr="002A063A">
              <w:rPr>
                <w:color w:val="000000"/>
                <w:sz w:val="20"/>
                <w:szCs w:val="20"/>
              </w:rPr>
              <w:t>PMID: 19750861</w:t>
            </w:r>
          </w:p>
        </w:tc>
        <w:tc>
          <w:tcPr>
            <w:tcW w:w="4770" w:type="dxa"/>
          </w:tcPr>
          <w:p w14:paraId="377992F5" w14:textId="77777777" w:rsidR="008517F2" w:rsidRPr="002A063A" w:rsidRDefault="008517F2" w:rsidP="008517F2">
            <w:pPr>
              <w:rPr>
                <w:color w:val="000000"/>
                <w:sz w:val="20"/>
                <w:szCs w:val="20"/>
              </w:rPr>
            </w:pPr>
          </w:p>
        </w:tc>
      </w:tr>
      <w:tr w:rsidR="008517F2" w:rsidRPr="004543D9" w14:paraId="36536CBB" w14:textId="77777777" w:rsidTr="008517F2">
        <w:trPr>
          <w:trHeight w:val="320"/>
          <w:jc w:val="center"/>
        </w:trPr>
        <w:tc>
          <w:tcPr>
            <w:tcW w:w="3420" w:type="dxa"/>
          </w:tcPr>
          <w:p w14:paraId="13A12F98"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29AB93D7" w14:textId="77777777" w:rsidR="008517F2" w:rsidRPr="002A063A" w:rsidRDefault="008517F2" w:rsidP="008517F2">
            <w:pPr>
              <w:rPr>
                <w:color w:val="000000"/>
                <w:sz w:val="20"/>
                <w:szCs w:val="20"/>
              </w:rPr>
            </w:pPr>
          </w:p>
        </w:tc>
      </w:tr>
      <w:tr w:rsidR="008517F2" w:rsidRPr="004543D9" w14:paraId="0A2A9748" w14:textId="77777777" w:rsidTr="008517F2">
        <w:trPr>
          <w:trHeight w:val="320"/>
          <w:jc w:val="center"/>
        </w:trPr>
        <w:tc>
          <w:tcPr>
            <w:tcW w:w="3420" w:type="dxa"/>
            <w:tcBorders>
              <w:bottom w:val="nil"/>
            </w:tcBorders>
          </w:tcPr>
          <w:p w14:paraId="397F22AB" w14:textId="77777777" w:rsidR="008517F2" w:rsidRPr="002A063A" w:rsidRDefault="008517F2" w:rsidP="008517F2">
            <w:pPr>
              <w:rPr>
                <w:color w:val="000000"/>
                <w:sz w:val="20"/>
                <w:szCs w:val="20"/>
              </w:rPr>
            </w:pPr>
            <w:r w:rsidRPr="002A063A">
              <w:rPr>
                <w:color w:val="000000"/>
                <w:sz w:val="20"/>
                <w:szCs w:val="20"/>
              </w:rPr>
              <w:t>Becker TM, Lee F, Daling JR, Nahmias AJ.</w:t>
            </w:r>
          </w:p>
        </w:tc>
        <w:tc>
          <w:tcPr>
            <w:tcW w:w="4770" w:type="dxa"/>
            <w:tcBorders>
              <w:bottom w:val="nil"/>
            </w:tcBorders>
          </w:tcPr>
          <w:p w14:paraId="5D61C0B4" w14:textId="77777777" w:rsidR="008517F2" w:rsidRPr="002A063A" w:rsidRDefault="008517F2" w:rsidP="008517F2">
            <w:pPr>
              <w:rPr>
                <w:color w:val="000000"/>
                <w:sz w:val="20"/>
                <w:szCs w:val="20"/>
              </w:rPr>
            </w:pPr>
            <w:r w:rsidRPr="002A063A">
              <w:rPr>
                <w:color w:val="000000"/>
                <w:sz w:val="20"/>
                <w:szCs w:val="20"/>
              </w:rPr>
              <w:t>Care seeking for STI symptoms in Pakistan.</w:t>
            </w:r>
          </w:p>
        </w:tc>
      </w:tr>
      <w:tr w:rsidR="008517F2" w:rsidRPr="004543D9" w14:paraId="02D40B4C" w14:textId="77777777" w:rsidTr="008517F2">
        <w:trPr>
          <w:trHeight w:val="320"/>
          <w:jc w:val="center"/>
        </w:trPr>
        <w:tc>
          <w:tcPr>
            <w:tcW w:w="8190" w:type="dxa"/>
            <w:gridSpan w:val="2"/>
            <w:tcBorders>
              <w:top w:val="nil"/>
            </w:tcBorders>
          </w:tcPr>
          <w:p w14:paraId="1EFA4920" w14:textId="77777777" w:rsidR="008517F2" w:rsidRPr="004543D9" w:rsidRDefault="008517F2" w:rsidP="008517F2">
            <w:pPr>
              <w:jc w:val="center"/>
              <w:rPr>
                <w:color w:val="000000"/>
                <w:sz w:val="20"/>
                <w:szCs w:val="20"/>
              </w:rPr>
            </w:pPr>
          </w:p>
        </w:tc>
      </w:tr>
      <w:tr w:rsidR="008517F2" w:rsidRPr="004543D9" w14:paraId="5D91CA93" w14:textId="77777777" w:rsidTr="008517F2">
        <w:trPr>
          <w:trHeight w:val="320"/>
          <w:jc w:val="center"/>
        </w:trPr>
        <w:tc>
          <w:tcPr>
            <w:tcW w:w="3420" w:type="dxa"/>
          </w:tcPr>
          <w:p w14:paraId="1BC21EB4" w14:textId="77777777" w:rsidR="008517F2" w:rsidRPr="002A063A" w:rsidRDefault="008517F2" w:rsidP="008517F2">
            <w:pPr>
              <w:rPr>
                <w:color w:val="000000"/>
                <w:sz w:val="20"/>
                <w:szCs w:val="20"/>
              </w:rPr>
            </w:pPr>
            <w:r w:rsidRPr="002A063A">
              <w:rPr>
                <w:color w:val="000000"/>
                <w:sz w:val="20"/>
                <w:szCs w:val="20"/>
              </w:rPr>
              <w:t>Sex Transm Dis. 1996 Mar-Apr;23(2):138-44. doi: 10.1097/00007435-199603000-00009.</w:t>
            </w:r>
          </w:p>
        </w:tc>
        <w:tc>
          <w:tcPr>
            <w:tcW w:w="4770" w:type="dxa"/>
          </w:tcPr>
          <w:p w14:paraId="0120ACCC" w14:textId="77777777" w:rsidR="008517F2" w:rsidRPr="002A063A" w:rsidRDefault="008517F2" w:rsidP="008517F2">
            <w:pPr>
              <w:rPr>
                <w:color w:val="000000"/>
                <w:sz w:val="20"/>
                <w:szCs w:val="20"/>
              </w:rPr>
            </w:pPr>
          </w:p>
        </w:tc>
      </w:tr>
      <w:tr w:rsidR="008517F2" w:rsidRPr="004543D9" w14:paraId="2D629814" w14:textId="77777777" w:rsidTr="008517F2">
        <w:trPr>
          <w:trHeight w:val="320"/>
          <w:jc w:val="center"/>
        </w:trPr>
        <w:tc>
          <w:tcPr>
            <w:tcW w:w="3420" w:type="dxa"/>
          </w:tcPr>
          <w:p w14:paraId="3D1559A6" w14:textId="77777777" w:rsidR="008517F2" w:rsidRPr="002A063A" w:rsidRDefault="008517F2" w:rsidP="008517F2">
            <w:pPr>
              <w:rPr>
                <w:color w:val="000000"/>
                <w:sz w:val="20"/>
                <w:szCs w:val="20"/>
              </w:rPr>
            </w:pPr>
            <w:r w:rsidRPr="002A063A">
              <w:rPr>
                <w:color w:val="000000"/>
                <w:sz w:val="20"/>
                <w:szCs w:val="20"/>
              </w:rPr>
              <w:t>PMID: 8919741</w:t>
            </w:r>
          </w:p>
        </w:tc>
        <w:tc>
          <w:tcPr>
            <w:tcW w:w="4770" w:type="dxa"/>
          </w:tcPr>
          <w:p w14:paraId="771CF7FD" w14:textId="77777777" w:rsidR="008517F2" w:rsidRPr="002A063A" w:rsidRDefault="008517F2" w:rsidP="008517F2">
            <w:pPr>
              <w:rPr>
                <w:color w:val="000000"/>
                <w:sz w:val="20"/>
                <w:szCs w:val="20"/>
              </w:rPr>
            </w:pPr>
          </w:p>
        </w:tc>
      </w:tr>
      <w:tr w:rsidR="008517F2" w:rsidRPr="004543D9" w14:paraId="6D6803C6" w14:textId="77777777" w:rsidTr="008517F2">
        <w:trPr>
          <w:trHeight w:val="320"/>
          <w:jc w:val="center"/>
        </w:trPr>
        <w:tc>
          <w:tcPr>
            <w:tcW w:w="3420" w:type="dxa"/>
          </w:tcPr>
          <w:p w14:paraId="3A70F1C9"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9F8808B" w14:textId="77777777" w:rsidR="008517F2" w:rsidRPr="002A063A" w:rsidRDefault="008517F2" w:rsidP="008517F2">
            <w:pPr>
              <w:rPr>
                <w:color w:val="000000"/>
                <w:sz w:val="20"/>
                <w:szCs w:val="20"/>
              </w:rPr>
            </w:pPr>
          </w:p>
        </w:tc>
      </w:tr>
      <w:tr w:rsidR="008517F2" w:rsidRPr="004543D9" w14:paraId="44FF1FDA" w14:textId="77777777" w:rsidTr="008517F2">
        <w:trPr>
          <w:trHeight w:val="320"/>
          <w:jc w:val="center"/>
        </w:trPr>
        <w:tc>
          <w:tcPr>
            <w:tcW w:w="3420" w:type="dxa"/>
          </w:tcPr>
          <w:p w14:paraId="4A65B45F" w14:textId="77777777" w:rsidR="008517F2" w:rsidRPr="002A063A" w:rsidRDefault="008517F2" w:rsidP="008517F2">
            <w:pPr>
              <w:rPr>
                <w:color w:val="000000"/>
                <w:sz w:val="20"/>
                <w:szCs w:val="20"/>
              </w:rPr>
            </w:pPr>
            <w:r w:rsidRPr="002A063A">
              <w:rPr>
                <w:color w:val="000000"/>
                <w:sz w:val="20"/>
                <w:szCs w:val="20"/>
              </w:rPr>
              <w:t>Richards J, Krantz E, Selke S, Wald A.</w:t>
            </w:r>
          </w:p>
        </w:tc>
        <w:tc>
          <w:tcPr>
            <w:tcW w:w="4770" w:type="dxa"/>
          </w:tcPr>
          <w:p w14:paraId="3AC57AA7" w14:textId="77777777" w:rsidR="008517F2" w:rsidRPr="002A063A" w:rsidRDefault="008517F2" w:rsidP="008517F2">
            <w:pPr>
              <w:rPr>
                <w:color w:val="000000"/>
                <w:sz w:val="20"/>
                <w:szCs w:val="20"/>
              </w:rPr>
            </w:pPr>
            <w:r w:rsidRPr="002A063A">
              <w:rPr>
                <w:color w:val="000000"/>
                <w:sz w:val="20"/>
                <w:szCs w:val="20"/>
              </w:rPr>
              <w:t>Seroprevalence of and risk factors for antibodies to herpes simplex viruses, hepatitis B, and hepatitis C among southwestern Hispanic and non-Hispanic white women.</w:t>
            </w:r>
          </w:p>
        </w:tc>
      </w:tr>
      <w:tr w:rsidR="008517F2" w:rsidRPr="004543D9" w14:paraId="128AC5A7" w14:textId="77777777" w:rsidTr="008517F2">
        <w:trPr>
          <w:trHeight w:val="320"/>
          <w:jc w:val="center"/>
        </w:trPr>
        <w:tc>
          <w:tcPr>
            <w:tcW w:w="3420" w:type="dxa"/>
          </w:tcPr>
          <w:p w14:paraId="0A75B71B" w14:textId="77777777" w:rsidR="008517F2" w:rsidRPr="002A063A" w:rsidRDefault="008517F2" w:rsidP="008517F2">
            <w:pPr>
              <w:rPr>
                <w:color w:val="000000"/>
                <w:sz w:val="20"/>
                <w:szCs w:val="20"/>
              </w:rPr>
            </w:pPr>
            <w:r w:rsidRPr="002A063A">
              <w:rPr>
                <w:color w:val="000000"/>
                <w:sz w:val="20"/>
                <w:szCs w:val="20"/>
              </w:rPr>
              <w:t>Sex Transm Dis. 2008 Dec;35(12):1015-21. doi: 10.1097/OLQ.0b013e318182a596.</w:t>
            </w:r>
          </w:p>
        </w:tc>
        <w:tc>
          <w:tcPr>
            <w:tcW w:w="4770" w:type="dxa"/>
          </w:tcPr>
          <w:p w14:paraId="60FE302B" w14:textId="77777777" w:rsidR="008517F2" w:rsidRPr="002A063A" w:rsidRDefault="008517F2" w:rsidP="008517F2">
            <w:pPr>
              <w:rPr>
                <w:color w:val="000000"/>
                <w:sz w:val="20"/>
                <w:szCs w:val="20"/>
              </w:rPr>
            </w:pPr>
          </w:p>
        </w:tc>
      </w:tr>
      <w:tr w:rsidR="008517F2" w:rsidRPr="004543D9" w14:paraId="6023B08E" w14:textId="77777777" w:rsidTr="008517F2">
        <w:trPr>
          <w:trHeight w:val="320"/>
          <w:jc w:val="center"/>
        </w:trPr>
        <w:tc>
          <w:tcPr>
            <w:tcW w:w="3420" w:type="dxa"/>
            <w:tcBorders>
              <w:bottom w:val="nil"/>
            </w:tcBorders>
          </w:tcPr>
          <w:p w14:paraId="70CD5DF3" w14:textId="77777777" w:rsidR="008517F2" w:rsidRPr="002A063A" w:rsidRDefault="008517F2" w:rsidP="008517F2">
            <w:pPr>
              <w:rPr>
                <w:color w:val="000000"/>
                <w:sz w:val="20"/>
                <w:szCs w:val="20"/>
              </w:rPr>
            </w:pPr>
            <w:r w:rsidRPr="002A063A">
              <w:rPr>
                <w:color w:val="000000"/>
                <w:sz w:val="20"/>
                <w:szCs w:val="20"/>
              </w:rPr>
              <w:t>PMID: 18685544 Free PMC article.</w:t>
            </w:r>
          </w:p>
        </w:tc>
        <w:tc>
          <w:tcPr>
            <w:tcW w:w="4770" w:type="dxa"/>
            <w:tcBorders>
              <w:bottom w:val="nil"/>
            </w:tcBorders>
          </w:tcPr>
          <w:p w14:paraId="119A1BA8" w14:textId="77777777" w:rsidR="008517F2" w:rsidRPr="002A063A" w:rsidRDefault="008517F2" w:rsidP="008517F2">
            <w:pPr>
              <w:rPr>
                <w:color w:val="000000"/>
                <w:sz w:val="20"/>
                <w:szCs w:val="20"/>
              </w:rPr>
            </w:pPr>
          </w:p>
        </w:tc>
      </w:tr>
      <w:tr w:rsidR="008517F2" w:rsidRPr="004543D9" w14:paraId="17D8665B" w14:textId="77777777" w:rsidTr="008517F2">
        <w:trPr>
          <w:trHeight w:val="320"/>
          <w:jc w:val="center"/>
        </w:trPr>
        <w:tc>
          <w:tcPr>
            <w:tcW w:w="3420" w:type="dxa"/>
          </w:tcPr>
          <w:p w14:paraId="0F954E1B" w14:textId="77777777" w:rsidR="008517F2" w:rsidRPr="002A063A" w:rsidRDefault="008517F2" w:rsidP="008517F2">
            <w:pPr>
              <w:rPr>
                <w:color w:val="000000"/>
                <w:sz w:val="20"/>
                <w:szCs w:val="20"/>
              </w:rPr>
            </w:pPr>
            <w:r w:rsidRPr="002A063A">
              <w:rPr>
                <w:color w:val="000000"/>
                <w:sz w:val="20"/>
                <w:szCs w:val="20"/>
              </w:rPr>
              <w:t>Shevlin E, Morrow RA.</w:t>
            </w:r>
          </w:p>
        </w:tc>
        <w:tc>
          <w:tcPr>
            <w:tcW w:w="4770" w:type="dxa"/>
          </w:tcPr>
          <w:p w14:paraId="6DE225FE" w14:textId="77777777" w:rsidR="008517F2" w:rsidRPr="002A063A" w:rsidRDefault="008517F2" w:rsidP="008517F2">
            <w:pPr>
              <w:rPr>
                <w:color w:val="000000"/>
                <w:sz w:val="20"/>
                <w:szCs w:val="20"/>
              </w:rPr>
            </w:pPr>
            <w:r w:rsidRPr="002A063A">
              <w:rPr>
                <w:color w:val="000000"/>
                <w:sz w:val="20"/>
                <w:szCs w:val="20"/>
              </w:rPr>
              <w:t>Healthcare seeking and sexual behavior among patients with symptomatic newly acquired genital herpes.</w:t>
            </w:r>
          </w:p>
        </w:tc>
      </w:tr>
      <w:tr w:rsidR="008517F2" w:rsidRPr="004543D9" w14:paraId="267A1379" w14:textId="77777777" w:rsidTr="008517F2">
        <w:trPr>
          <w:trHeight w:val="320"/>
          <w:jc w:val="center"/>
        </w:trPr>
        <w:tc>
          <w:tcPr>
            <w:tcW w:w="3420" w:type="dxa"/>
          </w:tcPr>
          <w:p w14:paraId="63DB65E2" w14:textId="77777777" w:rsidR="008517F2" w:rsidRPr="002A063A" w:rsidRDefault="008517F2" w:rsidP="008517F2">
            <w:pPr>
              <w:rPr>
                <w:color w:val="000000"/>
                <w:sz w:val="20"/>
                <w:szCs w:val="20"/>
              </w:rPr>
            </w:pPr>
            <w:r w:rsidRPr="00124033">
              <w:rPr>
                <w:color w:val="000000"/>
                <w:sz w:val="20"/>
                <w:szCs w:val="20"/>
                <w:lang w:val="fr-FR"/>
              </w:rPr>
              <w:t xml:space="preserve">J Clin Virol. 2014 Nov;61(3):378-81. doi: 10.1016/j.jcv.2014.08.012. </w:t>
            </w:r>
            <w:r w:rsidRPr="002A063A">
              <w:rPr>
                <w:color w:val="000000"/>
                <w:sz w:val="20"/>
                <w:szCs w:val="20"/>
              </w:rPr>
              <w:t>Epub 2014 Aug 27.</w:t>
            </w:r>
          </w:p>
        </w:tc>
        <w:tc>
          <w:tcPr>
            <w:tcW w:w="4770" w:type="dxa"/>
          </w:tcPr>
          <w:p w14:paraId="72E06B1C" w14:textId="77777777" w:rsidR="008517F2" w:rsidRPr="002A063A" w:rsidRDefault="008517F2" w:rsidP="008517F2">
            <w:pPr>
              <w:rPr>
                <w:color w:val="000000"/>
                <w:sz w:val="20"/>
                <w:szCs w:val="20"/>
              </w:rPr>
            </w:pPr>
          </w:p>
        </w:tc>
      </w:tr>
      <w:tr w:rsidR="008517F2" w:rsidRPr="004543D9" w14:paraId="10E1C20C" w14:textId="77777777" w:rsidTr="008517F2">
        <w:trPr>
          <w:trHeight w:val="320"/>
          <w:jc w:val="center"/>
        </w:trPr>
        <w:tc>
          <w:tcPr>
            <w:tcW w:w="3420" w:type="dxa"/>
          </w:tcPr>
          <w:p w14:paraId="3449DE00" w14:textId="77777777" w:rsidR="008517F2" w:rsidRPr="002A063A" w:rsidRDefault="008517F2" w:rsidP="008517F2">
            <w:pPr>
              <w:rPr>
                <w:color w:val="000000"/>
                <w:sz w:val="20"/>
                <w:szCs w:val="20"/>
              </w:rPr>
            </w:pPr>
            <w:r w:rsidRPr="002A063A">
              <w:rPr>
                <w:color w:val="000000"/>
                <w:sz w:val="20"/>
                <w:szCs w:val="20"/>
              </w:rPr>
              <w:t>PMID: 25200648 Free PMC article.</w:t>
            </w:r>
          </w:p>
        </w:tc>
        <w:tc>
          <w:tcPr>
            <w:tcW w:w="4770" w:type="dxa"/>
          </w:tcPr>
          <w:p w14:paraId="10D68610" w14:textId="77777777" w:rsidR="008517F2" w:rsidRPr="002A063A" w:rsidRDefault="008517F2" w:rsidP="008517F2">
            <w:pPr>
              <w:rPr>
                <w:color w:val="000000"/>
                <w:sz w:val="20"/>
                <w:szCs w:val="20"/>
              </w:rPr>
            </w:pPr>
          </w:p>
        </w:tc>
      </w:tr>
      <w:tr w:rsidR="008517F2" w:rsidRPr="004543D9" w14:paraId="616801DA" w14:textId="77777777" w:rsidTr="008517F2">
        <w:trPr>
          <w:trHeight w:val="320"/>
          <w:jc w:val="center"/>
        </w:trPr>
        <w:tc>
          <w:tcPr>
            <w:tcW w:w="3420" w:type="dxa"/>
          </w:tcPr>
          <w:p w14:paraId="3FDDFC9C"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4230B3A1" w14:textId="77777777" w:rsidR="008517F2" w:rsidRPr="002A063A" w:rsidRDefault="008517F2" w:rsidP="008517F2">
            <w:pPr>
              <w:rPr>
                <w:color w:val="000000"/>
                <w:sz w:val="20"/>
                <w:szCs w:val="20"/>
              </w:rPr>
            </w:pPr>
          </w:p>
        </w:tc>
      </w:tr>
      <w:tr w:rsidR="008517F2" w:rsidRPr="004543D9" w14:paraId="1D9113AA" w14:textId="77777777" w:rsidTr="008517F2">
        <w:trPr>
          <w:trHeight w:val="320"/>
          <w:jc w:val="center"/>
        </w:trPr>
        <w:tc>
          <w:tcPr>
            <w:tcW w:w="3420" w:type="dxa"/>
          </w:tcPr>
          <w:p w14:paraId="6E1BE448" w14:textId="77777777" w:rsidR="008517F2" w:rsidRPr="002A063A" w:rsidRDefault="008517F2" w:rsidP="008517F2">
            <w:pPr>
              <w:rPr>
                <w:color w:val="000000"/>
                <w:sz w:val="20"/>
                <w:szCs w:val="20"/>
              </w:rPr>
            </w:pPr>
            <w:r w:rsidRPr="002A063A">
              <w:rPr>
                <w:color w:val="000000"/>
                <w:sz w:val="20"/>
                <w:szCs w:val="20"/>
              </w:rPr>
              <w:t>Makasa M, Fylkesnes K, Sandøy IF.</w:t>
            </w:r>
          </w:p>
        </w:tc>
        <w:tc>
          <w:tcPr>
            <w:tcW w:w="4770" w:type="dxa"/>
          </w:tcPr>
          <w:p w14:paraId="3F118110" w14:textId="77777777" w:rsidR="008517F2" w:rsidRPr="002A063A" w:rsidRDefault="008517F2" w:rsidP="008517F2">
            <w:pPr>
              <w:rPr>
                <w:color w:val="000000"/>
                <w:sz w:val="20"/>
                <w:szCs w:val="20"/>
              </w:rPr>
            </w:pPr>
            <w:r w:rsidRPr="002A063A">
              <w:rPr>
                <w:color w:val="000000"/>
                <w:sz w:val="20"/>
                <w:szCs w:val="20"/>
              </w:rPr>
              <w:t>Comparative performance of the Uni-Gold™ HSV-2 Rapid: a point-of-care HSV-2 diagnostic test in unselected sera from a reference laboratory.</w:t>
            </w:r>
          </w:p>
        </w:tc>
      </w:tr>
      <w:tr w:rsidR="008517F2" w:rsidRPr="004543D9" w14:paraId="2E44AA88" w14:textId="77777777" w:rsidTr="008517F2">
        <w:trPr>
          <w:trHeight w:val="320"/>
          <w:jc w:val="center"/>
        </w:trPr>
        <w:tc>
          <w:tcPr>
            <w:tcW w:w="3420" w:type="dxa"/>
          </w:tcPr>
          <w:p w14:paraId="61AC13DB" w14:textId="77777777" w:rsidR="008517F2" w:rsidRPr="002A063A" w:rsidRDefault="008517F2" w:rsidP="008517F2">
            <w:pPr>
              <w:rPr>
                <w:color w:val="000000"/>
                <w:sz w:val="20"/>
                <w:szCs w:val="20"/>
              </w:rPr>
            </w:pPr>
            <w:r w:rsidRPr="002A063A">
              <w:rPr>
                <w:color w:val="000000"/>
                <w:sz w:val="20"/>
                <w:szCs w:val="20"/>
              </w:rPr>
              <w:t>BMC Public Health. 2012 Jun 6;12:407. doi: 10.1186/1471-2458-12-407.</w:t>
            </w:r>
          </w:p>
        </w:tc>
        <w:tc>
          <w:tcPr>
            <w:tcW w:w="4770" w:type="dxa"/>
          </w:tcPr>
          <w:p w14:paraId="2182B41E" w14:textId="77777777" w:rsidR="008517F2" w:rsidRPr="002A063A" w:rsidRDefault="008517F2" w:rsidP="008517F2">
            <w:pPr>
              <w:rPr>
                <w:color w:val="000000"/>
                <w:sz w:val="20"/>
                <w:szCs w:val="20"/>
              </w:rPr>
            </w:pPr>
          </w:p>
        </w:tc>
      </w:tr>
      <w:tr w:rsidR="008517F2" w:rsidRPr="004543D9" w14:paraId="3B4F7205" w14:textId="77777777" w:rsidTr="008517F2">
        <w:trPr>
          <w:trHeight w:val="320"/>
          <w:jc w:val="center"/>
        </w:trPr>
        <w:tc>
          <w:tcPr>
            <w:tcW w:w="3420" w:type="dxa"/>
          </w:tcPr>
          <w:p w14:paraId="1B4EEFC3" w14:textId="77777777" w:rsidR="008517F2" w:rsidRPr="002A063A" w:rsidRDefault="008517F2" w:rsidP="008517F2">
            <w:pPr>
              <w:rPr>
                <w:color w:val="000000"/>
                <w:sz w:val="20"/>
                <w:szCs w:val="20"/>
              </w:rPr>
            </w:pPr>
            <w:r w:rsidRPr="002A063A">
              <w:rPr>
                <w:color w:val="000000"/>
                <w:sz w:val="20"/>
                <w:szCs w:val="20"/>
              </w:rPr>
              <w:t>PMID: 22672697 Free PMC article.</w:t>
            </w:r>
          </w:p>
        </w:tc>
        <w:tc>
          <w:tcPr>
            <w:tcW w:w="4770" w:type="dxa"/>
          </w:tcPr>
          <w:p w14:paraId="3E50C2D6" w14:textId="77777777" w:rsidR="008517F2" w:rsidRPr="002A063A" w:rsidRDefault="008517F2" w:rsidP="008517F2">
            <w:pPr>
              <w:rPr>
                <w:color w:val="000000"/>
                <w:sz w:val="20"/>
                <w:szCs w:val="20"/>
              </w:rPr>
            </w:pPr>
          </w:p>
        </w:tc>
      </w:tr>
      <w:tr w:rsidR="008517F2" w:rsidRPr="004543D9" w14:paraId="5F61A13E" w14:textId="77777777" w:rsidTr="008517F2">
        <w:trPr>
          <w:trHeight w:val="320"/>
          <w:jc w:val="center"/>
        </w:trPr>
        <w:tc>
          <w:tcPr>
            <w:tcW w:w="3420" w:type="dxa"/>
          </w:tcPr>
          <w:p w14:paraId="71D60154"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39FDF9B7" w14:textId="77777777" w:rsidR="008517F2" w:rsidRPr="002A063A" w:rsidRDefault="008517F2" w:rsidP="008517F2">
            <w:pPr>
              <w:rPr>
                <w:color w:val="000000"/>
                <w:sz w:val="20"/>
                <w:szCs w:val="20"/>
              </w:rPr>
            </w:pPr>
          </w:p>
        </w:tc>
      </w:tr>
      <w:tr w:rsidR="008517F2" w:rsidRPr="004543D9" w14:paraId="4E46EDA3" w14:textId="77777777" w:rsidTr="008517F2">
        <w:trPr>
          <w:trHeight w:val="320"/>
          <w:jc w:val="center"/>
        </w:trPr>
        <w:tc>
          <w:tcPr>
            <w:tcW w:w="3420" w:type="dxa"/>
          </w:tcPr>
          <w:p w14:paraId="3F73B777" w14:textId="77777777" w:rsidR="008517F2" w:rsidRPr="002A063A" w:rsidRDefault="008517F2" w:rsidP="008517F2">
            <w:pPr>
              <w:rPr>
                <w:color w:val="000000"/>
                <w:sz w:val="20"/>
                <w:szCs w:val="20"/>
              </w:rPr>
            </w:pPr>
            <w:r w:rsidRPr="002A063A">
              <w:rPr>
                <w:color w:val="000000"/>
                <w:sz w:val="20"/>
                <w:szCs w:val="20"/>
              </w:rPr>
              <w:t>Donovan B.</w:t>
            </w:r>
          </w:p>
        </w:tc>
        <w:tc>
          <w:tcPr>
            <w:tcW w:w="4770" w:type="dxa"/>
          </w:tcPr>
          <w:p w14:paraId="5552384E" w14:textId="77777777" w:rsidR="008517F2" w:rsidRPr="002A063A" w:rsidRDefault="008517F2" w:rsidP="008517F2">
            <w:pPr>
              <w:rPr>
                <w:color w:val="000000"/>
                <w:sz w:val="20"/>
                <w:szCs w:val="20"/>
              </w:rPr>
            </w:pPr>
            <w:r w:rsidRPr="002A063A">
              <w:rPr>
                <w:color w:val="000000"/>
                <w:sz w:val="20"/>
                <w:szCs w:val="20"/>
              </w:rPr>
              <w:t>Risk factors, healthcare-seeking and sexual behaviour among patients with genital ulcers in Zambia.</w:t>
            </w:r>
          </w:p>
        </w:tc>
      </w:tr>
      <w:tr w:rsidR="008517F2" w:rsidRPr="004543D9" w14:paraId="3DF5BD81" w14:textId="77777777" w:rsidTr="008517F2">
        <w:trPr>
          <w:trHeight w:val="320"/>
          <w:jc w:val="center"/>
        </w:trPr>
        <w:tc>
          <w:tcPr>
            <w:tcW w:w="3420" w:type="dxa"/>
          </w:tcPr>
          <w:p w14:paraId="1217763C" w14:textId="77777777" w:rsidR="008517F2" w:rsidRPr="002A063A" w:rsidRDefault="008517F2" w:rsidP="008517F2">
            <w:pPr>
              <w:rPr>
                <w:color w:val="000000"/>
                <w:sz w:val="20"/>
                <w:szCs w:val="20"/>
              </w:rPr>
            </w:pPr>
            <w:r w:rsidRPr="002A063A">
              <w:rPr>
                <w:color w:val="000000"/>
                <w:sz w:val="20"/>
                <w:szCs w:val="20"/>
              </w:rPr>
              <w:t>Lancet. 2004 Feb 14;363(9408):545-56. doi: 10.1016/S0140-6736(04)15543-8.</w:t>
            </w:r>
          </w:p>
        </w:tc>
        <w:tc>
          <w:tcPr>
            <w:tcW w:w="4770" w:type="dxa"/>
          </w:tcPr>
          <w:p w14:paraId="291FA47B" w14:textId="77777777" w:rsidR="008517F2" w:rsidRPr="002A063A" w:rsidRDefault="008517F2" w:rsidP="008517F2">
            <w:pPr>
              <w:rPr>
                <w:color w:val="000000"/>
                <w:sz w:val="20"/>
                <w:szCs w:val="20"/>
              </w:rPr>
            </w:pPr>
          </w:p>
        </w:tc>
      </w:tr>
      <w:tr w:rsidR="008517F2" w:rsidRPr="004543D9" w14:paraId="554B8645" w14:textId="77777777" w:rsidTr="008517F2">
        <w:trPr>
          <w:trHeight w:val="320"/>
          <w:jc w:val="center"/>
        </w:trPr>
        <w:tc>
          <w:tcPr>
            <w:tcW w:w="3420" w:type="dxa"/>
          </w:tcPr>
          <w:p w14:paraId="1773C7E5" w14:textId="77777777" w:rsidR="008517F2" w:rsidRPr="002A063A" w:rsidRDefault="008517F2" w:rsidP="008517F2">
            <w:pPr>
              <w:rPr>
                <w:color w:val="000000"/>
                <w:sz w:val="20"/>
                <w:szCs w:val="20"/>
              </w:rPr>
            </w:pPr>
            <w:r w:rsidRPr="002A063A">
              <w:rPr>
                <w:color w:val="000000"/>
                <w:sz w:val="20"/>
                <w:szCs w:val="20"/>
              </w:rPr>
              <w:t>PMID: 14975619 Review.</w:t>
            </w:r>
          </w:p>
        </w:tc>
        <w:tc>
          <w:tcPr>
            <w:tcW w:w="4770" w:type="dxa"/>
          </w:tcPr>
          <w:p w14:paraId="4FC86159" w14:textId="77777777" w:rsidR="008517F2" w:rsidRPr="002A063A" w:rsidRDefault="008517F2" w:rsidP="008517F2">
            <w:pPr>
              <w:rPr>
                <w:color w:val="000000"/>
                <w:sz w:val="20"/>
                <w:szCs w:val="20"/>
              </w:rPr>
            </w:pPr>
          </w:p>
        </w:tc>
      </w:tr>
      <w:tr w:rsidR="008517F2" w:rsidRPr="004543D9" w14:paraId="4A11B163" w14:textId="77777777" w:rsidTr="008517F2">
        <w:trPr>
          <w:trHeight w:val="320"/>
          <w:jc w:val="center"/>
        </w:trPr>
        <w:tc>
          <w:tcPr>
            <w:tcW w:w="3420" w:type="dxa"/>
          </w:tcPr>
          <w:p w14:paraId="4D6AF755"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B9F51CC" w14:textId="77777777" w:rsidR="008517F2" w:rsidRPr="002A063A" w:rsidRDefault="008517F2" w:rsidP="008517F2">
            <w:pPr>
              <w:rPr>
                <w:color w:val="000000"/>
                <w:sz w:val="20"/>
                <w:szCs w:val="20"/>
              </w:rPr>
            </w:pPr>
          </w:p>
        </w:tc>
      </w:tr>
      <w:tr w:rsidR="008517F2" w:rsidRPr="004543D9" w14:paraId="20E7E54A" w14:textId="77777777" w:rsidTr="008517F2">
        <w:trPr>
          <w:trHeight w:val="320"/>
          <w:jc w:val="center"/>
        </w:trPr>
        <w:tc>
          <w:tcPr>
            <w:tcW w:w="3420" w:type="dxa"/>
            <w:tcBorders>
              <w:bottom w:val="nil"/>
            </w:tcBorders>
          </w:tcPr>
          <w:p w14:paraId="23CEF83C" w14:textId="77777777" w:rsidR="008517F2" w:rsidRPr="002A063A" w:rsidRDefault="008517F2" w:rsidP="008517F2">
            <w:pPr>
              <w:rPr>
                <w:color w:val="000000"/>
                <w:sz w:val="20"/>
                <w:szCs w:val="20"/>
              </w:rPr>
            </w:pPr>
            <w:r w:rsidRPr="002A063A">
              <w:rPr>
                <w:color w:val="000000"/>
                <w:sz w:val="20"/>
                <w:szCs w:val="20"/>
              </w:rPr>
              <w:t>Charoenwatanachokchai A, Marin N, Phonrat B, Dhitavat J.</w:t>
            </w:r>
          </w:p>
        </w:tc>
        <w:tc>
          <w:tcPr>
            <w:tcW w:w="4770" w:type="dxa"/>
            <w:tcBorders>
              <w:bottom w:val="nil"/>
            </w:tcBorders>
          </w:tcPr>
          <w:p w14:paraId="5615E465" w14:textId="77777777" w:rsidR="008517F2" w:rsidRPr="002A063A" w:rsidRDefault="008517F2" w:rsidP="008517F2">
            <w:pPr>
              <w:rPr>
                <w:color w:val="000000"/>
                <w:sz w:val="20"/>
                <w:szCs w:val="20"/>
              </w:rPr>
            </w:pPr>
            <w:r w:rsidRPr="002A063A">
              <w:rPr>
                <w:color w:val="000000"/>
                <w:sz w:val="20"/>
                <w:szCs w:val="20"/>
              </w:rPr>
              <w:t>Sexually transmissible infections other than HIV.</w:t>
            </w:r>
          </w:p>
        </w:tc>
      </w:tr>
      <w:tr w:rsidR="008517F2" w:rsidRPr="004543D9" w14:paraId="6074435E" w14:textId="77777777" w:rsidTr="008517F2">
        <w:trPr>
          <w:trHeight w:val="320"/>
          <w:jc w:val="center"/>
        </w:trPr>
        <w:tc>
          <w:tcPr>
            <w:tcW w:w="8190" w:type="dxa"/>
            <w:gridSpan w:val="2"/>
            <w:tcBorders>
              <w:top w:val="nil"/>
            </w:tcBorders>
          </w:tcPr>
          <w:p w14:paraId="7B53FF40" w14:textId="77777777" w:rsidR="008517F2" w:rsidRPr="004543D9" w:rsidRDefault="008517F2" w:rsidP="008517F2">
            <w:pPr>
              <w:rPr>
                <w:color w:val="000000"/>
                <w:sz w:val="20"/>
                <w:szCs w:val="20"/>
              </w:rPr>
            </w:pPr>
          </w:p>
        </w:tc>
      </w:tr>
      <w:tr w:rsidR="008517F2" w:rsidRPr="004543D9" w14:paraId="08BF1BC8" w14:textId="77777777" w:rsidTr="008517F2">
        <w:trPr>
          <w:trHeight w:val="320"/>
          <w:jc w:val="center"/>
        </w:trPr>
        <w:tc>
          <w:tcPr>
            <w:tcW w:w="3420" w:type="dxa"/>
          </w:tcPr>
          <w:p w14:paraId="67495692" w14:textId="77777777" w:rsidR="008517F2" w:rsidRPr="002A063A" w:rsidRDefault="008517F2" w:rsidP="008517F2">
            <w:pPr>
              <w:rPr>
                <w:color w:val="000000"/>
                <w:sz w:val="20"/>
                <w:szCs w:val="20"/>
              </w:rPr>
            </w:pPr>
            <w:r w:rsidRPr="002A063A">
              <w:rPr>
                <w:color w:val="000000"/>
                <w:sz w:val="20"/>
                <w:szCs w:val="20"/>
              </w:rPr>
              <w:t>Southeast Asian J Trop Med Public Health. 2017 Mar;48(2):367-75.</w:t>
            </w:r>
          </w:p>
        </w:tc>
        <w:tc>
          <w:tcPr>
            <w:tcW w:w="4770" w:type="dxa"/>
          </w:tcPr>
          <w:p w14:paraId="038B0EB0" w14:textId="77777777" w:rsidR="008517F2" w:rsidRPr="002A063A" w:rsidRDefault="008517F2" w:rsidP="008517F2">
            <w:pPr>
              <w:rPr>
                <w:color w:val="000000"/>
                <w:sz w:val="20"/>
                <w:szCs w:val="20"/>
              </w:rPr>
            </w:pPr>
          </w:p>
        </w:tc>
      </w:tr>
      <w:tr w:rsidR="008517F2" w:rsidRPr="004543D9" w14:paraId="1C60D5C5" w14:textId="77777777" w:rsidTr="008517F2">
        <w:trPr>
          <w:trHeight w:val="320"/>
          <w:jc w:val="center"/>
        </w:trPr>
        <w:tc>
          <w:tcPr>
            <w:tcW w:w="3420" w:type="dxa"/>
          </w:tcPr>
          <w:p w14:paraId="269970B8" w14:textId="77777777" w:rsidR="008517F2" w:rsidRPr="002A063A" w:rsidRDefault="008517F2" w:rsidP="008517F2">
            <w:pPr>
              <w:rPr>
                <w:color w:val="000000"/>
                <w:sz w:val="20"/>
                <w:szCs w:val="20"/>
              </w:rPr>
            </w:pPr>
            <w:r w:rsidRPr="002A063A">
              <w:rPr>
                <w:color w:val="000000"/>
                <w:sz w:val="20"/>
                <w:szCs w:val="20"/>
              </w:rPr>
              <w:t>PMID: 29642299</w:t>
            </w:r>
          </w:p>
        </w:tc>
        <w:tc>
          <w:tcPr>
            <w:tcW w:w="4770" w:type="dxa"/>
          </w:tcPr>
          <w:p w14:paraId="67860AFF" w14:textId="77777777" w:rsidR="008517F2" w:rsidRPr="002A063A" w:rsidRDefault="008517F2" w:rsidP="008517F2">
            <w:pPr>
              <w:rPr>
                <w:color w:val="000000"/>
                <w:sz w:val="20"/>
                <w:szCs w:val="20"/>
              </w:rPr>
            </w:pPr>
          </w:p>
        </w:tc>
      </w:tr>
      <w:tr w:rsidR="008517F2" w:rsidRPr="004543D9" w14:paraId="5375977C" w14:textId="77777777" w:rsidTr="008517F2">
        <w:trPr>
          <w:trHeight w:val="320"/>
          <w:jc w:val="center"/>
        </w:trPr>
        <w:tc>
          <w:tcPr>
            <w:tcW w:w="3420" w:type="dxa"/>
          </w:tcPr>
          <w:p w14:paraId="49F5A714"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7017932A" w14:textId="77777777" w:rsidR="008517F2" w:rsidRPr="002A063A" w:rsidRDefault="008517F2" w:rsidP="008517F2">
            <w:pPr>
              <w:rPr>
                <w:color w:val="000000"/>
                <w:sz w:val="20"/>
                <w:szCs w:val="20"/>
              </w:rPr>
            </w:pPr>
          </w:p>
        </w:tc>
      </w:tr>
      <w:tr w:rsidR="008517F2" w:rsidRPr="004543D9" w14:paraId="551D88CC" w14:textId="77777777" w:rsidTr="008517F2">
        <w:trPr>
          <w:trHeight w:val="320"/>
          <w:jc w:val="center"/>
        </w:trPr>
        <w:tc>
          <w:tcPr>
            <w:tcW w:w="3420" w:type="dxa"/>
          </w:tcPr>
          <w:p w14:paraId="6141592B" w14:textId="77777777" w:rsidR="008517F2" w:rsidRPr="00124033" w:rsidRDefault="008517F2" w:rsidP="008517F2">
            <w:pPr>
              <w:rPr>
                <w:color w:val="000000"/>
                <w:sz w:val="20"/>
                <w:szCs w:val="20"/>
                <w:lang w:val="fr-FR"/>
              </w:rPr>
            </w:pPr>
            <w:r w:rsidRPr="00124033">
              <w:rPr>
                <w:color w:val="000000"/>
                <w:sz w:val="20"/>
                <w:szCs w:val="20"/>
                <w:lang w:val="fr-FR"/>
              </w:rPr>
              <w:t>Ross SE, Carter B, Lambert S.</w:t>
            </w:r>
          </w:p>
        </w:tc>
        <w:tc>
          <w:tcPr>
            <w:tcW w:w="4770" w:type="dxa"/>
          </w:tcPr>
          <w:p w14:paraId="2306C0C2" w14:textId="77777777" w:rsidR="008517F2" w:rsidRPr="002A063A" w:rsidRDefault="008517F2" w:rsidP="008517F2">
            <w:pPr>
              <w:rPr>
                <w:color w:val="000000"/>
                <w:sz w:val="20"/>
                <w:szCs w:val="20"/>
              </w:rPr>
            </w:pPr>
            <w:r w:rsidRPr="002A063A">
              <w:rPr>
                <w:color w:val="000000"/>
                <w:sz w:val="20"/>
                <w:szCs w:val="20"/>
              </w:rPr>
              <w:t>Partner Notification Outcomes among Male Gonorrhea Patients at Bangrak Hospital, Bangkok, Thailand.</w:t>
            </w:r>
          </w:p>
        </w:tc>
      </w:tr>
      <w:tr w:rsidR="008517F2" w:rsidRPr="004543D9" w14:paraId="65D76112" w14:textId="77777777" w:rsidTr="008517F2">
        <w:trPr>
          <w:trHeight w:val="320"/>
          <w:jc w:val="center"/>
        </w:trPr>
        <w:tc>
          <w:tcPr>
            <w:tcW w:w="3420" w:type="dxa"/>
          </w:tcPr>
          <w:p w14:paraId="6915EE65" w14:textId="77777777" w:rsidR="008517F2" w:rsidRPr="002A063A" w:rsidRDefault="008517F2" w:rsidP="008517F2">
            <w:pPr>
              <w:rPr>
                <w:color w:val="000000"/>
                <w:sz w:val="20"/>
                <w:szCs w:val="20"/>
              </w:rPr>
            </w:pPr>
            <w:r w:rsidRPr="002A063A">
              <w:rPr>
                <w:color w:val="000000"/>
                <w:sz w:val="20"/>
                <w:szCs w:val="20"/>
              </w:rPr>
              <w:t>Herpes. 2009 Jan;15(3):46-50.</w:t>
            </w:r>
          </w:p>
        </w:tc>
        <w:tc>
          <w:tcPr>
            <w:tcW w:w="4770" w:type="dxa"/>
          </w:tcPr>
          <w:p w14:paraId="0967954D" w14:textId="77777777" w:rsidR="008517F2" w:rsidRPr="002A063A" w:rsidRDefault="008517F2" w:rsidP="008517F2">
            <w:pPr>
              <w:rPr>
                <w:color w:val="000000"/>
                <w:sz w:val="20"/>
                <w:szCs w:val="20"/>
              </w:rPr>
            </w:pPr>
          </w:p>
        </w:tc>
      </w:tr>
      <w:tr w:rsidR="008517F2" w:rsidRPr="004543D9" w14:paraId="4563E2F1" w14:textId="77777777" w:rsidTr="008517F2">
        <w:trPr>
          <w:trHeight w:val="320"/>
          <w:jc w:val="center"/>
        </w:trPr>
        <w:tc>
          <w:tcPr>
            <w:tcW w:w="3420" w:type="dxa"/>
          </w:tcPr>
          <w:p w14:paraId="12B3CEED" w14:textId="77777777" w:rsidR="008517F2" w:rsidRPr="002A063A" w:rsidRDefault="008517F2" w:rsidP="008517F2">
            <w:pPr>
              <w:rPr>
                <w:color w:val="000000"/>
                <w:sz w:val="20"/>
                <w:szCs w:val="20"/>
              </w:rPr>
            </w:pPr>
            <w:r w:rsidRPr="002A063A">
              <w:rPr>
                <w:color w:val="000000"/>
                <w:sz w:val="20"/>
                <w:szCs w:val="20"/>
              </w:rPr>
              <w:t>PMID: 19306602</w:t>
            </w:r>
          </w:p>
        </w:tc>
        <w:tc>
          <w:tcPr>
            <w:tcW w:w="4770" w:type="dxa"/>
          </w:tcPr>
          <w:p w14:paraId="17161658" w14:textId="77777777" w:rsidR="008517F2" w:rsidRPr="002A063A" w:rsidRDefault="008517F2" w:rsidP="008517F2">
            <w:pPr>
              <w:rPr>
                <w:color w:val="000000"/>
                <w:sz w:val="20"/>
                <w:szCs w:val="20"/>
              </w:rPr>
            </w:pPr>
          </w:p>
        </w:tc>
      </w:tr>
      <w:tr w:rsidR="008517F2" w:rsidRPr="004543D9" w14:paraId="242DF6E2" w14:textId="77777777" w:rsidTr="008517F2">
        <w:trPr>
          <w:trHeight w:val="320"/>
          <w:jc w:val="center"/>
        </w:trPr>
        <w:tc>
          <w:tcPr>
            <w:tcW w:w="3420" w:type="dxa"/>
          </w:tcPr>
          <w:p w14:paraId="24062180"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A3FFF33" w14:textId="77777777" w:rsidR="008517F2" w:rsidRPr="002A063A" w:rsidRDefault="008517F2" w:rsidP="008517F2">
            <w:pPr>
              <w:rPr>
                <w:color w:val="000000"/>
                <w:sz w:val="20"/>
                <w:szCs w:val="20"/>
              </w:rPr>
            </w:pPr>
          </w:p>
        </w:tc>
      </w:tr>
      <w:tr w:rsidR="008517F2" w:rsidRPr="004543D9" w14:paraId="2F99AF78" w14:textId="77777777" w:rsidTr="008517F2">
        <w:trPr>
          <w:trHeight w:val="320"/>
          <w:jc w:val="center"/>
        </w:trPr>
        <w:tc>
          <w:tcPr>
            <w:tcW w:w="3420" w:type="dxa"/>
          </w:tcPr>
          <w:p w14:paraId="12650E27" w14:textId="77777777" w:rsidR="008517F2" w:rsidRPr="002A063A" w:rsidRDefault="008517F2" w:rsidP="008517F2">
            <w:pPr>
              <w:rPr>
                <w:color w:val="000000"/>
                <w:sz w:val="20"/>
                <w:szCs w:val="20"/>
              </w:rPr>
            </w:pPr>
            <w:r w:rsidRPr="002A063A">
              <w:rPr>
                <w:color w:val="000000"/>
                <w:sz w:val="20"/>
                <w:szCs w:val="20"/>
              </w:rPr>
              <w:lastRenderedPageBreak/>
              <w:t>Wolday D, G-Mariam Z, Mohammed Z, Meles H, Messele T, Seme W, Geyid A, Maayan S.</w:t>
            </w:r>
          </w:p>
        </w:tc>
        <w:tc>
          <w:tcPr>
            <w:tcW w:w="4770" w:type="dxa"/>
          </w:tcPr>
          <w:p w14:paraId="49DC9DAC" w14:textId="77777777" w:rsidR="008517F2" w:rsidRPr="002A063A" w:rsidRDefault="008517F2" w:rsidP="008517F2">
            <w:pPr>
              <w:rPr>
                <w:color w:val="000000"/>
                <w:sz w:val="20"/>
                <w:szCs w:val="20"/>
              </w:rPr>
            </w:pPr>
            <w:r w:rsidRPr="002A063A">
              <w:rPr>
                <w:color w:val="000000"/>
                <w:sz w:val="20"/>
                <w:szCs w:val="20"/>
              </w:rPr>
              <w:t>Seroprevalence of herpes simplex virus-2 infection among women seeking medical care for signs and symptoms of vaginitis.</w:t>
            </w:r>
          </w:p>
        </w:tc>
      </w:tr>
      <w:tr w:rsidR="008517F2" w:rsidRPr="004543D9" w14:paraId="525112D9" w14:textId="77777777" w:rsidTr="008517F2">
        <w:trPr>
          <w:trHeight w:val="320"/>
          <w:jc w:val="center"/>
        </w:trPr>
        <w:tc>
          <w:tcPr>
            <w:tcW w:w="3420" w:type="dxa"/>
          </w:tcPr>
          <w:p w14:paraId="35ED5C38" w14:textId="77777777" w:rsidR="008517F2" w:rsidRPr="002A063A" w:rsidRDefault="008517F2" w:rsidP="008517F2">
            <w:pPr>
              <w:rPr>
                <w:color w:val="000000"/>
                <w:sz w:val="20"/>
                <w:szCs w:val="20"/>
              </w:rPr>
            </w:pPr>
            <w:r w:rsidRPr="002A063A">
              <w:rPr>
                <w:color w:val="000000"/>
                <w:sz w:val="20"/>
                <w:szCs w:val="20"/>
              </w:rPr>
              <w:t>Sex Transm Infect. 2004 Oct;80(5):392-4. doi: 10.1136/sti.2003.005660.</w:t>
            </w:r>
          </w:p>
        </w:tc>
        <w:tc>
          <w:tcPr>
            <w:tcW w:w="4770" w:type="dxa"/>
          </w:tcPr>
          <w:p w14:paraId="6DF7B113" w14:textId="77777777" w:rsidR="008517F2" w:rsidRPr="002A063A" w:rsidRDefault="008517F2" w:rsidP="008517F2">
            <w:pPr>
              <w:rPr>
                <w:color w:val="000000"/>
                <w:sz w:val="20"/>
                <w:szCs w:val="20"/>
              </w:rPr>
            </w:pPr>
          </w:p>
        </w:tc>
      </w:tr>
      <w:tr w:rsidR="008517F2" w:rsidRPr="004543D9" w14:paraId="10B961CD" w14:textId="77777777" w:rsidTr="008517F2">
        <w:trPr>
          <w:trHeight w:val="320"/>
          <w:jc w:val="center"/>
        </w:trPr>
        <w:tc>
          <w:tcPr>
            <w:tcW w:w="3420" w:type="dxa"/>
          </w:tcPr>
          <w:p w14:paraId="0B4CECDF" w14:textId="77777777" w:rsidR="008517F2" w:rsidRPr="002A063A" w:rsidRDefault="008517F2" w:rsidP="008517F2">
            <w:pPr>
              <w:rPr>
                <w:color w:val="000000"/>
                <w:sz w:val="20"/>
                <w:szCs w:val="20"/>
              </w:rPr>
            </w:pPr>
            <w:r w:rsidRPr="002A063A">
              <w:rPr>
                <w:color w:val="000000"/>
                <w:sz w:val="20"/>
                <w:szCs w:val="20"/>
              </w:rPr>
              <w:t>PMID: 15459409 Free PMC article.</w:t>
            </w:r>
          </w:p>
        </w:tc>
        <w:tc>
          <w:tcPr>
            <w:tcW w:w="4770" w:type="dxa"/>
          </w:tcPr>
          <w:p w14:paraId="2127D8EB" w14:textId="77777777" w:rsidR="008517F2" w:rsidRPr="002A063A" w:rsidRDefault="008517F2" w:rsidP="008517F2">
            <w:pPr>
              <w:rPr>
                <w:color w:val="000000"/>
                <w:sz w:val="20"/>
                <w:szCs w:val="20"/>
              </w:rPr>
            </w:pPr>
          </w:p>
        </w:tc>
      </w:tr>
      <w:tr w:rsidR="008517F2" w:rsidRPr="004543D9" w14:paraId="75B44EFF" w14:textId="77777777" w:rsidTr="008517F2">
        <w:trPr>
          <w:trHeight w:val="320"/>
          <w:jc w:val="center"/>
        </w:trPr>
        <w:tc>
          <w:tcPr>
            <w:tcW w:w="3420" w:type="dxa"/>
          </w:tcPr>
          <w:p w14:paraId="32E9B251"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4A6A93C8" w14:textId="77777777" w:rsidR="008517F2" w:rsidRPr="002A063A" w:rsidRDefault="008517F2" w:rsidP="008517F2">
            <w:pPr>
              <w:rPr>
                <w:color w:val="000000"/>
                <w:sz w:val="20"/>
                <w:szCs w:val="20"/>
              </w:rPr>
            </w:pPr>
          </w:p>
        </w:tc>
      </w:tr>
      <w:tr w:rsidR="008517F2" w:rsidRPr="004543D9" w14:paraId="79DB5D24" w14:textId="77777777" w:rsidTr="008517F2">
        <w:trPr>
          <w:trHeight w:val="320"/>
          <w:jc w:val="center"/>
        </w:trPr>
        <w:tc>
          <w:tcPr>
            <w:tcW w:w="3420" w:type="dxa"/>
          </w:tcPr>
          <w:p w14:paraId="214789B2" w14:textId="77777777" w:rsidR="008517F2" w:rsidRPr="002A063A" w:rsidRDefault="008517F2" w:rsidP="008517F2">
            <w:pPr>
              <w:rPr>
                <w:color w:val="000000"/>
                <w:sz w:val="20"/>
                <w:szCs w:val="20"/>
              </w:rPr>
            </w:pPr>
            <w:r w:rsidRPr="002A063A">
              <w:rPr>
                <w:color w:val="000000"/>
                <w:sz w:val="20"/>
                <w:szCs w:val="20"/>
              </w:rPr>
              <w:t>Berger M, Wagner TH, Baker LC.</w:t>
            </w:r>
          </w:p>
        </w:tc>
        <w:tc>
          <w:tcPr>
            <w:tcW w:w="4770" w:type="dxa"/>
          </w:tcPr>
          <w:p w14:paraId="507A2B49" w14:textId="77777777" w:rsidR="008517F2" w:rsidRPr="002A063A" w:rsidRDefault="008517F2" w:rsidP="008517F2">
            <w:pPr>
              <w:rPr>
                <w:color w:val="000000"/>
                <w:sz w:val="20"/>
                <w:szCs w:val="20"/>
              </w:rPr>
            </w:pPr>
            <w:r w:rsidRPr="002A063A">
              <w:rPr>
                <w:color w:val="000000"/>
                <w:sz w:val="20"/>
                <w:szCs w:val="20"/>
              </w:rPr>
              <w:t>Risk factors associated with failure of syndromic treatment of sexually transmitted diseases among women seeking primary care in Addis Ababa.</w:t>
            </w:r>
          </w:p>
        </w:tc>
      </w:tr>
      <w:tr w:rsidR="008517F2" w:rsidRPr="004543D9" w14:paraId="2F05F94B" w14:textId="77777777" w:rsidTr="008517F2">
        <w:trPr>
          <w:trHeight w:val="320"/>
          <w:jc w:val="center"/>
        </w:trPr>
        <w:tc>
          <w:tcPr>
            <w:tcW w:w="3420" w:type="dxa"/>
            <w:tcBorders>
              <w:bottom w:val="nil"/>
            </w:tcBorders>
          </w:tcPr>
          <w:p w14:paraId="6F91352C" w14:textId="77777777" w:rsidR="008517F2" w:rsidRPr="004543D9" w:rsidRDefault="008517F2" w:rsidP="008517F2">
            <w:pPr>
              <w:rPr>
                <w:color w:val="000000"/>
                <w:sz w:val="20"/>
                <w:szCs w:val="20"/>
              </w:rPr>
            </w:pPr>
          </w:p>
        </w:tc>
        <w:tc>
          <w:tcPr>
            <w:tcW w:w="4770" w:type="dxa"/>
            <w:tcBorders>
              <w:bottom w:val="nil"/>
            </w:tcBorders>
          </w:tcPr>
          <w:p w14:paraId="30B1C602" w14:textId="77777777" w:rsidR="008517F2" w:rsidRPr="004543D9" w:rsidRDefault="008517F2" w:rsidP="008517F2">
            <w:pPr>
              <w:rPr>
                <w:color w:val="000000"/>
                <w:sz w:val="20"/>
                <w:szCs w:val="20"/>
              </w:rPr>
            </w:pPr>
          </w:p>
        </w:tc>
      </w:tr>
      <w:tr w:rsidR="008517F2" w:rsidRPr="004543D9" w14:paraId="6DF4A255" w14:textId="77777777" w:rsidTr="008517F2">
        <w:trPr>
          <w:trHeight w:val="320"/>
          <w:jc w:val="center"/>
        </w:trPr>
        <w:tc>
          <w:tcPr>
            <w:tcW w:w="3420" w:type="dxa"/>
          </w:tcPr>
          <w:p w14:paraId="7C7F35C2" w14:textId="77777777" w:rsidR="008517F2" w:rsidRPr="002A063A" w:rsidRDefault="008517F2" w:rsidP="008517F2">
            <w:pPr>
              <w:rPr>
                <w:color w:val="000000"/>
                <w:sz w:val="20"/>
                <w:szCs w:val="20"/>
              </w:rPr>
            </w:pPr>
            <w:r w:rsidRPr="002A063A">
              <w:rPr>
                <w:color w:val="000000"/>
                <w:sz w:val="20"/>
                <w:szCs w:val="20"/>
              </w:rPr>
              <w:t>Soc Sci Med. 2005 Oct;61(8):1821-7. doi: 10.1016/j.socscimed.2005.03.025. Epub 2005 Apr 26.</w:t>
            </w:r>
          </w:p>
        </w:tc>
        <w:tc>
          <w:tcPr>
            <w:tcW w:w="4770" w:type="dxa"/>
          </w:tcPr>
          <w:p w14:paraId="373E594D" w14:textId="77777777" w:rsidR="008517F2" w:rsidRPr="002A063A" w:rsidRDefault="008517F2" w:rsidP="008517F2">
            <w:pPr>
              <w:rPr>
                <w:color w:val="000000"/>
                <w:sz w:val="20"/>
                <w:szCs w:val="20"/>
              </w:rPr>
            </w:pPr>
          </w:p>
        </w:tc>
      </w:tr>
      <w:tr w:rsidR="008517F2" w:rsidRPr="004543D9" w14:paraId="625F1A93" w14:textId="77777777" w:rsidTr="008517F2">
        <w:trPr>
          <w:trHeight w:val="320"/>
          <w:jc w:val="center"/>
        </w:trPr>
        <w:tc>
          <w:tcPr>
            <w:tcW w:w="3420" w:type="dxa"/>
          </w:tcPr>
          <w:p w14:paraId="5D047C08" w14:textId="77777777" w:rsidR="008517F2" w:rsidRPr="002A063A" w:rsidRDefault="008517F2" w:rsidP="008517F2">
            <w:pPr>
              <w:rPr>
                <w:color w:val="000000"/>
                <w:sz w:val="20"/>
                <w:szCs w:val="20"/>
              </w:rPr>
            </w:pPr>
            <w:r w:rsidRPr="002A063A">
              <w:rPr>
                <w:color w:val="000000"/>
                <w:sz w:val="20"/>
                <w:szCs w:val="20"/>
              </w:rPr>
              <w:t>PMID: 16029778</w:t>
            </w:r>
          </w:p>
        </w:tc>
        <w:tc>
          <w:tcPr>
            <w:tcW w:w="4770" w:type="dxa"/>
          </w:tcPr>
          <w:p w14:paraId="10172124" w14:textId="77777777" w:rsidR="008517F2" w:rsidRPr="002A063A" w:rsidRDefault="008517F2" w:rsidP="008517F2">
            <w:pPr>
              <w:rPr>
                <w:color w:val="000000"/>
                <w:sz w:val="20"/>
                <w:szCs w:val="20"/>
              </w:rPr>
            </w:pPr>
          </w:p>
        </w:tc>
      </w:tr>
      <w:tr w:rsidR="008517F2" w:rsidRPr="004543D9" w14:paraId="53E294F5" w14:textId="77777777" w:rsidTr="008517F2">
        <w:trPr>
          <w:trHeight w:val="320"/>
          <w:jc w:val="center"/>
        </w:trPr>
        <w:tc>
          <w:tcPr>
            <w:tcW w:w="3420" w:type="dxa"/>
          </w:tcPr>
          <w:p w14:paraId="758B5197"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7CC60609" w14:textId="77777777" w:rsidR="008517F2" w:rsidRPr="002A063A" w:rsidRDefault="008517F2" w:rsidP="008517F2">
            <w:pPr>
              <w:rPr>
                <w:color w:val="000000"/>
                <w:sz w:val="20"/>
                <w:szCs w:val="20"/>
              </w:rPr>
            </w:pPr>
          </w:p>
        </w:tc>
      </w:tr>
      <w:tr w:rsidR="008517F2" w:rsidRPr="004543D9" w14:paraId="081A375B" w14:textId="77777777" w:rsidTr="008517F2">
        <w:trPr>
          <w:trHeight w:val="320"/>
          <w:jc w:val="center"/>
        </w:trPr>
        <w:tc>
          <w:tcPr>
            <w:tcW w:w="3420" w:type="dxa"/>
          </w:tcPr>
          <w:p w14:paraId="3679676D" w14:textId="77777777" w:rsidR="008517F2" w:rsidRPr="002A063A" w:rsidRDefault="008517F2" w:rsidP="008517F2">
            <w:pPr>
              <w:rPr>
                <w:color w:val="000000"/>
                <w:sz w:val="20"/>
                <w:szCs w:val="20"/>
              </w:rPr>
            </w:pPr>
            <w:r w:rsidRPr="002A063A">
              <w:rPr>
                <w:color w:val="000000"/>
                <w:sz w:val="20"/>
                <w:szCs w:val="20"/>
              </w:rPr>
              <w:t>McClelland RS, Baeten JM.</w:t>
            </w:r>
          </w:p>
        </w:tc>
        <w:tc>
          <w:tcPr>
            <w:tcW w:w="4770" w:type="dxa"/>
          </w:tcPr>
          <w:p w14:paraId="6A819411" w14:textId="77777777" w:rsidR="008517F2" w:rsidRPr="002A063A" w:rsidRDefault="008517F2" w:rsidP="008517F2">
            <w:pPr>
              <w:rPr>
                <w:color w:val="000000"/>
                <w:sz w:val="20"/>
                <w:szCs w:val="20"/>
              </w:rPr>
            </w:pPr>
            <w:r w:rsidRPr="002A063A">
              <w:rPr>
                <w:color w:val="000000"/>
                <w:sz w:val="20"/>
                <w:szCs w:val="20"/>
              </w:rPr>
              <w:t>Internet use and stigmatized illness.</w:t>
            </w:r>
          </w:p>
        </w:tc>
      </w:tr>
      <w:tr w:rsidR="008517F2" w:rsidRPr="004543D9" w14:paraId="0BDEF1D9" w14:textId="77777777" w:rsidTr="008517F2">
        <w:trPr>
          <w:trHeight w:val="320"/>
          <w:jc w:val="center"/>
        </w:trPr>
        <w:tc>
          <w:tcPr>
            <w:tcW w:w="3420" w:type="dxa"/>
          </w:tcPr>
          <w:p w14:paraId="70CA561A" w14:textId="77777777" w:rsidR="008517F2" w:rsidRPr="002A063A" w:rsidRDefault="008517F2" w:rsidP="008517F2">
            <w:pPr>
              <w:rPr>
                <w:color w:val="000000"/>
                <w:sz w:val="20"/>
                <w:szCs w:val="20"/>
              </w:rPr>
            </w:pPr>
            <w:r w:rsidRPr="002A063A">
              <w:rPr>
                <w:color w:val="000000"/>
                <w:sz w:val="20"/>
                <w:szCs w:val="20"/>
              </w:rPr>
              <w:t>J Antimicrob Chemother. 2006 Feb;57(2):163-6. doi: 10.1093/jac/dki433. Epub 2005 Dec 6.</w:t>
            </w:r>
          </w:p>
        </w:tc>
        <w:tc>
          <w:tcPr>
            <w:tcW w:w="4770" w:type="dxa"/>
          </w:tcPr>
          <w:p w14:paraId="1D561E8E" w14:textId="77777777" w:rsidR="008517F2" w:rsidRPr="002A063A" w:rsidRDefault="008517F2" w:rsidP="008517F2">
            <w:pPr>
              <w:rPr>
                <w:color w:val="000000"/>
                <w:sz w:val="20"/>
                <w:szCs w:val="20"/>
              </w:rPr>
            </w:pPr>
          </w:p>
        </w:tc>
      </w:tr>
      <w:tr w:rsidR="008517F2" w:rsidRPr="004543D9" w14:paraId="54524E55" w14:textId="77777777" w:rsidTr="008517F2">
        <w:trPr>
          <w:trHeight w:val="320"/>
          <w:jc w:val="center"/>
        </w:trPr>
        <w:tc>
          <w:tcPr>
            <w:tcW w:w="3420" w:type="dxa"/>
          </w:tcPr>
          <w:p w14:paraId="02F0D785" w14:textId="77777777" w:rsidR="008517F2" w:rsidRPr="002A063A" w:rsidRDefault="008517F2" w:rsidP="008517F2">
            <w:pPr>
              <w:rPr>
                <w:color w:val="000000"/>
                <w:sz w:val="20"/>
                <w:szCs w:val="20"/>
              </w:rPr>
            </w:pPr>
            <w:r w:rsidRPr="002A063A">
              <w:rPr>
                <w:color w:val="000000"/>
                <w:sz w:val="20"/>
                <w:szCs w:val="20"/>
              </w:rPr>
              <w:t>PMID: 16332729 Review.</w:t>
            </w:r>
          </w:p>
        </w:tc>
        <w:tc>
          <w:tcPr>
            <w:tcW w:w="4770" w:type="dxa"/>
          </w:tcPr>
          <w:p w14:paraId="6C88B9F1" w14:textId="77777777" w:rsidR="008517F2" w:rsidRPr="002A063A" w:rsidRDefault="008517F2" w:rsidP="008517F2">
            <w:pPr>
              <w:rPr>
                <w:color w:val="000000"/>
                <w:sz w:val="20"/>
                <w:szCs w:val="20"/>
              </w:rPr>
            </w:pPr>
          </w:p>
        </w:tc>
      </w:tr>
      <w:tr w:rsidR="008517F2" w:rsidRPr="004543D9" w14:paraId="77A38BE1" w14:textId="77777777" w:rsidTr="008517F2">
        <w:trPr>
          <w:trHeight w:val="320"/>
          <w:jc w:val="center"/>
        </w:trPr>
        <w:tc>
          <w:tcPr>
            <w:tcW w:w="3420" w:type="dxa"/>
          </w:tcPr>
          <w:p w14:paraId="7494067E"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6DC9F406" w14:textId="77777777" w:rsidR="008517F2" w:rsidRPr="002A063A" w:rsidRDefault="008517F2" w:rsidP="008517F2">
            <w:pPr>
              <w:rPr>
                <w:color w:val="000000"/>
                <w:sz w:val="20"/>
                <w:szCs w:val="20"/>
              </w:rPr>
            </w:pPr>
          </w:p>
        </w:tc>
      </w:tr>
      <w:tr w:rsidR="008517F2" w:rsidRPr="004543D9" w14:paraId="47810D55" w14:textId="77777777" w:rsidTr="008517F2">
        <w:trPr>
          <w:trHeight w:val="320"/>
          <w:jc w:val="center"/>
        </w:trPr>
        <w:tc>
          <w:tcPr>
            <w:tcW w:w="3420" w:type="dxa"/>
            <w:tcBorders>
              <w:bottom w:val="nil"/>
            </w:tcBorders>
          </w:tcPr>
          <w:p w14:paraId="583A20C3" w14:textId="77777777" w:rsidR="008517F2" w:rsidRPr="002A063A" w:rsidRDefault="008517F2" w:rsidP="008517F2">
            <w:pPr>
              <w:rPr>
                <w:color w:val="000000"/>
                <w:sz w:val="20"/>
                <w:szCs w:val="20"/>
              </w:rPr>
            </w:pPr>
            <w:r w:rsidRPr="002A063A">
              <w:rPr>
                <w:color w:val="000000"/>
                <w:sz w:val="20"/>
                <w:szCs w:val="20"/>
              </w:rPr>
              <w:t>Riedner G, Rusizoka M, Hoffmann O, Nichombe F, Lyamuya E, Mmbando D, Maboko L, Hay P, Todd J, Hayes R, Hoelscher M, Grosskurth H.</w:t>
            </w:r>
          </w:p>
        </w:tc>
        <w:tc>
          <w:tcPr>
            <w:tcW w:w="4770" w:type="dxa"/>
            <w:tcBorders>
              <w:bottom w:val="nil"/>
            </w:tcBorders>
          </w:tcPr>
          <w:p w14:paraId="4907B394" w14:textId="77777777" w:rsidR="008517F2" w:rsidRPr="002A063A" w:rsidRDefault="008517F2" w:rsidP="008517F2">
            <w:pPr>
              <w:rPr>
                <w:color w:val="000000"/>
                <w:sz w:val="20"/>
                <w:szCs w:val="20"/>
              </w:rPr>
            </w:pPr>
            <w:r w:rsidRPr="002A063A">
              <w:rPr>
                <w:color w:val="000000"/>
                <w:sz w:val="20"/>
                <w:szCs w:val="20"/>
              </w:rPr>
              <w:t>Reducing HIV-1 transmission through prevention strategies targeting HIV-1-seropositive individuals.</w:t>
            </w:r>
          </w:p>
        </w:tc>
      </w:tr>
      <w:tr w:rsidR="008517F2" w:rsidRPr="004543D9" w14:paraId="24CB492F" w14:textId="77777777" w:rsidTr="008517F2">
        <w:trPr>
          <w:trHeight w:val="320"/>
          <w:jc w:val="center"/>
        </w:trPr>
        <w:tc>
          <w:tcPr>
            <w:tcW w:w="3420" w:type="dxa"/>
          </w:tcPr>
          <w:p w14:paraId="3CE9442E" w14:textId="77777777" w:rsidR="008517F2" w:rsidRPr="002A063A" w:rsidRDefault="008517F2" w:rsidP="008517F2">
            <w:pPr>
              <w:rPr>
                <w:color w:val="000000"/>
                <w:sz w:val="20"/>
                <w:szCs w:val="20"/>
              </w:rPr>
            </w:pPr>
            <w:r w:rsidRPr="002A063A">
              <w:rPr>
                <w:color w:val="000000"/>
                <w:sz w:val="20"/>
                <w:szCs w:val="20"/>
              </w:rPr>
              <w:t>Sex Transm Infect. 2003 Oct;79(5):382-7. doi: 10.1136/sti.79.5.382.</w:t>
            </w:r>
          </w:p>
        </w:tc>
        <w:tc>
          <w:tcPr>
            <w:tcW w:w="4770" w:type="dxa"/>
          </w:tcPr>
          <w:p w14:paraId="5BE96B6E" w14:textId="77777777" w:rsidR="008517F2" w:rsidRPr="002A063A" w:rsidRDefault="008517F2" w:rsidP="008517F2">
            <w:pPr>
              <w:rPr>
                <w:color w:val="000000"/>
                <w:sz w:val="20"/>
                <w:szCs w:val="20"/>
              </w:rPr>
            </w:pPr>
          </w:p>
        </w:tc>
      </w:tr>
      <w:tr w:rsidR="008517F2" w:rsidRPr="004543D9" w14:paraId="7171A2C1" w14:textId="77777777" w:rsidTr="008517F2">
        <w:trPr>
          <w:trHeight w:val="320"/>
          <w:jc w:val="center"/>
        </w:trPr>
        <w:tc>
          <w:tcPr>
            <w:tcW w:w="3420" w:type="dxa"/>
          </w:tcPr>
          <w:p w14:paraId="25C34AF8" w14:textId="77777777" w:rsidR="008517F2" w:rsidRPr="002A063A" w:rsidRDefault="008517F2" w:rsidP="008517F2">
            <w:pPr>
              <w:rPr>
                <w:color w:val="000000"/>
                <w:sz w:val="20"/>
                <w:szCs w:val="20"/>
              </w:rPr>
            </w:pPr>
            <w:r w:rsidRPr="002A063A">
              <w:rPr>
                <w:color w:val="000000"/>
                <w:sz w:val="20"/>
                <w:szCs w:val="20"/>
              </w:rPr>
              <w:t>PMID: 14573833 Free PMC article.</w:t>
            </w:r>
          </w:p>
        </w:tc>
        <w:tc>
          <w:tcPr>
            <w:tcW w:w="4770" w:type="dxa"/>
          </w:tcPr>
          <w:p w14:paraId="501FDD17" w14:textId="77777777" w:rsidR="008517F2" w:rsidRPr="002A063A" w:rsidRDefault="008517F2" w:rsidP="008517F2">
            <w:pPr>
              <w:rPr>
                <w:color w:val="000000"/>
                <w:sz w:val="20"/>
                <w:szCs w:val="20"/>
              </w:rPr>
            </w:pPr>
          </w:p>
        </w:tc>
      </w:tr>
      <w:tr w:rsidR="008517F2" w:rsidRPr="004543D9" w14:paraId="6F21CA25" w14:textId="77777777" w:rsidTr="008517F2">
        <w:trPr>
          <w:trHeight w:val="320"/>
          <w:jc w:val="center"/>
        </w:trPr>
        <w:tc>
          <w:tcPr>
            <w:tcW w:w="3420" w:type="dxa"/>
          </w:tcPr>
          <w:p w14:paraId="2F7DB96E"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053F796C" w14:textId="77777777" w:rsidR="008517F2" w:rsidRPr="002A063A" w:rsidRDefault="008517F2" w:rsidP="008517F2">
            <w:pPr>
              <w:rPr>
                <w:color w:val="000000"/>
                <w:sz w:val="20"/>
                <w:szCs w:val="20"/>
              </w:rPr>
            </w:pPr>
          </w:p>
        </w:tc>
      </w:tr>
      <w:tr w:rsidR="008517F2" w:rsidRPr="004543D9" w14:paraId="706CCD66" w14:textId="77777777" w:rsidTr="008517F2">
        <w:trPr>
          <w:trHeight w:val="320"/>
          <w:jc w:val="center"/>
        </w:trPr>
        <w:tc>
          <w:tcPr>
            <w:tcW w:w="3420" w:type="dxa"/>
          </w:tcPr>
          <w:p w14:paraId="7E54EA32" w14:textId="77777777" w:rsidR="008517F2" w:rsidRPr="002A063A" w:rsidRDefault="008517F2" w:rsidP="008517F2">
            <w:pPr>
              <w:rPr>
                <w:color w:val="000000"/>
                <w:sz w:val="20"/>
                <w:szCs w:val="20"/>
              </w:rPr>
            </w:pPr>
            <w:r w:rsidRPr="002A063A">
              <w:rPr>
                <w:color w:val="000000"/>
                <w:sz w:val="20"/>
                <w:szCs w:val="20"/>
              </w:rPr>
              <w:t>Morris-Cunnington M, Brown D, Pimenta J, Robinson NJ, Miller E.</w:t>
            </w:r>
          </w:p>
        </w:tc>
        <w:tc>
          <w:tcPr>
            <w:tcW w:w="4770" w:type="dxa"/>
          </w:tcPr>
          <w:p w14:paraId="1AA96AA4" w14:textId="77777777" w:rsidR="008517F2" w:rsidRPr="002A063A" w:rsidRDefault="008517F2" w:rsidP="008517F2">
            <w:pPr>
              <w:rPr>
                <w:color w:val="000000"/>
                <w:sz w:val="20"/>
                <w:szCs w:val="20"/>
              </w:rPr>
            </w:pPr>
            <w:r w:rsidRPr="002A063A">
              <w:rPr>
                <w:color w:val="000000"/>
                <w:sz w:val="20"/>
                <w:szCs w:val="20"/>
              </w:rPr>
              <w:t>Baseline survey of sexually transmitted infections in a cohort of female bar workers in Mbeya Region, Tanzania.</w:t>
            </w:r>
          </w:p>
        </w:tc>
      </w:tr>
      <w:tr w:rsidR="008517F2" w:rsidRPr="004543D9" w14:paraId="233444A3" w14:textId="77777777" w:rsidTr="008517F2">
        <w:trPr>
          <w:trHeight w:val="320"/>
          <w:jc w:val="center"/>
        </w:trPr>
        <w:tc>
          <w:tcPr>
            <w:tcW w:w="3420" w:type="dxa"/>
          </w:tcPr>
          <w:p w14:paraId="1910A842" w14:textId="77777777" w:rsidR="008517F2" w:rsidRPr="002A063A" w:rsidRDefault="008517F2" w:rsidP="008517F2">
            <w:pPr>
              <w:rPr>
                <w:color w:val="000000"/>
                <w:sz w:val="20"/>
                <w:szCs w:val="20"/>
              </w:rPr>
            </w:pPr>
            <w:r w:rsidRPr="002A063A">
              <w:rPr>
                <w:color w:val="000000"/>
                <w:sz w:val="20"/>
                <w:szCs w:val="20"/>
              </w:rPr>
              <w:t>Sex Transm Dis. 2004 Apr;31(4):243-6. doi: 10.1097/01.olq.0000118081.54177.95.</w:t>
            </w:r>
          </w:p>
        </w:tc>
        <w:tc>
          <w:tcPr>
            <w:tcW w:w="4770" w:type="dxa"/>
          </w:tcPr>
          <w:p w14:paraId="2F13BC87" w14:textId="77777777" w:rsidR="008517F2" w:rsidRPr="002A063A" w:rsidRDefault="008517F2" w:rsidP="008517F2">
            <w:pPr>
              <w:rPr>
                <w:color w:val="000000"/>
                <w:sz w:val="20"/>
                <w:szCs w:val="20"/>
              </w:rPr>
            </w:pPr>
          </w:p>
        </w:tc>
      </w:tr>
      <w:tr w:rsidR="008517F2" w:rsidRPr="004543D9" w14:paraId="08C79393" w14:textId="77777777" w:rsidTr="008517F2">
        <w:trPr>
          <w:trHeight w:val="320"/>
          <w:jc w:val="center"/>
        </w:trPr>
        <w:tc>
          <w:tcPr>
            <w:tcW w:w="3420" w:type="dxa"/>
          </w:tcPr>
          <w:p w14:paraId="2739E088" w14:textId="77777777" w:rsidR="008517F2" w:rsidRPr="002A063A" w:rsidRDefault="008517F2" w:rsidP="008517F2">
            <w:pPr>
              <w:rPr>
                <w:color w:val="000000"/>
                <w:sz w:val="20"/>
                <w:szCs w:val="20"/>
              </w:rPr>
            </w:pPr>
            <w:r w:rsidRPr="002A063A">
              <w:rPr>
                <w:color w:val="000000"/>
                <w:sz w:val="20"/>
                <w:szCs w:val="20"/>
              </w:rPr>
              <w:t>PMID: 15028940 Clinical Trial.</w:t>
            </w:r>
          </w:p>
        </w:tc>
        <w:tc>
          <w:tcPr>
            <w:tcW w:w="4770" w:type="dxa"/>
          </w:tcPr>
          <w:p w14:paraId="72678789" w14:textId="77777777" w:rsidR="008517F2" w:rsidRPr="002A063A" w:rsidRDefault="008517F2" w:rsidP="008517F2">
            <w:pPr>
              <w:rPr>
                <w:color w:val="000000"/>
                <w:sz w:val="20"/>
                <w:szCs w:val="20"/>
              </w:rPr>
            </w:pPr>
          </w:p>
        </w:tc>
      </w:tr>
      <w:tr w:rsidR="008517F2" w:rsidRPr="004543D9" w14:paraId="44C98E20" w14:textId="77777777" w:rsidTr="008517F2">
        <w:trPr>
          <w:trHeight w:val="320"/>
          <w:jc w:val="center"/>
        </w:trPr>
        <w:tc>
          <w:tcPr>
            <w:tcW w:w="3420" w:type="dxa"/>
          </w:tcPr>
          <w:p w14:paraId="6B752B2B"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0905F661" w14:textId="77777777" w:rsidR="008517F2" w:rsidRPr="002A063A" w:rsidRDefault="008517F2" w:rsidP="008517F2">
            <w:pPr>
              <w:rPr>
                <w:color w:val="000000"/>
                <w:sz w:val="20"/>
                <w:szCs w:val="20"/>
              </w:rPr>
            </w:pPr>
          </w:p>
        </w:tc>
      </w:tr>
      <w:tr w:rsidR="008517F2" w:rsidRPr="004543D9" w14:paraId="1DBC971D" w14:textId="77777777" w:rsidTr="008517F2">
        <w:trPr>
          <w:trHeight w:val="320"/>
          <w:jc w:val="center"/>
        </w:trPr>
        <w:tc>
          <w:tcPr>
            <w:tcW w:w="3420" w:type="dxa"/>
          </w:tcPr>
          <w:p w14:paraId="035E45E2" w14:textId="77777777" w:rsidR="008517F2" w:rsidRPr="002A063A" w:rsidRDefault="008517F2" w:rsidP="008517F2">
            <w:pPr>
              <w:rPr>
                <w:color w:val="000000"/>
                <w:sz w:val="20"/>
                <w:szCs w:val="20"/>
              </w:rPr>
            </w:pPr>
            <w:r w:rsidRPr="002A063A">
              <w:rPr>
                <w:color w:val="000000"/>
                <w:sz w:val="20"/>
                <w:szCs w:val="20"/>
              </w:rPr>
              <w:t>Haseen F, Chawdhury FA, Hossain ME, Huq M, Bhuiyan MU, Imam H, Rahman DM, Gazi R, Khan SI, Kelly R, Ahmed J, Rahman M.</w:t>
            </w:r>
          </w:p>
        </w:tc>
        <w:tc>
          <w:tcPr>
            <w:tcW w:w="4770" w:type="dxa"/>
          </w:tcPr>
          <w:p w14:paraId="52ABA3ED" w14:textId="77777777" w:rsidR="008517F2" w:rsidRPr="002A063A" w:rsidRDefault="008517F2" w:rsidP="008517F2">
            <w:pPr>
              <w:rPr>
                <w:color w:val="000000"/>
                <w:sz w:val="20"/>
                <w:szCs w:val="20"/>
              </w:rPr>
            </w:pPr>
            <w:r w:rsidRPr="002A063A">
              <w:rPr>
                <w:color w:val="000000"/>
                <w:sz w:val="20"/>
                <w:szCs w:val="20"/>
              </w:rPr>
              <w:t>New estimates of herpes simplex virus type 2 seroprevalence in England: 'high' but stable seroprevalence over the last decade.</w:t>
            </w:r>
          </w:p>
        </w:tc>
      </w:tr>
      <w:tr w:rsidR="008517F2" w:rsidRPr="004543D9" w14:paraId="20ACBA2C" w14:textId="77777777" w:rsidTr="008517F2">
        <w:trPr>
          <w:trHeight w:val="320"/>
          <w:jc w:val="center"/>
        </w:trPr>
        <w:tc>
          <w:tcPr>
            <w:tcW w:w="3420" w:type="dxa"/>
          </w:tcPr>
          <w:p w14:paraId="66FDE91B" w14:textId="77777777" w:rsidR="008517F2" w:rsidRPr="002A063A" w:rsidRDefault="008517F2" w:rsidP="008517F2">
            <w:pPr>
              <w:rPr>
                <w:color w:val="000000"/>
                <w:sz w:val="20"/>
                <w:szCs w:val="20"/>
              </w:rPr>
            </w:pPr>
            <w:r w:rsidRPr="002A063A">
              <w:rPr>
                <w:color w:val="000000"/>
                <w:sz w:val="20"/>
                <w:szCs w:val="20"/>
              </w:rPr>
              <w:t>Int J STD AIDS. 2012 Aug;23(8):553-9. doi: 10.1258/ijsa.2012.011373.</w:t>
            </w:r>
          </w:p>
        </w:tc>
        <w:tc>
          <w:tcPr>
            <w:tcW w:w="4770" w:type="dxa"/>
          </w:tcPr>
          <w:p w14:paraId="35E4AC24" w14:textId="77777777" w:rsidR="008517F2" w:rsidRPr="002A063A" w:rsidRDefault="008517F2" w:rsidP="008517F2">
            <w:pPr>
              <w:rPr>
                <w:color w:val="000000"/>
                <w:sz w:val="20"/>
                <w:szCs w:val="20"/>
              </w:rPr>
            </w:pPr>
          </w:p>
        </w:tc>
      </w:tr>
      <w:tr w:rsidR="008517F2" w:rsidRPr="004543D9" w14:paraId="5E4A5829" w14:textId="77777777" w:rsidTr="008517F2">
        <w:trPr>
          <w:trHeight w:val="320"/>
          <w:jc w:val="center"/>
        </w:trPr>
        <w:tc>
          <w:tcPr>
            <w:tcW w:w="3420" w:type="dxa"/>
          </w:tcPr>
          <w:p w14:paraId="1D6EDC57" w14:textId="77777777" w:rsidR="008517F2" w:rsidRPr="002A063A" w:rsidRDefault="008517F2" w:rsidP="008517F2">
            <w:pPr>
              <w:rPr>
                <w:color w:val="000000"/>
                <w:sz w:val="20"/>
                <w:szCs w:val="20"/>
              </w:rPr>
            </w:pPr>
            <w:r w:rsidRPr="002A063A">
              <w:rPr>
                <w:color w:val="000000"/>
                <w:sz w:val="20"/>
                <w:szCs w:val="20"/>
              </w:rPr>
              <w:t>PMID: 22930291</w:t>
            </w:r>
          </w:p>
        </w:tc>
        <w:tc>
          <w:tcPr>
            <w:tcW w:w="4770" w:type="dxa"/>
          </w:tcPr>
          <w:p w14:paraId="4107AB7B" w14:textId="77777777" w:rsidR="008517F2" w:rsidRPr="002A063A" w:rsidRDefault="008517F2" w:rsidP="008517F2">
            <w:pPr>
              <w:rPr>
                <w:color w:val="000000"/>
                <w:sz w:val="20"/>
                <w:szCs w:val="20"/>
              </w:rPr>
            </w:pPr>
          </w:p>
        </w:tc>
      </w:tr>
      <w:tr w:rsidR="008517F2" w:rsidRPr="004543D9" w14:paraId="45D7B7A6" w14:textId="77777777" w:rsidTr="008517F2">
        <w:trPr>
          <w:trHeight w:val="320"/>
          <w:jc w:val="center"/>
        </w:trPr>
        <w:tc>
          <w:tcPr>
            <w:tcW w:w="3420" w:type="dxa"/>
          </w:tcPr>
          <w:p w14:paraId="65250BDD"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5944F77F" w14:textId="77777777" w:rsidR="008517F2" w:rsidRPr="002A063A" w:rsidRDefault="008517F2" w:rsidP="008517F2">
            <w:pPr>
              <w:rPr>
                <w:color w:val="000000"/>
                <w:sz w:val="20"/>
                <w:szCs w:val="20"/>
              </w:rPr>
            </w:pPr>
          </w:p>
        </w:tc>
      </w:tr>
      <w:tr w:rsidR="008517F2" w:rsidRPr="004543D9" w14:paraId="563424BE" w14:textId="77777777" w:rsidTr="008517F2">
        <w:trPr>
          <w:trHeight w:val="320"/>
          <w:jc w:val="center"/>
        </w:trPr>
        <w:tc>
          <w:tcPr>
            <w:tcW w:w="3420" w:type="dxa"/>
          </w:tcPr>
          <w:p w14:paraId="7FAD4673" w14:textId="77777777" w:rsidR="008517F2" w:rsidRPr="002A063A" w:rsidRDefault="008517F2" w:rsidP="008517F2">
            <w:pPr>
              <w:rPr>
                <w:color w:val="000000"/>
                <w:sz w:val="20"/>
                <w:szCs w:val="20"/>
              </w:rPr>
            </w:pPr>
            <w:r w:rsidRPr="002A063A">
              <w:rPr>
                <w:color w:val="000000"/>
                <w:sz w:val="20"/>
                <w:szCs w:val="20"/>
              </w:rPr>
              <w:lastRenderedPageBreak/>
              <w:t>Curtis P, Okin M, McGaghie WC, Resnick J, Joseph M, Davis G.</w:t>
            </w:r>
          </w:p>
        </w:tc>
        <w:tc>
          <w:tcPr>
            <w:tcW w:w="4770" w:type="dxa"/>
          </w:tcPr>
          <w:p w14:paraId="3574A03D" w14:textId="77777777" w:rsidR="008517F2" w:rsidRPr="002A063A" w:rsidRDefault="008517F2" w:rsidP="008517F2">
            <w:pPr>
              <w:rPr>
                <w:color w:val="000000"/>
                <w:sz w:val="20"/>
                <w:szCs w:val="20"/>
              </w:rPr>
            </w:pPr>
            <w:r w:rsidRPr="002A063A">
              <w:rPr>
                <w:color w:val="000000"/>
                <w:sz w:val="20"/>
                <w:szCs w:val="20"/>
              </w:rPr>
              <w:t>Sexually transmitted infections and sexual behaviour among youth clients of hotel-based female sex workers in Dhaka, Bangladesh.</w:t>
            </w:r>
          </w:p>
        </w:tc>
      </w:tr>
      <w:tr w:rsidR="008517F2" w:rsidRPr="004543D9" w14:paraId="1F7603DA" w14:textId="77777777" w:rsidTr="008517F2">
        <w:trPr>
          <w:trHeight w:val="320"/>
          <w:jc w:val="center"/>
        </w:trPr>
        <w:tc>
          <w:tcPr>
            <w:tcW w:w="3420" w:type="dxa"/>
          </w:tcPr>
          <w:p w14:paraId="29726C09" w14:textId="77777777" w:rsidR="008517F2" w:rsidRPr="002A063A" w:rsidRDefault="008517F2" w:rsidP="008517F2">
            <w:pPr>
              <w:rPr>
                <w:color w:val="000000"/>
                <w:sz w:val="20"/>
                <w:szCs w:val="20"/>
              </w:rPr>
            </w:pPr>
            <w:r w:rsidRPr="002A063A">
              <w:rPr>
                <w:color w:val="000000"/>
                <w:sz w:val="20"/>
                <w:szCs w:val="20"/>
              </w:rPr>
              <w:t>Fam Med. 1990 Nov-Dec;22(6):458-61.</w:t>
            </w:r>
          </w:p>
        </w:tc>
        <w:tc>
          <w:tcPr>
            <w:tcW w:w="4770" w:type="dxa"/>
          </w:tcPr>
          <w:p w14:paraId="25A75509" w14:textId="77777777" w:rsidR="008517F2" w:rsidRPr="002A063A" w:rsidRDefault="008517F2" w:rsidP="008517F2">
            <w:pPr>
              <w:rPr>
                <w:color w:val="000000"/>
                <w:sz w:val="20"/>
                <w:szCs w:val="20"/>
              </w:rPr>
            </w:pPr>
          </w:p>
        </w:tc>
      </w:tr>
      <w:tr w:rsidR="008517F2" w:rsidRPr="004543D9" w14:paraId="4A958425" w14:textId="77777777" w:rsidTr="008517F2">
        <w:trPr>
          <w:trHeight w:val="320"/>
          <w:jc w:val="center"/>
        </w:trPr>
        <w:tc>
          <w:tcPr>
            <w:tcW w:w="3420" w:type="dxa"/>
          </w:tcPr>
          <w:p w14:paraId="0D7E83E9" w14:textId="77777777" w:rsidR="008517F2" w:rsidRPr="002A063A" w:rsidRDefault="008517F2" w:rsidP="008517F2">
            <w:pPr>
              <w:rPr>
                <w:color w:val="000000"/>
                <w:sz w:val="20"/>
                <w:szCs w:val="20"/>
              </w:rPr>
            </w:pPr>
            <w:r w:rsidRPr="002A063A">
              <w:rPr>
                <w:color w:val="000000"/>
                <w:sz w:val="20"/>
                <w:szCs w:val="20"/>
              </w:rPr>
              <w:t>PMID: 2262108</w:t>
            </w:r>
          </w:p>
        </w:tc>
        <w:tc>
          <w:tcPr>
            <w:tcW w:w="4770" w:type="dxa"/>
          </w:tcPr>
          <w:p w14:paraId="49974096" w14:textId="77777777" w:rsidR="008517F2" w:rsidRPr="002A063A" w:rsidRDefault="008517F2" w:rsidP="008517F2">
            <w:pPr>
              <w:rPr>
                <w:color w:val="000000"/>
                <w:sz w:val="20"/>
                <w:szCs w:val="20"/>
              </w:rPr>
            </w:pPr>
          </w:p>
        </w:tc>
      </w:tr>
      <w:tr w:rsidR="008517F2" w:rsidRPr="004543D9" w14:paraId="1CA6DD77" w14:textId="77777777" w:rsidTr="008517F2">
        <w:trPr>
          <w:trHeight w:val="320"/>
          <w:jc w:val="center"/>
        </w:trPr>
        <w:tc>
          <w:tcPr>
            <w:tcW w:w="3420" w:type="dxa"/>
          </w:tcPr>
          <w:p w14:paraId="64FB6E7C"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CCA6C3B" w14:textId="77777777" w:rsidR="008517F2" w:rsidRPr="002A063A" w:rsidRDefault="008517F2" w:rsidP="008517F2">
            <w:pPr>
              <w:rPr>
                <w:color w:val="000000"/>
                <w:sz w:val="20"/>
                <w:szCs w:val="20"/>
              </w:rPr>
            </w:pPr>
          </w:p>
        </w:tc>
      </w:tr>
      <w:tr w:rsidR="008517F2" w:rsidRPr="004543D9" w14:paraId="6F9A732E" w14:textId="77777777" w:rsidTr="008517F2">
        <w:trPr>
          <w:trHeight w:val="320"/>
          <w:jc w:val="center"/>
        </w:trPr>
        <w:tc>
          <w:tcPr>
            <w:tcW w:w="3420" w:type="dxa"/>
            <w:tcBorders>
              <w:bottom w:val="nil"/>
            </w:tcBorders>
          </w:tcPr>
          <w:p w14:paraId="488AE364" w14:textId="77777777" w:rsidR="008517F2" w:rsidRPr="002A063A" w:rsidRDefault="008517F2" w:rsidP="008517F2">
            <w:pPr>
              <w:rPr>
                <w:color w:val="000000"/>
                <w:sz w:val="20"/>
                <w:szCs w:val="20"/>
              </w:rPr>
            </w:pPr>
            <w:r w:rsidRPr="002A063A">
              <w:rPr>
                <w:color w:val="000000"/>
                <w:sz w:val="20"/>
                <w:szCs w:val="20"/>
              </w:rPr>
              <w:t>Szucs TD, Berger K, Fisman DN, Harbarth S.</w:t>
            </w:r>
          </w:p>
        </w:tc>
        <w:tc>
          <w:tcPr>
            <w:tcW w:w="4770" w:type="dxa"/>
            <w:tcBorders>
              <w:bottom w:val="nil"/>
            </w:tcBorders>
          </w:tcPr>
          <w:p w14:paraId="13423FE8" w14:textId="77777777" w:rsidR="008517F2" w:rsidRPr="002A063A" w:rsidRDefault="008517F2" w:rsidP="008517F2">
            <w:pPr>
              <w:rPr>
                <w:color w:val="000000"/>
                <w:sz w:val="20"/>
                <w:szCs w:val="20"/>
              </w:rPr>
            </w:pPr>
            <w:r w:rsidRPr="002A063A">
              <w:rPr>
                <w:color w:val="000000"/>
                <w:sz w:val="20"/>
                <w:szCs w:val="20"/>
              </w:rPr>
              <w:t>A pilot study of the prevalence of herpes genitalis among selected groups of patients seeking care in a family practice center.</w:t>
            </w:r>
          </w:p>
        </w:tc>
      </w:tr>
      <w:tr w:rsidR="008517F2" w:rsidRPr="004543D9" w14:paraId="2C91B241" w14:textId="77777777" w:rsidTr="008517F2">
        <w:trPr>
          <w:trHeight w:val="320"/>
          <w:jc w:val="center"/>
        </w:trPr>
        <w:tc>
          <w:tcPr>
            <w:tcW w:w="3420" w:type="dxa"/>
          </w:tcPr>
          <w:p w14:paraId="2DFDA61B" w14:textId="77777777" w:rsidR="008517F2" w:rsidRPr="002A063A" w:rsidRDefault="008517F2" w:rsidP="008517F2">
            <w:pPr>
              <w:rPr>
                <w:color w:val="000000"/>
                <w:sz w:val="20"/>
                <w:szCs w:val="20"/>
              </w:rPr>
            </w:pPr>
            <w:r w:rsidRPr="002A063A">
              <w:rPr>
                <w:color w:val="000000"/>
                <w:sz w:val="20"/>
                <w:szCs w:val="20"/>
              </w:rPr>
              <w:t>BMC Infect Dis. 2001;1:5. doi: 10.1186/1471-2334-1-5. Epub 2001 Jun 28.</w:t>
            </w:r>
          </w:p>
        </w:tc>
        <w:tc>
          <w:tcPr>
            <w:tcW w:w="4770" w:type="dxa"/>
          </w:tcPr>
          <w:p w14:paraId="76DA378A" w14:textId="77777777" w:rsidR="008517F2" w:rsidRPr="002A063A" w:rsidRDefault="008517F2" w:rsidP="008517F2">
            <w:pPr>
              <w:rPr>
                <w:color w:val="000000"/>
                <w:sz w:val="20"/>
                <w:szCs w:val="20"/>
              </w:rPr>
            </w:pPr>
          </w:p>
        </w:tc>
      </w:tr>
      <w:tr w:rsidR="008517F2" w:rsidRPr="004543D9" w14:paraId="0038D658" w14:textId="77777777" w:rsidTr="008517F2">
        <w:trPr>
          <w:trHeight w:val="320"/>
          <w:jc w:val="center"/>
        </w:trPr>
        <w:tc>
          <w:tcPr>
            <w:tcW w:w="3420" w:type="dxa"/>
          </w:tcPr>
          <w:p w14:paraId="6C702AAC" w14:textId="77777777" w:rsidR="008517F2" w:rsidRPr="002A063A" w:rsidRDefault="008517F2" w:rsidP="008517F2">
            <w:pPr>
              <w:rPr>
                <w:color w:val="000000"/>
                <w:sz w:val="20"/>
                <w:szCs w:val="20"/>
              </w:rPr>
            </w:pPr>
            <w:r w:rsidRPr="002A063A">
              <w:rPr>
                <w:color w:val="000000"/>
                <w:sz w:val="20"/>
                <w:szCs w:val="20"/>
              </w:rPr>
              <w:t>PMID: 11472635 Free PMC article.</w:t>
            </w:r>
          </w:p>
        </w:tc>
        <w:tc>
          <w:tcPr>
            <w:tcW w:w="4770" w:type="dxa"/>
          </w:tcPr>
          <w:p w14:paraId="2621F821" w14:textId="77777777" w:rsidR="008517F2" w:rsidRPr="002A063A" w:rsidRDefault="008517F2" w:rsidP="008517F2">
            <w:pPr>
              <w:rPr>
                <w:color w:val="000000"/>
                <w:sz w:val="20"/>
                <w:szCs w:val="20"/>
              </w:rPr>
            </w:pPr>
          </w:p>
        </w:tc>
      </w:tr>
      <w:tr w:rsidR="008517F2" w:rsidRPr="004543D9" w14:paraId="2F5AF8A1" w14:textId="77777777" w:rsidTr="008517F2">
        <w:trPr>
          <w:trHeight w:val="320"/>
          <w:jc w:val="center"/>
        </w:trPr>
        <w:tc>
          <w:tcPr>
            <w:tcW w:w="3420" w:type="dxa"/>
          </w:tcPr>
          <w:p w14:paraId="1F83A4F8" w14:textId="77777777" w:rsidR="008517F2" w:rsidRPr="004543D9" w:rsidRDefault="008517F2" w:rsidP="008517F2">
            <w:pPr>
              <w:rPr>
                <w:color w:val="000000"/>
                <w:sz w:val="20"/>
                <w:szCs w:val="20"/>
              </w:rPr>
            </w:pPr>
          </w:p>
        </w:tc>
        <w:tc>
          <w:tcPr>
            <w:tcW w:w="4770" w:type="dxa"/>
          </w:tcPr>
          <w:p w14:paraId="185C7E03" w14:textId="77777777" w:rsidR="008517F2" w:rsidRPr="00F5297F" w:rsidRDefault="008517F2" w:rsidP="008517F2">
            <w:pPr>
              <w:rPr>
                <w:color w:val="000000"/>
                <w:sz w:val="20"/>
                <w:szCs w:val="20"/>
              </w:rPr>
            </w:pPr>
          </w:p>
        </w:tc>
      </w:tr>
      <w:tr w:rsidR="008517F2" w:rsidRPr="004543D9" w14:paraId="26469314" w14:textId="77777777" w:rsidTr="008517F2">
        <w:trPr>
          <w:trHeight w:val="320"/>
          <w:jc w:val="center"/>
        </w:trPr>
        <w:tc>
          <w:tcPr>
            <w:tcW w:w="3420" w:type="dxa"/>
          </w:tcPr>
          <w:p w14:paraId="50011387" w14:textId="77777777" w:rsidR="008517F2" w:rsidRPr="002A063A" w:rsidRDefault="008517F2" w:rsidP="008517F2">
            <w:pPr>
              <w:rPr>
                <w:color w:val="000000"/>
                <w:sz w:val="20"/>
                <w:szCs w:val="20"/>
              </w:rPr>
            </w:pPr>
            <w:r w:rsidRPr="002A063A">
              <w:rPr>
                <w:color w:val="000000"/>
                <w:sz w:val="20"/>
                <w:szCs w:val="20"/>
              </w:rPr>
              <w:t xml:space="preserve"> </w:t>
            </w:r>
            <w:r w:rsidRPr="00F5297F">
              <w:rPr>
                <w:color w:val="000000"/>
                <w:sz w:val="20"/>
                <w:szCs w:val="20"/>
              </w:rPr>
              <w:t>Lewis LM, Rosenthal SL, Succop PA, Stanberry LR, Bernstein DI.</w:t>
            </w:r>
          </w:p>
        </w:tc>
        <w:tc>
          <w:tcPr>
            <w:tcW w:w="4770" w:type="dxa"/>
          </w:tcPr>
          <w:p w14:paraId="5456F01E" w14:textId="77777777" w:rsidR="008517F2" w:rsidRPr="002A063A" w:rsidRDefault="008517F2" w:rsidP="008517F2">
            <w:pPr>
              <w:rPr>
                <w:color w:val="000000"/>
                <w:sz w:val="20"/>
                <w:szCs w:val="20"/>
              </w:rPr>
            </w:pPr>
            <w:r w:rsidRPr="00F5297F">
              <w:rPr>
                <w:color w:val="000000"/>
                <w:sz w:val="20"/>
                <w:szCs w:val="20"/>
              </w:rPr>
              <w:t>The estimated economic burden of genital herpes in the United States. An analysis using two costing approaches.</w:t>
            </w:r>
          </w:p>
        </w:tc>
      </w:tr>
      <w:tr w:rsidR="008517F2" w:rsidRPr="004543D9" w14:paraId="074BCB5A" w14:textId="77777777" w:rsidTr="008517F2">
        <w:trPr>
          <w:trHeight w:val="320"/>
          <w:jc w:val="center"/>
        </w:trPr>
        <w:tc>
          <w:tcPr>
            <w:tcW w:w="3420" w:type="dxa"/>
          </w:tcPr>
          <w:p w14:paraId="7C853A7B" w14:textId="77777777" w:rsidR="008517F2" w:rsidRPr="002A063A" w:rsidRDefault="008517F2" w:rsidP="008517F2">
            <w:pPr>
              <w:rPr>
                <w:color w:val="000000"/>
                <w:sz w:val="20"/>
                <w:szCs w:val="20"/>
              </w:rPr>
            </w:pPr>
            <w:r w:rsidRPr="00F5297F">
              <w:rPr>
                <w:color w:val="000000"/>
                <w:sz w:val="20"/>
                <w:szCs w:val="20"/>
              </w:rPr>
              <w:t>Int J STD AIDS. 1999 Nov;10(11):703-8. doi: 10.1258/0956462991913376.</w:t>
            </w:r>
          </w:p>
        </w:tc>
        <w:tc>
          <w:tcPr>
            <w:tcW w:w="4770" w:type="dxa"/>
          </w:tcPr>
          <w:p w14:paraId="1E21872F" w14:textId="77777777" w:rsidR="008517F2" w:rsidRPr="002A063A" w:rsidRDefault="008517F2" w:rsidP="008517F2">
            <w:pPr>
              <w:rPr>
                <w:color w:val="000000"/>
                <w:sz w:val="20"/>
                <w:szCs w:val="20"/>
              </w:rPr>
            </w:pPr>
          </w:p>
        </w:tc>
      </w:tr>
      <w:tr w:rsidR="008517F2" w:rsidRPr="004543D9" w14:paraId="3A7CD839" w14:textId="77777777" w:rsidTr="008517F2">
        <w:trPr>
          <w:trHeight w:val="320"/>
          <w:jc w:val="center"/>
        </w:trPr>
        <w:tc>
          <w:tcPr>
            <w:tcW w:w="3420" w:type="dxa"/>
            <w:tcBorders>
              <w:bottom w:val="nil"/>
            </w:tcBorders>
          </w:tcPr>
          <w:p w14:paraId="01C4F4CB" w14:textId="77777777" w:rsidR="008517F2" w:rsidRPr="002A063A" w:rsidRDefault="008517F2" w:rsidP="008517F2">
            <w:pPr>
              <w:rPr>
                <w:color w:val="000000"/>
                <w:sz w:val="20"/>
                <w:szCs w:val="20"/>
              </w:rPr>
            </w:pPr>
          </w:p>
        </w:tc>
        <w:tc>
          <w:tcPr>
            <w:tcW w:w="4770" w:type="dxa"/>
            <w:tcBorders>
              <w:bottom w:val="nil"/>
            </w:tcBorders>
          </w:tcPr>
          <w:p w14:paraId="7BEFD2F4" w14:textId="77777777" w:rsidR="008517F2" w:rsidRPr="002A063A" w:rsidRDefault="008517F2" w:rsidP="008517F2">
            <w:pPr>
              <w:rPr>
                <w:color w:val="000000"/>
                <w:sz w:val="20"/>
                <w:szCs w:val="20"/>
              </w:rPr>
            </w:pPr>
          </w:p>
        </w:tc>
      </w:tr>
      <w:tr w:rsidR="008517F2" w:rsidRPr="004543D9" w14:paraId="3EE6B10C" w14:textId="77777777" w:rsidTr="008517F2">
        <w:trPr>
          <w:trHeight w:val="320"/>
          <w:jc w:val="center"/>
        </w:trPr>
        <w:tc>
          <w:tcPr>
            <w:tcW w:w="3420" w:type="dxa"/>
          </w:tcPr>
          <w:p w14:paraId="627FDDBE" w14:textId="77777777" w:rsidR="008517F2" w:rsidRPr="002A063A" w:rsidRDefault="008517F2" w:rsidP="008517F2">
            <w:pPr>
              <w:rPr>
                <w:color w:val="000000"/>
                <w:sz w:val="20"/>
                <w:szCs w:val="20"/>
              </w:rPr>
            </w:pPr>
            <w:r w:rsidRPr="002A063A">
              <w:rPr>
                <w:color w:val="000000"/>
                <w:sz w:val="20"/>
                <w:szCs w:val="20"/>
              </w:rPr>
              <w:t>Wellington M, Ndowa F, Mbengeranwa L.</w:t>
            </w:r>
          </w:p>
        </w:tc>
        <w:tc>
          <w:tcPr>
            <w:tcW w:w="4770" w:type="dxa"/>
          </w:tcPr>
          <w:p w14:paraId="5E6AB676" w14:textId="77777777" w:rsidR="008517F2" w:rsidRPr="002A063A" w:rsidRDefault="008517F2" w:rsidP="008517F2">
            <w:pPr>
              <w:rPr>
                <w:color w:val="000000"/>
                <w:sz w:val="20"/>
                <w:szCs w:val="20"/>
              </w:rPr>
            </w:pPr>
            <w:r w:rsidRPr="002A063A">
              <w:rPr>
                <w:color w:val="000000"/>
                <w:sz w:val="20"/>
                <w:szCs w:val="20"/>
              </w:rPr>
              <w:t>College students' knowledge and perceptions of genital herpes.</w:t>
            </w:r>
          </w:p>
        </w:tc>
      </w:tr>
      <w:tr w:rsidR="008517F2" w:rsidRPr="004543D9" w14:paraId="6D3E211D" w14:textId="77777777" w:rsidTr="008517F2">
        <w:trPr>
          <w:trHeight w:val="320"/>
          <w:jc w:val="center"/>
        </w:trPr>
        <w:tc>
          <w:tcPr>
            <w:tcW w:w="3420" w:type="dxa"/>
          </w:tcPr>
          <w:p w14:paraId="3322ED94" w14:textId="77777777" w:rsidR="008517F2" w:rsidRPr="002A063A" w:rsidRDefault="008517F2" w:rsidP="008517F2">
            <w:pPr>
              <w:rPr>
                <w:color w:val="000000"/>
                <w:sz w:val="20"/>
                <w:szCs w:val="20"/>
              </w:rPr>
            </w:pPr>
            <w:r w:rsidRPr="002A063A">
              <w:rPr>
                <w:color w:val="000000"/>
                <w:sz w:val="20"/>
                <w:szCs w:val="20"/>
              </w:rPr>
              <w:t>Sex Transm Dis. 1997 Oct;24(9):528-32. doi: 10.1097/00007435-199710000-00006.</w:t>
            </w:r>
          </w:p>
        </w:tc>
        <w:tc>
          <w:tcPr>
            <w:tcW w:w="4770" w:type="dxa"/>
          </w:tcPr>
          <w:p w14:paraId="5E0126E6" w14:textId="77777777" w:rsidR="008517F2" w:rsidRPr="002A063A" w:rsidRDefault="008517F2" w:rsidP="008517F2">
            <w:pPr>
              <w:rPr>
                <w:color w:val="000000"/>
                <w:sz w:val="20"/>
                <w:szCs w:val="20"/>
              </w:rPr>
            </w:pPr>
          </w:p>
        </w:tc>
      </w:tr>
      <w:tr w:rsidR="008517F2" w:rsidRPr="004543D9" w14:paraId="6907D51B" w14:textId="77777777" w:rsidTr="008517F2">
        <w:trPr>
          <w:trHeight w:val="320"/>
          <w:jc w:val="center"/>
        </w:trPr>
        <w:tc>
          <w:tcPr>
            <w:tcW w:w="3420" w:type="dxa"/>
          </w:tcPr>
          <w:p w14:paraId="03895465" w14:textId="77777777" w:rsidR="008517F2" w:rsidRPr="002A063A" w:rsidRDefault="008517F2" w:rsidP="008517F2">
            <w:pPr>
              <w:rPr>
                <w:color w:val="000000"/>
                <w:sz w:val="20"/>
                <w:szCs w:val="20"/>
              </w:rPr>
            </w:pPr>
            <w:r w:rsidRPr="002A063A">
              <w:rPr>
                <w:color w:val="000000"/>
                <w:sz w:val="20"/>
                <w:szCs w:val="20"/>
              </w:rPr>
              <w:t>PMID: 9339971</w:t>
            </w:r>
          </w:p>
        </w:tc>
        <w:tc>
          <w:tcPr>
            <w:tcW w:w="4770" w:type="dxa"/>
          </w:tcPr>
          <w:p w14:paraId="467747BC" w14:textId="77777777" w:rsidR="008517F2" w:rsidRPr="002A063A" w:rsidRDefault="008517F2" w:rsidP="008517F2">
            <w:pPr>
              <w:rPr>
                <w:color w:val="000000"/>
                <w:sz w:val="20"/>
                <w:szCs w:val="20"/>
              </w:rPr>
            </w:pPr>
          </w:p>
        </w:tc>
      </w:tr>
      <w:tr w:rsidR="008517F2" w:rsidRPr="004543D9" w14:paraId="315D442E" w14:textId="77777777" w:rsidTr="008517F2">
        <w:trPr>
          <w:trHeight w:val="320"/>
          <w:jc w:val="center"/>
        </w:trPr>
        <w:tc>
          <w:tcPr>
            <w:tcW w:w="3420" w:type="dxa"/>
          </w:tcPr>
          <w:p w14:paraId="6C875688"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1F0F8490" w14:textId="77777777" w:rsidR="008517F2" w:rsidRPr="002A063A" w:rsidRDefault="008517F2" w:rsidP="008517F2">
            <w:pPr>
              <w:rPr>
                <w:color w:val="000000"/>
                <w:sz w:val="20"/>
                <w:szCs w:val="20"/>
              </w:rPr>
            </w:pPr>
          </w:p>
        </w:tc>
      </w:tr>
      <w:tr w:rsidR="008517F2" w:rsidRPr="004543D9" w14:paraId="54964D41" w14:textId="77777777" w:rsidTr="008517F2">
        <w:trPr>
          <w:trHeight w:val="320"/>
          <w:jc w:val="center"/>
        </w:trPr>
        <w:tc>
          <w:tcPr>
            <w:tcW w:w="3420" w:type="dxa"/>
          </w:tcPr>
          <w:p w14:paraId="620D7792" w14:textId="77777777" w:rsidR="008517F2" w:rsidRPr="002A063A" w:rsidRDefault="008517F2" w:rsidP="008517F2">
            <w:pPr>
              <w:rPr>
                <w:color w:val="000000"/>
                <w:sz w:val="20"/>
                <w:szCs w:val="20"/>
              </w:rPr>
            </w:pPr>
            <w:r w:rsidRPr="002A063A">
              <w:rPr>
                <w:color w:val="000000"/>
                <w:sz w:val="20"/>
                <w:szCs w:val="20"/>
              </w:rPr>
              <w:t>Action Contre SIDA. 1995 Jul;(25):4-5.</w:t>
            </w:r>
          </w:p>
        </w:tc>
        <w:tc>
          <w:tcPr>
            <w:tcW w:w="4770" w:type="dxa"/>
          </w:tcPr>
          <w:p w14:paraId="39B0F43B" w14:textId="77777777" w:rsidR="008517F2" w:rsidRPr="002A063A" w:rsidRDefault="008517F2" w:rsidP="008517F2">
            <w:pPr>
              <w:rPr>
                <w:color w:val="000000"/>
                <w:sz w:val="20"/>
                <w:szCs w:val="20"/>
              </w:rPr>
            </w:pPr>
            <w:r w:rsidRPr="002A063A">
              <w:rPr>
                <w:color w:val="000000"/>
                <w:sz w:val="20"/>
                <w:szCs w:val="20"/>
              </w:rPr>
              <w:t>Risk factors for sexually transmitted disease in Harare: a case-control study.</w:t>
            </w:r>
          </w:p>
        </w:tc>
      </w:tr>
      <w:tr w:rsidR="008517F2" w:rsidRPr="004543D9" w14:paraId="1F881046" w14:textId="77777777" w:rsidTr="008517F2">
        <w:trPr>
          <w:trHeight w:val="320"/>
          <w:jc w:val="center"/>
        </w:trPr>
        <w:tc>
          <w:tcPr>
            <w:tcW w:w="3420" w:type="dxa"/>
          </w:tcPr>
          <w:p w14:paraId="251E9DF1" w14:textId="77777777" w:rsidR="008517F2" w:rsidRPr="002A063A" w:rsidRDefault="008517F2" w:rsidP="008517F2">
            <w:pPr>
              <w:rPr>
                <w:color w:val="000000"/>
                <w:sz w:val="20"/>
                <w:szCs w:val="20"/>
              </w:rPr>
            </w:pPr>
            <w:r w:rsidRPr="002A063A">
              <w:rPr>
                <w:color w:val="000000"/>
                <w:sz w:val="20"/>
                <w:szCs w:val="20"/>
              </w:rPr>
              <w:t>PMID: 12291920 French.</w:t>
            </w:r>
          </w:p>
        </w:tc>
        <w:tc>
          <w:tcPr>
            <w:tcW w:w="4770" w:type="dxa"/>
          </w:tcPr>
          <w:p w14:paraId="229DEC89" w14:textId="77777777" w:rsidR="008517F2" w:rsidRPr="002A063A" w:rsidRDefault="008517F2" w:rsidP="008517F2">
            <w:pPr>
              <w:rPr>
                <w:color w:val="000000"/>
                <w:sz w:val="20"/>
                <w:szCs w:val="20"/>
              </w:rPr>
            </w:pPr>
          </w:p>
        </w:tc>
      </w:tr>
      <w:tr w:rsidR="008517F2" w:rsidRPr="004543D9" w14:paraId="377BEB8E" w14:textId="77777777" w:rsidTr="008517F2">
        <w:trPr>
          <w:trHeight w:val="320"/>
          <w:jc w:val="center"/>
        </w:trPr>
        <w:tc>
          <w:tcPr>
            <w:tcW w:w="3420" w:type="dxa"/>
          </w:tcPr>
          <w:p w14:paraId="41E5125D"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0BFE57D3" w14:textId="77777777" w:rsidR="008517F2" w:rsidRPr="002A063A" w:rsidRDefault="008517F2" w:rsidP="008517F2">
            <w:pPr>
              <w:rPr>
                <w:color w:val="000000"/>
                <w:sz w:val="20"/>
                <w:szCs w:val="20"/>
              </w:rPr>
            </w:pPr>
          </w:p>
        </w:tc>
      </w:tr>
      <w:tr w:rsidR="008517F2" w:rsidRPr="004543D9" w14:paraId="75CB10FC" w14:textId="77777777" w:rsidTr="008517F2">
        <w:trPr>
          <w:trHeight w:val="320"/>
          <w:jc w:val="center"/>
        </w:trPr>
        <w:tc>
          <w:tcPr>
            <w:tcW w:w="3420" w:type="dxa"/>
          </w:tcPr>
          <w:p w14:paraId="28087F61" w14:textId="77777777" w:rsidR="008517F2" w:rsidRPr="002A063A" w:rsidRDefault="008517F2" w:rsidP="008517F2">
            <w:pPr>
              <w:rPr>
                <w:color w:val="000000"/>
                <w:sz w:val="20"/>
                <w:szCs w:val="20"/>
              </w:rPr>
            </w:pPr>
            <w:r w:rsidRPr="002A063A">
              <w:rPr>
                <w:color w:val="000000"/>
                <w:sz w:val="20"/>
                <w:szCs w:val="20"/>
              </w:rPr>
              <w:t>Gomes CM, Giraldo PC, Gomes Fde A, Amaral R, Passos MR, Gonçalves AK.</w:t>
            </w:r>
          </w:p>
        </w:tc>
        <w:tc>
          <w:tcPr>
            <w:tcW w:w="4770" w:type="dxa"/>
          </w:tcPr>
          <w:p w14:paraId="690B6914" w14:textId="77777777" w:rsidR="008517F2" w:rsidRPr="002A063A" w:rsidRDefault="008517F2" w:rsidP="008517F2">
            <w:pPr>
              <w:rPr>
                <w:color w:val="000000"/>
                <w:sz w:val="20"/>
                <w:szCs w:val="20"/>
              </w:rPr>
            </w:pPr>
            <w:r w:rsidRPr="002A063A">
              <w:rPr>
                <w:color w:val="000000"/>
                <w:sz w:val="20"/>
                <w:szCs w:val="20"/>
              </w:rPr>
              <w:t>[Management of STDS at the primary care level. Recommendations for STD treatment].</w:t>
            </w:r>
          </w:p>
        </w:tc>
      </w:tr>
      <w:tr w:rsidR="008517F2" w:rsidRPr="004543D9" w14:paraId="2D0EFCF8" w14:textId="77777777" w:rsidTr="008517F2">
        <w:trPr>
          <w:trHeight w:val="320"/>
          <w:jc w:val="center"/>
        </w:trPr>
        <w:tc>
          <w:tcPr>
            <w:tcW w:w="3420" w:type="dxa"/>
          </w:tcPr>
          <w:p w14:paraId="0A5782E5" w14:textId="77777777" w:rsidR="008517F2" w:rsidRPr="002A063A" w:rsidRDefault="008517F2" w:rsidP="008517F2">
            <w:pPr>
              <w:rPr>
                <w:color w:val="000000"/>
                <w:sz w:val="20"/>
                <w:szCs w:val="20"/>
              </w:rPr>
            </w:pPr>
            <w:r w:rsidRPr="002A063A">
              <w:rPr>
                <w:color w:val="000000"/>
                <w:sz w:val="20"/>
                <w:szCs w:val="20"/>
              </w:rPr>
              <w:t>Braz J Infect Dis. 2007 Apr;11(2):254-60. doi: 10.1590/s1413-86702007000200018.</w:t>
            </w:r>
          </w:p>
        </w:tc>
        <w:tc>
          <w:tcPr>
            <w:tcW w:w="4770" w:type="dxa"/>
          </w:tcPr>
          <w:p w14:paraId="5A453BAB" w14:textId="77777777" w:rsidR="008517F2" w:rsidRPr="002A063A" w:rsidRDefault="008517F2" w:rsidP="008517F2">
            <w:pPr>
              <w:rPr>
                <w:color w:val="000000"/>
                <w:sz w:val="20"/>
                <w:szCs w:val="20"/>
              </w:rPr>
            </w:pPr>
          </w:p>
        </w:tc>
      </w:tr>
      <w:tr w:rsidR="008517F2" w:rsidRPr="004543D9" w14:paraId="58D19E8B" w14:textId="77777777" w:rsidTr="008517F2">
        <w:trPr>
          <w:trHeight w:val="320"/>
          <w:jc w:val="center"/>
        </w:trPr>
        <w:tc>
          <w:tcPr>
            <w:tcW w:w="3420" w:type="dxa"/>
          </w:tcPr>
          <w:p w14:paraId="330B7483" w14:textId="77777777" w:rsidR="008517F2" w:rsidRPr="002A063A" w:rsidRDefault="008517F2" w:rsidP="008517F2">
            <w:pPr>
              <w:rPr>
                <w:color w:val="000000"/>
                <w:sz w:val="20"/>
                <w:szCs w:val="20"/>
              </w:rPr>
            </w:pPr>
            <w:r w:rsidRPr="002A063A">
              <w:rPr>
                <w:color w:val="000000"/>
                <w:sz w:val="20"/>
                <w:szCs w:val="20"/>
              </w:rPr>
              <w:t>PMID: 17625773</w:t>
            </w:r>
          </w:p>
        </w:tc>
        <w:tc>
          <w:tcPr>
            <w:tcW w:w="4770" w:type="dxa"/>
          </w:tcPr>
          <w:p w14:paraId="598184D4" w14:textId="77777777" w:rsidR="008517F2" w:rsidRPr="002A063A" w:rsidRDefault="008517F2" w:rsidP="008517F2">
            <w:pPr>
              <w:rPr>
                <w:color w:val="000000"/>
                <w:sz w:val="20"/>
                <w:szCs w:val="20"/>
              </w:rPr>
            </w:pPr>
          </w:p>
        </w:tc>
      </w:tr>
      <w:tr w:rsidR="008517F2" w:rsidRPr="004543D9" w14:paraId="1E021196" w14:textId="77777777" w:rsidTr="008517F2">
        <w:trPr>
          <w:trHeight w:val="320"/>
          <w:jc w:val="center"/>
        </w:trPr>
        <w:tc>
          <w:tcPr>
            <w:tcW w:w="3420" w:type="dxa"/>
          </w:tcPr>
          <w:p w14:paraId="7CBC190D"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571A10C4" w14:textId="77777777" w:rsidR="008517F2" w:rsidRPr="002A063A" w:rsidRDefault="008517F2" w:rsidP="008517F2">
            <w:pPr>
              <w:rPr>
                <w:color w:val="000000"/>
                <w:sz w:val="20"/>
                <w:szCs w:val="20"/>
              </w:rPr>
            </w:pPr>
          </w:p>
        </w:tc>
      </w:tr>
      <w:tr w:rsidR="008517F2" w:rsidRPr="004543D9" w14:paraId="7354B7ED" w14:textId="77777777" w:rsidTr="008517F2">
        <w:trPr>
          <w:trHeight w:val="320"/>
          <w:jc w:val="center"/>
        </w:trPr>
        <w:tc>
          <w:tcPr>
            <w:tcW w:w="3420" w:type="dxa"/>
          </w:tcPr>
          <w:p w14:paraId="50696DED" w14:textId="77777777" w:rsidR="008517F2" w:rsidRPr="002A063A" w:rsidRDefault="008517F2" w:rsidP="008517F2">
            <w:pPr>
              <w:rPr>
                <w:color w:val="000000"/>
                <w:sz w:val="20"/>
                <w:szCs w:val="20"/>
              </w:rPr>
            </w:pPr>
            <w:r w:rsidRPr="002A063A">
              <w:rPr>
                <w:color w:val="000000"/>
                <w:sz w:val="20"/>
                <w:szCs w:val="20"/>
              </w:rPr>
              <w:t>Oliver L, Wald A, Kim M, Zeh J, Selke S, Ashley R, Corey L.</w:t>
            </w:r>
          </w:p>
        </w:tc>
        <w:tc>
          <w:tcPr>
            <w:tcW w:w="4770" w:type="dxa"/>
          </w:tcPr>
          <w:p w14:paraId="77AAED0B" w14:textId="77777777" w:rsidR="008517F2" w:rsidRPr="002A063A" w:rsidRDefault="008517F2" w:rsidP="008517F2">
            <w:pPr>
              <w:rPr>
                <w:color w:val="000000"/>
                <w:sz w:val="20"/>
                <w:szCs w:val="20"/>
              </w:rPr>
            </w:pPr>
            <w:r w:rsidRPr="002A063A">
              <w:rPr>
                <w:color w:val="000000"/>
                <w:sz w:val="20"/>
                <w:szCs w:val="20"/>
              </w:rPr>
              <w:t>Genital ulcers in women: clinical, microbiologic and histopathologic characteristics.</w:t>
            </w:r>
          </w:p>
        </w:tc>
      </w:tr>
      <w:tr w:rsidR="008517F2" w:rsidRPr="004543D9" w14:paraId="63E31F94" w14:textId="77777777" w:rsidTr="008517F2">
        <w:trPr>
          <w:trHeight w:val="320"/>
          <w:jc w:val="center"/>
        </w:trPr>
        <w:tc>
          <w:tcPr>
            <w:tcW w:w="3420" w:type="dxa"/>
          </w:tcPr>
          <w:p w14:paraId="142105E6" w14:textId="77777777" w:rsidR="008517F2" w:rsidRPr="002A063A" w:rsidRDefault="008517F2" w:rsidP="008517F2">
            <w:pPr>
              <w:rPr>
                <w:color w:val="000000"/>
                <w:sz w:val="20"/>
                <w:szCs w:val="20"/>
              </w:rPr>
            </w:pPr>
            <w:r w:rsidRPr="002A063A">
              <w:rPr>
                <w:color w:val="000000"/>
                <w:sz w:val="20"/>
                <w:szCs w:val="20"/>
              </w:rPr>
              <w:t>Arch Fam Med. 1995 Mar;4(3):228-32. doi: 10.1001/archfami.4.3.228.</w:t>
            </w:r>
          </w:p>
        </w:tc>
        <w:tc>
          <w:tcPr>
            <w:tcW w:w="4770" w:type="dxa"/>
          </w:tcPr>
          <w:p w14:paraId="51EBF357" w14:textId="77777777" w:rsidR="008517F2" w:rsidRPr="002A063A" w:rsidRDefault="008517F2" w:rsidP="008517F2">
            <w:pPr>
              <w:rPr>
                <w:color w:val="000000"/>
                <w:sz w:val="20"/>
                <w:szCs w:val="20"/>
              </w:rPr>
            </w:pPr>
          </w:p>
        </w:tc>
      </w:tr>
      <w:tr w:rsidR="008517F2" w:rsidRPr="004543D9" w14:paraId="3882B26D" w14:textId="77777777" w:rsidTr="008517F2">
        <w:trPr>
          <w:trHeight w:val="320"/>
          <w:jc w:val="center"/>
        </w:trPr>
        <w:tc>
          <w:tcPr>
            <w:tcW w:w="3420" w:type="dxa"/>
          </w:tcPr>
          <w:p w14:paraId="1B3F5BD7" w14:textId="77777777" w:rsidR="008517F2" w:rsidRPr="002A063A" w:rsidRDefault="008517F2" w:rsidP="008517F2">
            <w:pPr>
              <w:rPr>
                <w:color w:val="000000"/>
                <w:sz w:val="20"/>
                <w:szCs w:val="20"/>
              </w:rPr>
            </w:pPr>
            <w:r w:rsidRPr="002A063A">
              <w:rPr>
                <w:color w:val="000000"/>
                <w:sz w:val="20"/>
                <w:szCs w:val="20"/>
              </w:rPr>
              <w:t>PMID: 7881604</w:t>
            </w:r>
          </w:p>
        </w:tc>
        <w:tc>
          <w:tcPr>
            <w:tcW w:w="4770" w:type="dxa"/>
          </w:tcPr>
          <w:p w14:paraId="68B3103C" w14:textId="77777777" w:rsidR="008517F2" w:rsidRPr="002A063A" w:rsidRDefault="008517F2" w:rsidP="008517F2">
            <w:pPr>
              <w:rPr>
                <w:color w:val="000000"/>
                <w:sz w:val="20"/>
                <w:szCs w:val="20"/>
              </w:rPr>
            </w:pPr>
          </w:p>
        </w:tc>
      </w:tr>
      <w:tr w:rsidR="008517F2" w:rsidRPr="004543D9" w14:paraId="2DF7F6FC" w14:textId="77777777" w:rsidTr="008517F2">
        <w:trPr>
          <w:trHeight w:val="320"/>
          <w:jc w:val="center"/>
        </w:trPr>
        <w:tc>
          <w:tcPr>
            <w:tcW w:w="3420" w:type="dxa"/>
          </w:tcPr>
          <w:p w14:paraId="0903D744"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7366131B" w14:textId="77777777" w:rsidR="008517F2" w:rsidRPr="002A063A" w:rsidRDefault="008517F2" w:rsidP="008517F2">
            <w:pPr>
              <w:rPr>
                <w:color w:val="000000"/>
                <w:sz w:val="20"/>
                <w:szCs w:val="20"/>
              </w:rPr>
            </w:pPr>
          </w:p>
        </w:tc>
      </w:tr>
      <w:tr w:rsidR="008517F2" w:rsidRPr="004543D9" w14:paraId="1024ED69" w14:textId="77777777" w:rsidTr="008517F2">
        <w:trPr>
          <w:trHeight w:val="320"/>
          <w:jc w:val="center"/>
        </w:trPr>
        <w:tc>
          <w:tcPr>
            <w:tcW w:w="3420" w:type="dxa"/>
          </w:tcPr>
          <w:p w14:paraId="1CCAE4E9" w14:textId="77777777" w:rsidR="008517F2" w:rsidRPr="002A063A" w:rsidRDefault="008517F2" w:rsidP="008517F2">
            <w:pPr>
              <w:rPr>
                <w:color w:val="000000"/>
                <w:sz w:val="20"/>
                <w:szCs w:val="20"/>
              </w:rPr>
            </w:pPr>
            <w:r w:rsidRPr="002A063A">
              <w:rPr>
                <w:color w:val="000000"/>
                <w:sz w:val="20"/>
                <w:szCs w:val="20"/>
              </w:rPr>
              <w:t>Kwena Z, Sharma A, Wamae N, Muga C, Bukusi E.</w:t>
            </w:r>
          </w:p>
        </w:tc>
        <w:tc>
          <w:tcPr>
            <w:tcW w:w="4770" w:type="dxa"/>
          </w:tcPr>
          <w:p w14:paraId="2EBC7D70" w14:textId="77777777" w:rsidR="008517F2" w:rsidRPr="002A063A" w:rsidRDefault="008517F2" w:rsidP="008517F2">
            <w:pPr>
              <w:rPr>
                <w:color w:val="000000"/>
                <w:sz w:val="20"/>
                <w:szCs w:val="20"/>
              </w:rPr>
            </w:pPr>
            <w:r w:rsidRPr="002A063A">
              <w:rPr>
                <w:color w:val="000000"/>
                <w:sz w:val="20"/>
                <w:szCs w:val="20"/>
              </w:rPr>
              <w:t>Seroprevalence of herpes simplex virus infections in a family medicine clinic.</w:t>
            </w:r>
          </w:p>
        </w:tc>
      </w:tr>
      <w:tr w:rsidR="008517F2" w:rsidRPr="004543D9" w14:paraId="3E56FBCD" w14:textId="77777777" w:rsidTr="008517F2">
        <w:trPr>
          <w:trHeight w:val="320"/>
          <w:jc w:val="center"/>
        </w:trPr>
        <w:tc>
          <w:tcPr>
            <w:tcW w:w="3420" w:type="dxa"/>
          </w:tcPr>
          <w:p w14:paraId="73B47FB3" w14:textId="77777777" w:rsidR="008517F2" w:rsidRPr="002A063A" w:rsidRDefault="008517F2" w:rsidP="008517F2">
            <w:pPr>
              <w:rPr>
                <w:color w:val="000000"/>
                <w:sz w:val="20"/>
                <w:szCs w:val="20"/>
              </w:rPr>
            </w:pPr>
            <w:r w:rsidRPr="002A063A">
              <w:rPr>
                <w:color w:val="000000"/>
                <w:sz w:val="20"/>
                <w:szCs w:val="20"/>
              </w:rPr>
              <w:t>Sex Transm Dis. 2008 May;35(5):480-3. doi: 10.1097/OLQ.0b013e3181644b84.</w:t>
            </w:r>
          </w:p>
        </w:tc>
        <w:tc>
          <w:tcPr>
            <w:tcW w:w="4770" w:type="dxa"/>
          </w:tcPr>
          <w:p w14:paraId="6E93FCD2" w14:textId="77777777" w:rsidR="008517F2" w:rsidRPr="002A063A" w:rsidRDefault="008517F2" w:rsidP="008517F2">
            <w:pPr>
              <w:rPr>
                <w:color w:val="000000"/>
                <w:sz w:val="20"/>
                <w:szCs w:val="20"/>
              </w:rPr>
            </w:pPr>
          </w:p>
        </w:tc>
      </w:tr>
      <w:tr w:rsidR="008517F2" w:rsidRPr="004543D9" w14:paraId="14EED46F" w14:textId="77777777" w:rsidTr="008517F2">
        <w:trPr>
          <w:trHeight w:val="320"/>
          <w:jc w:val="center"/>
        </w:trPr>
        <w:tc>
          <w:tcPr>
            <w:tcW w:w="3420" w:type="dxa"/>
          </w:tcPr>
          <w:p w14:paraId="2A06B686" w14:textId="77777777" w:rsidR="008517F2" w:rsidRPr="002A063A" w:rsidRDefault="008517F2" w:rsidP="008517F2">
            <w:pPr>
              <w:rPr>
                <w:color w:val="000000"/>
                <w:sz w:val="20"/>
                <w:szCs w:val="20"/>
              </w:rPr>
            </w:pPr>
            <w:r w:rsidRPr="002A063A">
              <w:rPr>
                <w:color w:val="000000"/>
                <w:sz w:val="20"/>
                <w:szCs w:val="20"/>
              </w:rPr>
              <w:lastRenderedPageBreak/>
              <w:t>PMID: 18360315</w:t>
            </w:r>
          </w:p>
        </w:tc>
        <w:tc>
          <w:tcPr>
            <w:tcW w:w="4770" w:type="dxa"/>
          </w:tcPr>
          <w:p w14:paraId="5E94FE5B" w14:textId="77777777" w:rsidR="008517F2" w:rsidRPr="002A063A" w:rsidRDefault="008517F2" w:rsidP="008517F2">
            <w:pPr>
              <w:rPr>
                <w:color w:val="000000"/>
                <w:sz w:val="20"/>
                <w:szCs w:val="20"/>
              </w:rPr>
            </w:pPr>
          </w:p>
        </w:tc>
      </w:tr>
      <w:tr w:rsidR="008517F2" w:rsidRPr="004543D9" w14:paraId="366E098A" w14:textId="77777777" w:rsidTr="008517F2">
        <w:trPr>
          <w:trHeight w:val="320"/>
          <w:jc w:val="center"/>
        </w:trPr>
        <w:tc>
          <w:tcPr>
            <w:tcW w:w="3420" w:type="dxa"/>
            <w:tcBorders>
              <w:bottom w:val="nil"/>
            </w:tcBorders>
          </w:tcPr>
          <w:p w14:paraId="295864F7"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Borders>
              <w:bottom w:val="nil"/>
            </w:tcBorders>
          </w:tcPr>
          <w:p w14:paraId="3F262BE0" w14:textId="77777777" w:rsidR="008517F2" w:rsidRPr="002A063A" w:rsidRDefault="008517F2" w:rsidP="008517F2">
            <w:pPr>
              <w:rPr>
                <w:color w:val="000000"/>
                <w:sz w:val="20"/>
                <w:szCs w:val="20"/>
              </w:rPr>
            </w:pPr>
          </w:p>
        </w:tc>
      </w:tr>
      <w:tr w:rsidR="008517F2" w:rsidRPr="004543D9" w14:paraId="3FF494DA" w14:textId="77777777" w:rsidTr="008517F2">
        <w:trPr>
          <w:trHeight w:val="320"/>
          <w:jc w:val="center"/>
        </w:trPr>
        <w:tc>
          <w:tcPr>
            <w:tcW w:w="3420" w:type="dxa"/>
            <w:tcBorders>
              <w:bottom w:val="nil"/>
            </w:tcBorders>
          </w:tcPr>
          <w:p w14:paraId="3670D2D1" w14:textId="77777777" w:rsidR="008517F2" w:rsidRPr="002A063A" w:rsidRDefault="008517F2" w:rsidP="008517F2">
            <w:pPr>
              <w:rPr>
                <w:color w:val="000000"/>
                <w:sz w:val="20"/>
                <w:szCs w:val="20"/>
              </w:rPr>
            </w:pPr>
            <w:r w:rsidRPr="002A063A">
              <w:rPr>
                <w:color w:val="000000"/>
                <w:sz w:val="20"/>
                <w:szCs w:val="20"/>
              </w:rPr>
              <w:t>Fleming DT, Levine WC, Trees DL, Tambe P, Toomey K, St Louis ME.</w:t>
            </w:r>
          </w:p>
        </w:tc>
        <w:tc>
          <w:tcPr>
            <w:tcW w:w="4770" w:type="dxa"/>
            <w:tcBorders>
              <w:bottom w:val="nil"/>
            </w:tcBorders>
          </w:tcPr>
          <w:p w14:paraId="2154740B" w14:textId="77777777" w:rsidR="008517F2" w:rsidRPr="002A063A" w:rsidRDefault="008517F2" w:rsidP="008517F2">
            <w:pPr>
              <w:rPr>
                <w:color w:val="000000"/>
                <w:sz w:val="20"/>
                <w:szCs w:val="20"/>
              </w:rPr>
            </w:pPr>
            <w:r w:rsidRPr="002A063A">
              <w:rPr>
                <w:color w:val="000000"/>
                <w:sz w:val="20"/>
                <w:szCs w:val="20"/>
              </w:rPr>
              <w:t>Provider characteristics among staff providing care to sexually transmitted infection self-medicating patients in retail pharmacies in Kibera slum, Nairobi, Kenya.</w:t>
            </w:r>
          </w:p>
        </w:tc>
      </w:tr>
      <w:tr w:rsidR="008517F2" w:rsidRPr="004543D9" w14:paraId="6D8573C3" w14:textId="77777777" w:rsidTr="008517F2">
        <w:trPr>
          <w:trHeight w:val="320"/>
          <w:jc w:val="center"/>
        </w:trPr>
        <w:tc>
          <w:tcPr>
            <w:tcW w:w="8190" w:type="dxa"/>
            <w:gridSpan w:val="2"/>
            <w:tcBorders>
              <w:top w:val="nil"/>
            </w:tcBorders>
          </w:tcPr>
          <w:p w14:paraId="24FF3448" w14:textId="77777777" w:rsidR="008517F2" w:rsidRDefault="008517F2" w:rsidP="008517F2">
            <w:pPr>
              <w:rPr>
                <w:i/>
                <w:iCs/>
                <w:color w:val="000000"/>
                <w:sz w:val="22"/>
                <w:szCs w:val="22"/>
              </w:rPr>
            </w:pPr>
          </w:p>
        </w:tc>
      </w:tr>
      <w:tr w:rsidR="008517F2" w:rsidRPr="004543D9" w14:paraId="36D3A516" w14:textId="77777777" w:rsidTr="008517F2">
        <w:trPr>
          <w:trHeight w:val="320"/>
          <w:jc w:val="center"/>
        </w:trPr>
        <w:tc>
          <w:tcPr>
            <w:tcW w:w="3420" w:type="dxa"/>
          </w:tcPr>
          <w:p w14:paraId="24518F58" w14:textId="77777777" w:rsidR="008517F2" w:rsidRPr="002A063A" w:rsidRDefault="008517F2" w:rsidP="008517F2">
            <w:pPr>
              <w:rPr>
                <w:color w:val="000000"/>
                <w:sz w:val="20"/>
                <w:szCs w:val="20"/>
              </w:rPr>
            </w:pPr>
            <w:r w:rsidRPr="002A063A">
              <w:rPr>
                <w:color w:val="000000"/>
                <w:sz w:val="20"/>
                <w:szCs w:val="20"/>
              </w:rPr>
              <w:t>Sex Transm Dis. 2000 Feb;27(2):68-73. doi: 10.1097/00007435-200002000-00003.</w:t>
            </w:r>
          </w:p>
        </w:tc>
        <w:tc>
          <w:tcPr>
            <w:tcW w:w="4770" w:type="dxa"/>
          </w:tcPr>
          <w:p w14:paraId="67F4D671" w14:textId="77777777" w:rsidR="008517F2" w:rsidRPr="002A063A" w:rsidRDefault="008517F2" w:rsidP="008517F2">
            <w:pPr>
              <w:rPr>
                <w:color w:val="000000"/>
                <w:sz w:val="20"/>
                <w:szCs w:val="20"/>
              </w:rPr>
            </w:pPr>
            <w:r w:rsidRPr="002A063A">
              <w:rPr>
                <w:color w:val="000000"/>
                <w:sz w:val="20"/>
                <w:szCs w:val="20"/>
              </w:rPr>
              <w:t>Syphilis in Atlanta during an era of declining incidence.</w:t>
            </w:r>
          </w:p>
        </w:tc>
      </w:tr>
      <w:tr w:rsidR="008517F2" w:rsidRPr="004543D9" w14:paraId="38BF3FC5" w14:textId="77777777" w:rsidTr="008517F2">
        <w:trPr>
          <w:trHeight w:val="320"/>
          <w:jc w:val="center"/>
        </w:trPr>
        <w:tc>
          <w:tcPr>
            <w:tcW w:w="3420" w:type="dxa"/>
          </w:tcPr>
          <w:p w14:paraId="70711661" w14:textId="77777777" w:rsidR="008517F2" w:rsidRPr="002A063A" w:rsidRDefault="008517F2" w:rsidP="008517F2">
            <w:pPr>
              <w:rPr>
                <w:color w:val="000000"/>
                <w:sz w:val="20"/>
                <w:szCs w:val="20"/>
              </w:rPr>
            </w:pPr>
            <w:r w:rsidRPr="002A063A">
              <w:rPr>
                <w:color w:val="000000"/>
                <w:sz w:val="20"/>
                <w:szCs w:val="20"/>
              </w:rPr>
              <w:t>PMID: 10676972</w:t>
            </w:r>
          </w:p>
        </w:tc>
        <w:tc>
          <w:tcPr>
            <w:tcW w:w="4770" w:type="dxa"/>
          </w:tcPr>
          <w:p w14:paraId="3D747BD4" w14:textId="77777777" w:rsidR="008517F2" w:rsidRPr="002A063A" w:rsidRDefault="008517F2" w:rsidP="008517F2">
            <w:pPr>
              <w:rPr>
                <w:color w:val="000000"/>
                <w:sz w:val="20"/>
                <w:szCs w:val="20"/>
              </w:rPr>
            </w:pPr>
          </w:p>
        </w:tc>
      </w:tr>
      <w:tr w:rsidR="008517F2" w:rsidRPr="004543D9" w14:paraId="6A32F2C1" w14:textId="77777777" w:rsidTr="008517F2">
        <w:trPr>
          <w:trHeight w:val="320"/>
          <w:jc w:val="center"/>
        </w:trPr>
        <w:tc>
          <w:tcPr>
            <w:tcW w:w="3420" w:type="dxa"/>
          </w:tcPr>
          <w:p w14:paraId="1BFE348C"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02329962" w14:textId="77777777" w:rsidR="008517F2" w:rsidRPr="002A063A" w:rsidRDefault="008517F2" w:rsidP="008517F2">
            <w:pPr>
              <w:rPr>
                <w:color w:val="000000"/>
                <w:sz w:val="20"/>
                <w:szCs w:val="20"/>
              </w:rPr>
            </w:pPr>
          </w:p>
        </w:tc>
      </w:tr>
      <w:tr w:rsidR="008517F2" w:rsidRPr="004543D9" w14:paraId="3CBFEDE4" w14:textId="77777777" w:rsidTr="008517F2">
        <w:trPr>
          <w:trHeight w:val="320"/>
          <w:jc w:val="center"/>
        </w:trPr>
        <w:tc>
          <w:tcPr>
            <w:tcW w:w="3420" w:type="dxa"/>
          </w:tcPr>
          <w:p w14:paraId="3F97D21F" w14:textId="77777777" w:rsidR="008517F2" w:rsidRPr="002A063A" w:rsidRDefault="008517F2" w:rsidP="008517F2">
            <w:pPr>
              <w:rPr>
                <w:color w:val="000000"/>
                <w:sz w:val="20"/>
                <w:szCs w:val="20"/>
              </w:rPr>
            </w:pPr>
            <w:r w:rsidRPr="002A063A">
              <w:rPr>
                <w:color w:val="000000"/>
                <w:sz w:val="20"/>
                <w:szCs w:val="20"/>
              </w:rPr>
              <w:t>Go VF, Quan VM, A C, Zenilman JM, Moulton LH, Celentano DD.</w:t>
            </w:r>
          </w:p>
        </w:tc>
        <w:tc>
          <w:tcPr>
            <w:tcW w:w="4770" w:type="dxa"/>
          </w:tcPr>
          <w:p w14:paraId="3E64D158" w14:textId="77777777" w:rsidR="008517F2" w:rsidRPr="002A063A" w:rsidRDefault="008517F2" w:rsidP="008517F2">
            <w:pPr>
              <w:rPr>
                <w:color w:val="000000"/>
                <w:sz w:val="20"/>
                <w:szCs w:val="20"/>
              </w:rPr>
            </w:pPr>
            <w:r w:rsidRPr="002A063A">
              <w:rPr>
                <w:color w:val="000000"/>
                <w:sz w:val="20"/>
                <w:szCs w:val="20"/>
              </w:rPr>
              <w:t>Barriers to reproductive tract infection (RTI) care among Vietnamese women: implications for RTI control programs.</w:t>
            </w:r>
          </w:p>
        </w:tc>
      </w:tr>
      <w:tr w:rsidR="008517F2" w:rsidRPr="004543D9" w14:paraId="16E27D84" w14:textId="77777777" w:rsidTr="008517F2">
        <w:trPr>
          <w:trHeight w:val="320"/>
          <w:jc w:val="center"/>
        </w:trPr>
        <w:tc>
          <w:tcPr>
            <w:tcW w:w="3420" w:type="dxa"/>
          </w:tcPr>
          <w:p w14:paraId="2A162443" w14:textId="77777777" w:rsidR="008517F2" w:rsidRPr="002A063A" w:rsidRDefault="008517F2" w:rsidP="008517F2">
            <w:pPr>
              <w:rPr>
                <w:color w:val="000000"/>
                <w:sz w:val="20"/>
                <w:szCs w:val="20"/>
              </w:rPr>
            </w:pPr>
            <w:r w:rsidRPr="002A063A">
              <w:rPr>
                <w:color w:val="000000"/>
                <w:sz w:val="20"/>
                <w:szCs w:val="20"/>
              </w:rPr>
              <w:t>Sex Transm Dis. 2002 Apr;29(4):201-6. doi: 10.1097/00007435-200204000-00003.</w:t>
            </w:r>
          </w:p>
        </w:tc>
        <w:tc>
          <w:tcPr>
            <w:tcW w:w="4770" w:type="dxa"/>
          </w:tcPr>
          <w:p w14:paraId="2E79EF6A" w14:textId="77777777" w:rsidR="008517F2" w:rsidRPr="002A063A" w:rsidRDefault="008517F2" w:rsidP="008517F2">
            <w:pPr>
              <w:rPr>
                <w:color w:val="000000"/>
                <w:sz w:val="20"/>
                <w:szCs w:val="20"/>
              </w:rPr>
            </w:pPr>
          </w:p>
        </w:tc>
      </w:tr>
      <w:tr w:rsidR="008517F2" w:rsidRPr="004543D9" w14:paraId="0A000015" w14:textId="77777777" w:rsidTr="008517F2">
        <w:trPr>
          <w:trHeight w:val="320"/>
          <w:jc w:val="center"/>
        </w:trPr>
        <w:tc>
          <w:tcPr>
            <w:tcW w:w="3420" w:type="dxa"/>
          </w:tcPr>
          <w:p w14:paraId="09F5F9C9" w14:textId="77777777" w:rsidR="008517F2" w:rsidRPr="002A063A" w:rsidRDefault="008517F2" w:rsidP="008517F2">
            <w:pPr>
              <w:rPr>
                <w:color w:val="000000"/>
                <w:sz w:val="20"/>
                <w:szCs w:val="20"/>
              </w:rPr>
            </w:pPr>
            <w:r w:rsidRPr="002A063A">
              <w:rPr>
                <w:color w:val="000000"/>
                <w:sz w:val="20"/>
                <w:szCs w:val="20"/>
              </w:rPr>
              <w:t>PMID: 11912460</w:t>
            </w:r>
          </w:p>
        </w:tc>
        <w:tc>
          <w:tcPr>
            <w:tcW w:w="4770" w:type="dxa"/>
          </w:tcPr>
          <w:p w14:paraId="3C7C5CC7" w14:textId="77777777" w:rsidR="008517F2" w:rsidRPr="002A063A" w:rsidRDefault="008517F2" w:rsidP="008517F2">
            <w:pPr>
              <w:rPr>
                <w:color w:val="000000"/>
                <w:sz w:val="20"/>
                <w:szCs w:val="20"/>
              </w:rPr>
            </w:pPr>
          </w:p>
        </w:tc>
      </w:tr>
      <w:tr w:rsidR="008517F2" w:rsidRPr="004543D9" w14:paraId="745DB32C" w14:textId="77777777" w:rsidTr="008517F2">
        <w:trPr>
          <w:trHeight w:val="320"/>
          <w:jc w:val="center"/>
        </w:trPr>
        <w:tc>
          <w:tcPr>
            <w:tcW w:w="3420" w:type="dxa"/>
          </w:tcPr>
          <w:p w14:paraId="3D0FEB8A"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26CBD2AB" w14:textId="77777777" w:rsidR="008517F2" w:rsidRPr="002A063A" w:rsidRDefault="008517F2" w:rsidP="008517F2">
            <w:pPr>
              <w:rPr>
                <w:color w:val="000000"/>
                <w:sz w:val="20"/>
                <w:szCs w:val="20"/>
              </w:rPr>
            </w:pPr>
          </w:p>
        </w:tc>
      </w:tr>
      <w:tr w:rsidR="008517F2" w:rsidRPr="004543D9" w14:paraId="061BD1BB" w14:textId="77777777" w:rsidTr="008517F2">
        <w:trPr>
          <w:trHeight w:val="320"/>
          <w:jc w:val="center"/>
        </w:trPr>
        <w:tc>
          <w:tcPr>
            <w:tcW w:w="3420" w:type="dxa"/>
          </w:tcPr>
          <w:p w14:paraId="49AFA302" w14:textId="77777777" w:rsidR="008517F2" w:rsidRPr="002A063A" w:rsidRDefault="008517F2" w:rsidP="008517F2">
            <w:pPr>
              <w:rPr>
                <w:color w:val="000000"/>
                <w:sz w:val="20"/>
                <w:szCs w:val="20"/>
              </w:rPr>
            </w:pPr>
            <w:r w:rsidRPr="002A063A">
              <w:rPr>
                <w:color w:val="000000"/>
                <w:sz w:val="20"/>
                <w:szCs w:val="20"/>
              </w:rPr>
              <w:t>Wakgari N, Woyo T, Kebede E, Gemeda H, Gebremedhin S.</w:t>
            </w:r>
          </w:p>
        </w:tc>
        <w:tc>
          <w:tcPr>
            <w:tcW w:w="4770" w:type="dxa"/>
          </w:tcPr>
          <w:p w14:paraId="720D5FA9" w14:textId="77777777" w:rsidR="008517F2" w:rsidRPr="002A063A" w:rsidRDefault="008517F2" w:rsidP="008517F2">
            <w:pPr>
              <w:rPr>
                <w:color w:val="000000"/>
                <w:sz w:val="20"/>
                <w:szCs w:val="20"/>
              </w:rPr>
            </w:pPr>
            <w:r w:rsidRPr="002A063A">
              <w:rPr>
                <w:color w:val="000000"/>
                <w:sz w:val="20"/>
                <w:szCs w:val="20"/>
              </w:rPr>
              <w:t>Sexually transmitted disease among street dwellers in southern Ethiopia: a mixed methods study design.</w:t>
            </w:r>
          </w:p>
        </w:tc>
      </w:tr>
      <w:tr w:rsidR="008517F2" w:rsidRPr="004543D9" w14:paraId="46A76B57" w14:textId="77777777" w:rsidTr="008517F2">
        <w:trPr>
          <w:trHeight w:val="320"/>
          <w:jc w:val="center"/>
        </w:trPr>
        <w:tc>
          <w:tcPr>
            <w:tcW w:w="3420" w:type="dxa"/>
          </w:tcPr>
          <w:p w14:paraId="7449A5CF" w14:textId="77777777" w:rsidR="008517F2" w:rsidRPr="002A063A" w:rsidRDefault="008517F2" w:rsidP="008517F2">
            <w:pPr>
              <w:rPr>
                <w:color w:val="000000"/>
                <w:sz w:val="20"/>
                <w:szCs w:val="20"/>
              </w:rPr>
            </w:pPr>
            <w:r w:rsidRPr="002A063A">
              <w:rPr>
                <w:color w:val="000000"/>
                <w:sz w:val="20"/>
                <w:szCs w:val="20"/>
              </w:rPr>
              <w:t>BMC Public Health. 2020 Apr 3;20(1):434. doi: 10.1186/s12889-020-08584-x.</w:t>
            </w:r>
          </w:p>
        </w:tc>
        <w:tc>
          <w:tcPr>
            <w:tcW w:w="4770" w:type="dxa"/>
          </w:tcPr>
          <w:p w14:paraId="486ADCDA" w14:textId="77777777" w:rsidR="008517F2" w:rsidRPr="002A063A" w:rsidRDefault="008517F2" w:rsidP="008517F2">
            <w:pPr>
              <w:rPr>
                <w:color w:val="000000"/>
                <w:sz w:val="20"/>
                <w:szCs w:val="20"/>
              </w:rPr>
            </w:pPr>
          </w:p>
        </w:tc>
      </w:tr>
      <w:tr w:rsidR="008517F2" w:rsidRPr="004543D9" w14:paraId="2384A95E" w14:textId="77777777" w:rsidTr="008517F2">
        <w:trPr>
          <w:trHeight w:val="320"/>
          <w:jc w:val="center"/>
        </w:trPr>
        <w:tc>
          <w:tcPr>
            <w:tcW w:w="3420" w:type="dxa"/>
          </w:tcPr>
          <w:p w14:paraId="1FCDC1C6" w14:textId="77777777" w:rsidR="008517F2" w:rsidRPr="002A063A" w:rsidRDefault="008517F2" w:rsidP="008517F2">
            <w:pPr>
              <w:rPr>
                <w:color w:val="000000"/>
                <w:sz w:val="20"/>
                <w:szCs w:val="20"/>
              </w:rPr>
            </w:pPr>
            <w:r w:rsidRPr="002A063A">
              <w:rPr>
                <w:color w:val="000000"/>
                <w:sz w:val="20"/>
                <w:szCs w:val="20"/>
              </w:rPr>
              <w:t>PMID: 32245375 Free PMC article.</w:t>
            </w:r>
          </w:p>
        </w:tc>
        <w:tc>
          <w:tcPr>
            <w:tcW w:w="4770" w:type="dxa"/>
          </w:tcPr>
          <w:p w14:paraId="338F8240" w14:textId="77777777" w:rsidR="008517F2" w:rsidRPr="002A063A" w:rsidRDefault="008517F2" w:rsidP="008517F2">
            <w:pPr>
              <w:rPr>
                <w:color w:val="000000"/>
                <w:sz w:val="20"/>
                <w:szCs w:val="20"/>
              </w:rPr>
            </w:pPr>
          </w:p>
        </w:tc>
      </w:tr>
      <w:tr w:rsidR="008517F2" w:rsidRPr="004543D9" w14:paraId="79885662" w14:textId="77777777" w:rsidTr="008517F2">
        <w:trPr>
          <w:trHeight w:val="320"/>
          <w:jc w:val="center"/>
        </w:trPr>
        <w:tc>
          <w:tcPr>
            <w:tcW w:w="3420" w:type="dxa"/>
          </w:tcPr>
          <w:p w14:paraId="33624601"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5C245972" w14:textId="77777777" w:rsidR="008517F2" w:rsidRPr="002A063A" w:rsidRDefault="008517F2" w:rsidP="008517F2">
            <w:pPr>
              <w:rPr>
                <w:color w:val="000000"/>
                <w:sz w:val="20"/>
                <w:szCs w:val="20"/>
              </w:rPr>
            </w:pPr>
          </w:p>
        </w:tc>
      </w:tr>
      <w:tr w:rsidR="008517F2" w:rsidRPr="004543D9" w14:paraId="16E02A04" w14:textId="77777777" w:rsidTr="008517F2">
        <w:trPr>
          <w:trHeight w:val="320"/>
          <w:jc w:val="center"/>
        </w:trPr>
        <w:tc>
          <w:tcPr>
            <w:tcW w:w="3420" w:type="dxa"/>
          </w:tcPr>
          <w:p w14:paraId="7E66E3FC" w14:textId="77777777" w:rsidR="008517F2" w:rsidRPr="002A063A" w:rsidRDefault="008517F2" w:rsidP="008517F2">
            <w:pPr>
              <w:rPr>
                <w:color w:val="000000"/>
                <w:sz w:val="20"/>
                <w:szCs w:val="20"/>
              </w:rPr>
            </w:pPr>
            <w:r w:rsidRPr="002A063A">
              <w:rPr>
                <w:color w:val="000000"/>
                <w:sz w:val="20"/>
                <w:szCs w:val="20"/>
              </w:rPr>
              <w:t>Msuya SE, Mbizvo EM, Stray-Pedersen B, Uriyo J, Sam NE, Rusakaniko S, Hussain A.</w:t>
            </w:r>
          </w:p>
        </w:tc>
        <w:tc>
          <w:tcPr>
            <w:tcW w:w="4770" w:type="dxa"/>
          </w:tcPr>
          <w:p w14:paraId="4C453A73" w14:textId="77777777" w:rsidR="008517F2" w:rsidRPr="002A063A" w:rsidRDefault="008517F2" w:rsidP="008517F2">
            <w:pPr>
              <w:rPr>
                <w:color w:val="000000"/>
                <w:sz w:val="20"/>
                <w:szCs w:val="20"/>
              </w:rPr>
            </w:pPr>
            <w:r w:rsidRPr="002A063A">
              <w:rPr>
                <w:color w:val="000000"/>
                <w:sz w:val="20"/>
                <w:szCs w:val="20"/>
              </w:rPr>
              <w:t>Decline in HIV prevalence among women of childbearing age in Moshi urban, Tanzania.</w:t>
            </w:r>
          </w:p>
        </w:tc>
      </w:tr>
      <w:tr w:rsidR="008517F2" w:rsidRPr="004543D9" w14:paraId="6045782C" w14:textId="77777777" w:rsidTr="008517F2">
        <w:trPr>
          <w:trHeight w:val="320"/>
          <w:jc w:val="center"/>
        </w:trPr>
        <w:tc>
          <w:tcPr>
            <w:tcW w:w="3420" w:type="dxa"/>
          </w:tcPr>
          <w:p w14:paraId="30B8A5EF" w14:textId="77777777" w:rsidR="008517F2" w:rsidRPr="002A063A" w:rsidRDefault="008517F2" w:rsidP="008517F2">
            <w:pPr>
              <w:rPr>
                <w:color w:val="000000"/>
                <w:sz w:val="20"/>
                <w:szCs w:val="20"/>
              </w:rPr>
            </w:pPr>
            <w:r w:rsidRPr="002A063A">
              <w:rPr>
                <w:color w:val="000000"/>
                <w:sz w:val="20"/>
                <w:szCs w:val="20"/>
              </w:rPr>
              <w:t>Int J STD AIDS. 2007 Oct;18(10):680-7. doi: 10.1258/095646207782193858.</w:t>
            </w:r>
          </w:p>
        </w:tc>
        <w:tc>
          <w:tcPr>
            <w:tcW w:w="4770" w:type="dxa"/>
          </w:tcPr>
          <w:p w14:paraId="36C28A6E" w14:textId="77777777" w:rsidR="008517F2" w:rsidRPr="002A063A" w:rsidRDefault="008517F2" w:rsidP="008517F2">
            <w:pPr>
              <w:rPr>
                <w:color w:val="000000"/>
                <w:sz w:val="20"/>
                <w:szCs w:val="20"/>
              </w:rPr>
            </w:pPr>
          </w:p>
        </w:tc>
      </w:tr>
      <w:tr w:rsidR="008517F2" w:rsidRPr="004543D9" w14:paraId="67954B9E" w14:textId="77777777" w:rsidTr="008517F2">
        <w:trPr>
          <w:trHeight w:val="320"/>
          <w:jc w:val="center"/>
        </w:trPr>
        <w:tc>
          <w:tcPr>
            <w:tcW w:w="3420" w:type="dxa"/>
          </w:tcPr>
          <w:p w14:paraId="6420247F" w14:textId="77777777" w:rsidR="008517F2" w:rsidRPr="002A063A" w:rsidRDefault="008517F2" w:rsidP="008517F2">
            <w:pPr>
              <w:rPr>
                <w:color w:val="000000"/>
                <w:sz w:val="20"/>
                <w:szCs w:val="20"/>
              </w:rPr>
            </w:pPr>
            <w:r w:rsidRPr="002A063A">
              <w:rPr>
                <w:color w:val="000000"/>
                <w:sz w:val="20"/>
                <w:szCs w:val="20"/>
              </w:rPr>
              <w:t>PMID: 17945046</w:t>
            </w:r>
          </w:p>
        </w:tc>
        <w:tc>
          <w:tcPr>
            <w:tcW w:w="4770" w:type="dxa"/>
          </w:tcPr>
          <w:p w14:paraId="40250749" w14:textId="77777777" w:rsidR="008517F2" w:rsidRPr="002A063A" w:rsidRDefault="008517F2" w:rsidP="008517F2">
            <w:pPr>
              <w:rPr>
                <w:color w:val="000000"/>
                <w:sz w:val="20"/>
                <w:szCs w:val="20"/>
              </w:rPr>
            </w:pPr>
          </w:p>
        </w:tc>
      </w:tr>
      <w:tr w:rsidR="008517F2" w:rsidRPr="004543D9" w14:paraId="04DB0C0B" w14:textId="77777777" w:rsidTr="008517F2">
        <w:trPr>
          <w:trHeight w:val="320"/>
          <w:jc w:val="center"/>
        </w:trPr>
        <w:tc>
          <w:tcPr>
            <w:tcW w:w="3420" w:type="dxa"/>
          </w:tcPr>
          <w:p w14:paraId="6582CCE7"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65FBB852" w14:textId="77777777" w:rsidR="008517F2" w:rsidRPr="002A063A" w:rsidRDefault="008517F2" w:rsidP="008517F2">
            <w:pPr>
              <w:rPr>
                <w:color w:val="000000"/>
                <w:sz w:val="20"/>
                <w:szCs w:val="20"/>
              </w:rPr>
            </w:pPr>
          </w:p>
        </w:tc>
      </w:tr>
      <w:tr w:rsidR="008517F2" w:rsidRPr="004543D9" w14:paraId="47058A27" w14:textId="77777777" w:rsidTr="008517F2">
        <w:trPr>
          <w:trHeight w:val="320"/>
          <w:jc w:val="center"/>
        </w:trPr>
        <w:tc>
          <w:tcPr>
            <w:tcW w:w="3420" w:type="dxa"/>
          </w:tcPr>
          <w:p w14:paraId="6269A4D6" w14:textId="77777777" w:rsidR="008517F2" w:rsidRPr="002A063A" w:rsidRDefault="008517F2" w:rsidP="008517F2">
            <w:pPr>
              <w:rPr>
                <w:color w:val="000000"/>
                <w:sz w:val="20"/>
                <w:szCs w:val="20"/>
              </w:rPr>
            </w:pPr>
            <w:r w:rsidRPr="002A063A">
              <w:rPr>
                <w:color w:val="000000"/>
                <w:sz w:val="20"/>
                <w:szCs w:val="20"/>
              </w:rPr>
              <w:t>Kwena ZA, Sharma A, Muga C, Wamae N, Bukusi EA.</w:t>
            </w:r>
          </w:p>
        </w:tc>
        <w:tc>
          <w:tcPr>
            <w:tcW w:w="4770" w:type="dxa"/>
          </w:tcPr>
          <w:p w14:paraId="09E59158" w14:textId="77777777" w:rsidR="008517F2" w:rsidRPr="002A063A" w:rsidRDefault="008517F2" w:rsidP="008517F2">
            <w:pPr>
              <w:rPr>
                <w:color w:val="000000"/>
                <w:sz w:val="20"/>
                <w:szCs w:val="20"/>
              </w:rPr>
            </w:pPr>
            <w:r w:rsidRPr="002A063A">
              <w:rPr>
                <w:color w:val="000000"/>
                <w:sz w:val="20"/>
                <w:szCs w:val="20"/>
              </w:rPr>
              <w:t>Management of simulated patients with sexually transmitted infections by staff of retail pharmacies in Kibera slums of Nairobi.</w:t>
            </w:r>
          </w:p>
        </w:tc>
      </w:tr>
      <w:tr w:rsidR="008517F2" w:rsidRPr="004543D9" w14:paraId="630DCCCB" w14:textId="77777777" w:rsidTr="008517F2">
        <w:trPr>
          <w:trHeight w:val="320"/>
          <w:jc w:val="center"/>
        </w:trPr>
        <w:tc>
          <w:tcPr>
            <w:tcW w:w="3420" w:type="dxa"/>
          </w:tcPr>
          <w:p w14:paraId="3A91C1F3" w14:textId="77777777" w:rsidR="008517F2" w:rsidRPr="002A063A" w:rsidRDefault="008517F2" w:rsidP="008517F2">
            <w:pPr>
              <w:rPr>
                <w:color w:val="000000"/>
                <w:sz w:val="20"/>
                <w:szCs w:val="20"/>
              </w:rPr>
            </w:pPr>
            <w:r w:rsidRPr="002A063A">
              <w:rPr>
                <w:color w:val="000000"/>
                <w:sz w:val="20"/>
                <w:szCs w:val="20"/>
              </w:rPr>
              <w:t>East Afr Med J. 2008 Sep;85(9):419-24. doi: 10.4314/eamj.v85i9.117082.</w:t>
            </w:r>
          </w:p>
        </w:tc>
        <w:tc>
          <w:tcPr>
            <w:tcW w:w="4770" w:type="dxa"/>
          </w:tcPr>
          <w:p w14:paraId="04CA6192" w14:textId="77777777" w:rsidR="008517F2" w:rsidRPr="002A063A" w:rsidRDefault="008517F2" w:rsidP="008517F2">
            <w:pPr>
              <w:rPr>
                <w:color w:val="000000"/>
                <w:sz w:val="20"/>
                <w:szCs w:val="20"/>
              </w:rPr>
            </w:pPr>
          </w:p>
        </w:tc>
      </w:tr>
      <w:tr w:rsidR="008517F2" w:rsidRPr="004543D9" w14:paraId="2125B668" w14:textId="77777777" w:rsidTr="008517F2">
        <w:trPr>
          <w:trHeight w:val="320"/>
          <w:jc w:val="center"/>
        </w:trPr>
        <w:tc>
          <w:tcPr>
            <w:tcW w:w="3420" w:type="dxa"/>
          </w:tcPr>
          <w:p w14:paraId="23766EC6" w14:textId="77777777" w:rsidR="008517F2" w:rsidRPr="002A063A" w:rsidRDefault="008517F2" w:rsidP="008517F2">
            <w:pPr>
              <w:rPr>
                <w:color w:val="000000"/>
                <w:sz w:val="20"/>
                <w:szCs w:val="20"/>
              </w:rPr>
            </w:pPr>
            <w:r w:rsidRPr="002A063A">
              <w:rPr>
                <w:color w:val="000000"/>
                <w:sz w:val="20"/>
                <w:szCs w:val="20"/>
              </w:rPr>
              <w:t>PMID: 19537413</w:t>
            </w:r>
          </w:p>
        </w:tc>
        <w:tc>
          <w:tcPr>
            <w:tcW w:w="4770" w:type="dxa"/>
          </w:tcPr>
          <w:p w14:paraId="11847268" w14:textId="77777777" w:rsidR="008517F2" w:rsidRPr="002A063A" w:rsidRDefault="008517F2" w:rsidP="008517F2">
            <w:pPr>
              <w:rPr>
                <w:color w:val="000000"/>
                <w:sz w:val="20"/>
                <w:szCs w:val="20"/>
              </w:rPr>
            </w:pPr>
          </w:p>
        </w:tc>
      </w:tr>
      <w:tr w:rsidR="008517F2" w:rsidRPr="004543D9" w14:paraId="51E07468" w14:textId="77777777" w:rsidTr="008517F2">
        <w:trPr>
          <w:trHeight w:val="320"/>
          <w:jc w:val="center"/>
        </w:trPr>
        <w:tc>
          <w:tcPr>
            <w:tcW w:w="3420" w:type="dxa"/>
            <w:tcBorders>
              <w:bottom w:val="nil"/>
            </w:tcBorders>
          </w:tcPr>
          <w:p w14:paraId="3ED37738"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Borders>
              <w:bottom w:val="nil"/>
            </w:tcBorders>
          </w:tcPr>
          <w:p w14:paraId="5191651A" w14:textId="77777777" w:rsidR="008517F2" w:rsidRPr="002A063A" w:rsidRDefault="008517F2" w:rsidP="008517F2">
            <w:pPr>
              <w:rPr>
                <w:color w:val="000000"/>
                <w:sz w:val="20"/>
                <w:szCs w:val="20"/>
              </w:rPr>
            </w:pPr>
          </w:p>
        </w:tc>
      </w:tr>
      <w:tr w:rsidR="008517F2" w:rsidRPr="004543D9" w14:paraId="74D8B02D" w14:textId="77777777" w:rsidTr="008517F2">
        <w:trPr>
          <w:trHeight w:val="320"/>
          <w:jc w:val="center"/>
        </w:trPr>
        <w:tc>
          <w:tcPr>
            <w:tcW w:w="3420" w:type="dxa"/>
          </w:tcPr>
          <w:p w14:paraId="2ADE8B14" w14:textId="77777777" w:rsidR="008517F2" w:rsidRPr="002A063A" w:rsidRDefault="008517F2" w:rsidP="008517F2">
            <w:pPr>
              <w:rPr>
                <w:color w:val="000000"/>
                <w:sz w:val="20"/>
                <w:szCs w:val="20"/>
              </w:rPr>
            </w:pPr>
            <w:r w:rsidRPr="002A063A">
              <w:rPr>
                <w:color w:val="000000"/>
                <w:sz w:val="20"/>
                <w:szCs w:val="20"/>
              </w:rPr>
              <w:t>Laga M.</w:t>
            </w:r>
          </w:p>
        </w:tc>
        <w:tc>
          <w:tcPr>
            <w:tcW w:w="4770" w:type="dxa"/>
          </w:tcPr>
          <w:p w14:paraId="368A5B2D" w14:textId="77777777" w:rsidR="008517F2" w:rsidRPr="002A063A" w:rsidRDefault="008517F2" w:rsidP="008517F2">
            <w:pPr>
              <w:rPr>
                <w:color w:val="000000"/>
                <w:sz w:val="20"/>
                <w:szCs w:val="20"/>
              </w:rPr>
            </w:pPr>
            <w:r w:rsidRPr="002A063A">
              <w:rPr>
                <w:color w:val="000000"/>
                <w:sz w:val="20"/>
                <w:szCs w:val="20"/>
              </w:rPr>
              <w:t>Epidemiology and control of sexually transmitted diseases in developing countries.</w:t>
            </w:r>
          </w:p>
        </w:tc>
      </w:tr>
      <w:tr w:rsidR="008517F2" w:rsidRPr="004543D9" w14:paraId="266AE4F3" w14:textId="77777777" w:rsidTr="008517F2">
        <w:trPr>
          <w:trHeight w:val="320"/>
          <w:jc w:val="center"/>
        </w:trPr>
        <w:tc>
          <w:tcPr>
            <w:tcW w:w="3420" w:type="dxa"/>
            <w:tcBorders>
              <w:bottom w:val="nil"/>
            </w:tcBorders>
          </w:tcPr>
          <w:p w14:paraId="37EB9E97" w14:textId="77777777" w:rsidR="008517F2" w:rsidRDefault="008517F2" w:rsidP="008517F2">
            <w:pPr>
              <w:rPr>
                <w:color w:val="000000"/>
                <w:sz w:val="20"/>
                <w:szCs w:val="20"/>
              </w:rPr>
            </w:pPr>
            <w:r w:rsidRPr="002A063A">
              <w:rPr>
                <w:color w:val="000000"/>
                <w:sz w:val="20"/>
                <w:szCs w:val="20"/>
              </w:rPr>
              <w:t>Sex Transm Dis. 1994 Mar-Apr;21(2 Suppl):S45-50.</w:t>
            </w:r>
          </w:p>
          <w:p w14:paraId="652FE497" w14:textId="77777777" w:rsidR="008517F2" w:rsidRPr="002A063A" w:rsidRDefault="008517F2" w:rsidP="008517F2">
            <w:pPr>
              <w:rPr>
                <w:color w:val="000000"/>
                <w:sz w:val="20"/>
                <w:szCs w:val="20"/>
              </w:rPr>
            </w:pPr>
            <w:r w:rsidRPr="00F5297F">
              <w:rPr>
                <w:color w:val="000000"/>
                <w:sz w:val="20"/>
                <w:szCs w:val="20"/>
              </w:rPr>
              <w:t>PMID: 8042115 Review.</w:t>
            </w:r>
          </w:p>
        </w:tc>
        <w:tc>
          <w:tcPr>
            <w:tcW w:w="4770" w:type="dxa"/>
            <w:tcBorders>
              <w:bottom w:val="nil"/>
            </w:tcBorders>
          </w:tcPr>
          <w:p w14:paraId="7961579C" w14:textId="77777777" w:rsidR="008517F2" w:rsidRPr="002A063A" w:rsidRDefault="008517F2" w:rsidP="008517F2">
            <w:pPr>
              <w:rPr>
                <w:color w:val="000000"/>
                <w:sz w:val="20"/>
                <w:szCs w:val="20"/>
              </w:rPr>
            </w:pPr>
          </w:p>
        </w:tc>
      </w:tr>
      <w:tr w:rsidR="008517F2" w:rsidRPr="004543D9" w14:paraId="41B9B2D2" w14:textId="77777777" w:rsidTr="008517F2">
        <w:trPr>
          <w:trHeight w:val="320"/>
          <w:jc w:val="center"/>
        </w:trPr>
        <w:tc>
          <w:tcPr>
            <w:tcW w:w="3420" w:type="dxa"/>
          </w:tcPr>
          <w:p w14:paraId="6DDDF9B1" w14:textId="77777777" w:rsidR="008517F2" w:rsidRPr="002A063A" w:rsidRDefault="008517F2" w:rsidP="008517F2">
            <w:pPr>
              <w:rPr>
                <w:color w:val="000000"/>
                <w:sz w:val="20"/>
                <w:szCs w:val="20"/>
              </w:rPr>
            </w:pPr>
            <w:r w:rsidRPr="002A063A">
              <w:rPr>
                <w:color w:val="000000"/>
                <w:sz w:val="20"/>
                <w:szCs w:val="20"/>
              </w:rPr>
              <w:t>Mayhew S, Nzambi K, Pépin J, Adjei S.</w:t>
            </w:r>
          </w:p>
        </w:tc>
        <w:tc>
          <w:tcPr>
            <w:tcW w:w="4770" w:type="dxa"/>
          </w:tcPr>
          <w:p w14:paraId="77C0FD13" w14:textId="77777777" w:rsidR="008517F2" w:rsidRPr="002A063A" w:rsidRDefault="008517F2" w:rsidP="008517F2">
            <w:pPr>
              <w:rPr>
                <w:color w:val="000000"/>
                <w:sz w:val="20"/>
                <w:szCs w:val="20"/>
              </w:rPr>
            </w:pPr>
            <w:r w:rsidRPr="002A063A">
              <w:rPr>
                <w:color w:val="000000"/>
                <w:sz w:val="20"/>
                <w:szCs w:val="20"/>
              </w:rPr>
              <w:t>Pharmacists' role in managing sexually transmitted infections: policy issues and options for Ghana.</w:t>
            </w:r>
          </w:p>
        </w:tc>
      </w:tr>
      <w:tr w:rsidR="008517F2" w:rsidRPr="004543D9" w14:paraId="4C2A9EA7" w14:textId="77777777" w:rsidTr="008517F2">
        <w:trPr>
          <w:trHeight w:val="320"/>
          <w:jc w:val="center"/>
        </w:trPr>
        <w:tc>
          <w:tcPr>
            <w:tcW w:w="3420" w:type="dxa"/>
          </w:tcPr>
          <w:p w14:paraId="0C0DF1F1" w14:textId="77777777" w:rsidR="008517F2" w:rsidRPr="002A063A" w:rsidRDefault="008517F2" w:rsidP="008517F2">
            <w:pPr>
              <w:rPr>
                <w:color w:val="000000"/>
                <w:sz w:val="20"/>
                <w:szCs w:val="20"/>
              </w:rPr>
            </w:pPr>
            <w:r w:rsidRPr="002A063A">
              <w:rPr>
                <w:color w:val="000000"/>
                <w:sz w:val="20"/>
                <w:szCs w:val="20"/>
              </w:rPr>
              <w:t>Health Policy Plan. 2001 Jun;16(2):152-60. doi: 10.1093/heapol/16.2.152.</w:t>
            </w:r>
          </w:p>
        </w:tc>
        <w:tc>
          <w:tcPr>
            <w:tcW w:w="4770" w:type="dxa"/>
          </w:tcPr>
          <w:p w14:paraId="0E076140" w14:textId="77777777" w:rsidR="008517F2" w:rsidRPr="002A063A" w:rsidRDefault="008517F2" w:rsidP="008517F2">
            <w:pPr>
              <w:rPr>
                <w:color w:val="000000"/>
                <w:sz w:val="20"/>
                <w:szCs w:val="20"/>
              </w:rPr>
            </w:pPr>
          </w:p>
        </w:tc>
      </w:tr>
      <w:tr w:rsidR="008517F2" w:rsidRPr="004543D9" w14:paraId="14911048" w14:textId="77777777" w:rsidTr="008517F2">
        <w:trPr>
          <w:trHeight w:val="320"/>
          <w:jc w:val="center"/>
        </w:trPr>
        <w:tc>
          <w:tcPr>
            <w:tcW w:w="3420" w:type="dxa"/>
          </w:tcPr>
          <w:p w14:paraId="1A1554AC" w14:textId="77777777" w:rsidR="008517F2" w:rsidRPr="002A063A" w:rsidRDefault="008517F2" w:rsidP="008517F2">
            <w:pPr>
              <w:rPr>
                <w:color w:val="000000"/>
                <w:sz w:val="20"/>
                <w:szCs w:val="20"/>
              </w:rPr>
            </w:pPr>
            <w:r w:rsidRPr="002A063A">
              <w:rPr>
                <w:color w:val="000000"/>
                <w:sz w:val="20"/>
                <w:szCs w:val="20"/>
              </w:rPr>
              <w:lastRenderedPageBreak/>
              <w:t>PMID: 11358916</w:t>
            </w:r>
          </w:p>
        </w:tc>
        <w:tc>
          <w:tcPr>
            <w:tcW w:w="4770" w:type="dxa"/>
          </w:tcPr>
          <w:p w14:paraId="3F5E0275" w14:textId="77777777" w:rsidR="008517F2" w:rsidRPr="002A063A" w:rsidRDefault="008517F2" w:rsidP="008517F2">
            <w:pPr>
              <w:rPr>
                <w:color w:val="000000"/>
                <w:sz w:val="20"/>
                <w:szCs w:val="20"/>
              </w:rPr>
            </w:pPr>
          </w:p>
        </w:tc>
      </w:tr>
      <w:tr w:rsidR="008517F2" w:rsidRPr="004543D9" w14:paraId="04B118AD" w14:textId="77777777" w:rsidTr="008517F2">
        <w:trPr>
          <w:trHeight w:val="320"/>
          <w:jc w:val="center"/>
        </w:trPr>
        <w:tc>
          <w:tcPr>
            <w:tcW w:w="3420" w:type="dxa"/>
            <w:tcBorders>
              <w:bottom w:val="nil"/>
            </w:tcBorders>
          </w:tcPr>
          <w:p w14:paraId="1C2A6277" w14:textId="77777777" w:rsidR="008517F2" w:rsidRPr="002A063A" w:rsidRDefault="008517F2" w:rsidP="008517F2">
            <w:pPr>
              <w:rPr>
                <w:color w:val="000000"/>
                <w:sz w:val="20"/>
                <w:szCs w:val="20"/>
              </w:rPr>
            </w:pPr>
            <w:r w:rsidRPr="002A063A">
              <w:rPr>
                <w:color w:val="000000"/>
                <w:sz w:val="20"/>
                <w:szCs w:val="20"/>
              </w:rPr>
              <w:t>Bensen C, Stern J, Skinner E, Beutner K, Conant M, Tyring S, Reitano M, Davis G, Wald A.</w:t>
            </w:r>
          </w:p>
        </w:tc>
        <w:tc>
          <w:tcPr>
            <w:tcW w:w="4770" w:type="dxa"/>
            <w:tcBorders>
              <w:bottom w:val="nil"/>
            </w:tcBorders>
          </w:tcPr>
          <w:p w14:paraId="21102D93" w14:textId="77777777" w:rsidR="008517F2" w:rsidRPr="002A063A" w:rsidRDefault="008517F2" w:rsidP="008517F2">
            <w:pPr>
              <w:rPr>
                <w:color w:val="000000"/>
                <w:sz w:val="20"/>
                <w:szCs w:val="20"/>
              </w:rPr>
            </w:pPr>
            <w:r w:rsidRPr="002A063A">
              <w:rPr>
                <w:color w:val="000000"/>
                <w:sz w:val="20"/>
                <w:szCs w:val="20"/>
              </w:rPr>
              <w:t>An interactive, computer-based program to educate patients about genital herpes.</w:t>
            </w:r>
          </w:p>
        </w:tc>
      </w:tr>
      <w:tr w:rsidR="008517F2" w:rsidRPr="004543D9" w14:paraId="6659D31A" w14:textId="77777777" w:rsidTr="008517F2">
        <w:trPr>
          <w:trHeight w:val="320"/>
          <w:jc w:val="center"/>
        </w:trPr>
        <w:tc>
          <w:tcPr>
            <w:tcW w:w="3420" w:type="dxa"/>
          </w:tcPr>
          <w:p w14:paraId="60BAE801" w14:textId="77777777" w:rsidR="008517F2" w:rsidRPr="002A063A" w:rsidRDefault="008517F2" w:rsidP="008517F2">
            <w:pPr>
              <w:rPr>
                <w:color w:val="000000"/>
                <w:sz w:val="20"/>
                <w:szCs w:val="20"/>
              </w:rPr>
            </w:pPr>
            <w:r w:rsidRPr="002A063A">
              <w:rPr>
                <w:color w:val="000000"/>
                <w:sz w:val="20"/>
                <w:szCs w:val="20"/>
              </w:rPr>
              <w:t>Sex Transm Dis. 1999 Jul;26(6):364-8. doi: 10.1097/00007435-199907000-00010.</w:t>
            </w:r>
          </w:p>
        </w:tc>
        <w:tc>
          <w:tcPr>
            <w:tcW w:w="4770" w:type="dxa"/>
          </w:tcPr>
          <w:p w14:paraId="7D635250" w14:textId="77777777" w:rsidR="008517F2" w:rsidRPr="002A063A" w:rsidRDefault="008517F2" w:rsidP="008517F2">
            <w:pPr>
              <w:rPr>
                <w:color w:val="000000"/>
                <w:sz w:val="20"/>
                <w:szCs w:val="20"/>
              </w:rPr>
            </w:pPr>
          </w:p>
        </w:tc>
      </w:tr>
      <w:tr w:rsidR="008517F2" w:rsidRPr="004543D9" w14:paraId="5E0729DB" w14:textId="77777777" w:rsidTr="008517F2">
        <w:trPr>
          <w:trHeight w:val="320"/>
          <w:jc w:val="center"/>
        </w:trPr>
        <w:tc>
          <w:tcPr>
            <w:tcW w:w="3420" w:type="dxa"/>
          </w:tcPr>
          <w:p w14:paraId="1F047905" w14:textId="77777777" w:rsidR="008517F2" w:rsidRPr="002A063A" w:rsidRDefault="008517F2" w:rsidP="008517F2">
            <w:pPr>
              <w:rPr>
                <w:color w:val="000000"/>
                <w:sz w:val="20"/>
                <w:szCs w:val="20"/>
              </w:rPr>
            </w:pPr>
            <w:r w:rsidRPr="002A063A">
              <w:rPr>
                <w:color w:val="000000"/>
                <w:sz w:val="20"/>
                <w:szCs w:val="20"/>
              </w:rPr>
              <w:t>PMID: 10417026</w:t>
            </w:r>
          </w:p>
        </w:tc>
        <w:tc>
          <w:tcPr>
            <w:tcW w:w="4770" w:type="dxa"/>
          </w:tcPr>
          <w:p w14:paraId="09A36FDD" w14:textId="77777777" w:rsidR="008517F2" w:rsidRPr="002A063A" w:rsidRDefault="008517F2" w:rsidP="008517F2">
            <w:pPr>
              <w:rPr>
                <w:color w:val="000000"/>
                <w:sz w:val="20"/>
                <w:szCs w:val="20"/>
              </w:rPr>
            </w:pPr>
          </w:p>
        </w:tc>
      </w:tr>
      <w:tr w:rsidR="008517F2" w:rsidRPr="004543D9" w14:paraId="12079933" w14:textId="77777777" w:rsidTr="008517F2">
        <w:trPr>
          <w:trHeight w:val="320"/>
          <w:jc w:val="center"/>
        </w:trPr>
        <w:tc>
          <w:tcPr>
            <w:tcW w:w="3420" w:type="dxa"/>
          </w:tcPr>
          <w:p w14:paraId="53DD95B7"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76C5818B" w14:textId="77777777" w:rsidR="008517F2" w:rsidRPr="002A063A" w:rsidRDefault="008517F2" w:rsidP="008517F2">
            <w:pPr>
              <w:rPr>
                <w:color w:val="000000"/>
                <w:sz w:val="20"/>
                <w:szCs w:val="20"/>
              </w:rPr>
            </w:pPr>
          </w:p>
        </w:tc>
      </w:tr>
      <w:tr w:rsidR="008517F2" w:rsidRPr="004543D9" w14:paraId="573619CA" w14:textId="77777777" w:rsidTr="008517F2">
        <w:trPr>
          <w:trHeight w:val="320"/>
          <w:jc w:val="center"/>
        </w:trPr>
        <w:tc>
          <w:tcPr>
            <w:tcW w:w="3420" w:type="dxa"/>
          </w:tcPr>
          <w:p w14:paraId="488CFBFD" w14:textId="77777777" w:rsidR="008517F2" w:rsidRPr="002A063A" w:rsidRDefault="008517F2" w:rsidP="008517F2">
            <w:pPr>
              <w:rPr>
                <w:color w:val="000000"/>
                <w:sz w:val="20"/>
                <w:szCs w:val="20"/>
              </w:rPr>
            </w:pPr>
            <w:r w:rsidRPr="002A063A">
              <w:rPr>
                <w:color w:val="000000"/>
                <w:sz w:val="20"/>
                <w:szCs w:val="20"/>
              </w:rPr>
              <w:t>Parker KA, Koumans EH, Hawkins RV, Massanga M, Somse P, Barker K, Moran J.</w:t>
            </w:r>
          </w:p>
        </w:tc>
        <w:tc>
          <w:tcPr>
            <w:tcW w:w="4770" w:type="dxa"/>
          </w:tcPr>
          <w:p w14:paraId="63ABF72B" w14:textId="77777777" w:rsidR="008517F2" w:rsidRPr="002A063A" w:rsidRDefault="008517F2" w:rsidP="008517F2">
            <w:pPr>
              <w:rPr>
                <w:color w:val="000000"/>
                <w:sz w:val="20"/>
                <w:szCs w:val="20"/>
              </w:rPr>
            </w:pPr>
            <w:r w:rsidRPr="002A063A">
              <w:rPr>
                <w:color w:val="000000"/>
                <w:sz w:val="20"/>
                <w:szCs w:val="20"/>
              </w:rPr>
              <w:t>Providing low-cost sexually transmitted diseases services in two semi-urban health centers in Central African Republic (CAR): characteristics of patients and patterns of health care-seeking behavior.</w:t>
            </w:r>
          </w:p>
        </w:tc>
      </w:tr>
      <w:tr w:rsidR="008517F2" w:rsidRPr="004543D9" w14:paraId="6D726037" w14:textId="77777777" w:rsidTr="008517F2">
        <w:trPr>
          <w:trHeight w:val="320"/>
          <w:jc w:val="center"/>
        </w:trPr>
        <w:tc>
          <w:tcPr>
            <w:tcW w:w="3420" w:type="dxa"/>
          </w:tcPr>
          <w:p w14:paraId="51884D2C" w14:textId="77777777" w:rsidR="008517F2" w:rsidRPr="002A063A" w:rsidRDefault="008517F2" w:rsidP="008517F2">
            <w:pPr>
              <w:rPr>
                <w:color w:val="000000"/>
                <w:sz w:val="20"/>
                <w:szCs w:val="20"/>
              </w:rPr>
            </w:pPr>
            <w:r w:rsidRPr="002A063A">
              <w:rPr>
                <w:color w:val="000000"/>
                <w:sz w:val="20"/>
                <w:szCs w:val="20"/>
              </w:rPr>
              <w:t>Sex Transm Dis. 1999 Oct;26(9):508-16. doi: 10.1097/00007435-199910000-00005.</w:t>
            </w:r>
          </w:p>
        </w:tc>
        <w:tc>
          <w:tcPr>
            <w:tcW w:w="4770" w:type="dxa"/>
          </w:tcPr>
          <w:p w14:paraId="7505754F" w14:textId="77777777" w:rsidR="008517F2" w:rsidRPr="002A063A" w:rsidRDefault="008517F2" w:rsidP="008517F2">
            <w:pPr>
              <w:rPr>
                <w:color w:val="000000"/>
                <w:sz w:val="20"/>
                <w:szCs w:val="20"/>
              </w:rPr>
            </w:pPr>
          </w:p>
        </w:tc>
      </w:tr>
      <w:tr w:rsidR="008517F2" w:rsidRPr="004543D9" w14:paraId="6020E545" w14:textId="77777777" w:rsidTr="008517F2">
        <w:trPr>
          <w:trHeight w:val="320"/>
          <w:jc w:val="center"/>
        </w:trPr>
        <w:tc>
          <w:tcPr>
            <w:tcW w:w="3420" w:type="dxa"/>
          </w:tcPr>
          <w:p w14:paraId="57E21C62" w14:textId="77777777" w:rsidR="008517F2" w:rsidRPr="002A063A" w:rsidRDefault="008517F2" w:rsidP="008517F2">
            <w:pPr>
              <w:rPr>
                <w:color w:val="000000"/>
                <w:sz w:val="20"/>
                <w:szCs w:val="20"/>
              </w:rPr>
            </w:pPr>
            <w:r w:rsidRPr="002A063A">
              <w:rPr>
                <w:color w:val="000000"/>
                <w:sz w:val="20"/>
                <w:szCs w:val="20"/>
              </w:rPr>
              <w:t>PMID: 10534204</w:t>
            </w:r>
          </w:p>
        </w:tc>
        <w:tc>
          <w:tcPr>
            <w:tcW w:w="4770" w:type="dxa"/>
          </w:tcPr>
          <w:p w14:paraId="1867C5ED" w14:textId="77777777" w:rsidR="008517F2" w:rsidRPr="002A063A" w:rsidRDefault="008517F2" w:rsidP="008517F2">
            <w:pPr>
              <w:rPr>
                <w:color w:val="000000"/>
                <w:sz w:val="20"/>
                <w:szCs w:val="20"/>
              </w:rPr>
            </w:pPr>
          </w:p>
        </w:tc>
      </w:tr>
      <w:tr w:rsidR="008517F2" w:rsidRPr="004543D9" w14:paraId="77D8FC21" w14:textId="77777777" w:rsidTr="008517F2">
        <w:trPr>
          <w:trHeight w:val="320"/>
          <w:jc w:val="center"/>
        </w:trPr>
        <w:tc>
          <w:tcPr>
            <w:tcW w:w="3420" w:type="dxa"/>
          </w:tcPr>
          <w:p w14:paraId="69086F8A"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03ABFB6B" w14:textId="77777777" w:rsidR="008517F2" w:rsidRPr="002A063A" w:rsidRDefault="008517F2" w:rsidP="008517F2">
            <w:pPr>
              <w:rPr>
                <w:color w:val="000000"/>
                <w:sz w:val="20"/>
                <w:szCs w:val="20"/>
              </w:rPr>
            </w:pPr>
          </w:p>
        </w:tc>
      </w:tr>
      <w:tr w:rsidR="008517F2" w:rsidRPr="004543D9" w14:paraId="2E6E4980" w14:textId="77777777" w:rsidTr="008517F2">
        <w:trPr>
          <w:trHeight w:val="320"/>
          <w:jc w:val="center"/>
        </w:trPr>
        <w:tc>
          <w:tcPr>
            <w:tcW w:w="3420" w:type="dxa"/>
          </w:tcPr>
          <w:p w14:paraId="5A4D6A09" w14:textId="77777777" w:rsidR="008517F2" w:rsidRPr="002A063A" w:rsidRDefault="008517F2" w:rsidP="008517F2">
            <w:pPr>
              <w:rPr>
                <w:color w:val="000000"/>
                <w:sz w:val="20"/>
                <w:szCs w:val="20"/>
              </w:rPr>
            </w:pPr>
            <w:r w:rsidRPr="002A063A">
              <w:rPr>
                <w:color w:val="000000"/>
                <w:sz w:val="20"/>
                <w:szCs w:val="20"/>
              </w:rPr>
              <w:t>Wald A, Stern JO, Skinner EP, Beutner K, Conant MA, Tyring SK, Reitano MV, Davis G.</w:t>
            </w:r>
          </w:p>
        </w:tc>
        <w:tc>
          <w:tcPr>
            <w:tcW w:w="4770" w:type="dxa"/>
          </w:tcPr>
          <w:p w14:paraId="66E9B269" w14:textId="77777777" w:rsidR="008517F2" w:rsidRPr="002A063A" w:rsidRDefault="008517F2" w:rsidP="008517F2">
            <w:pPr>
              <w:rPr>
                <w:color w:val="000000"/>
                <w:sz w:val="20"/>
                <w:szCs w:val="20"/>
              </w:rPr>
            </w:pPr>
            <w:r w:rsidRPr="002A063A">
              <w:rPr>
                <w:color w:val="000000"/>
                <w:sz w:val="20"/>
                <w:szCs w:val="20"/>
              </w:rPr>
              <w:t>Can a multimedia educational computer-based program on genital herpes teach patients about their disease?</w:t>
            </w:r>
          </w:p>
        </w:tc>
      </w:tr>
      <w:tr w:rsidR="008517F2" w:rsidRPr="004543D9" w14:paraId="0FE12547" w14:textId="77777777" w:rsidTr="008517F2">
        <w:trPr>
          <w:trHeight w:val="320"/>
          <w:jc w:val="center"/>
        </w:trPr>
        <w:tc>
          <w:tcPr>
            <w:tcW w:w="3420" w:type="dxa"/>
          </w:tcPr>
          <w:p w14:paraId="580687CB" w14:textId="77777777" w:rsidR="008517F2" w:rsidRPr="002A063A" w:rsidRDefault="008517F2" w:rsidP="008517F2">
            <w:pPr>
              <w:rPr>
                <w:color w:val="000000"/>
                <w:sz w:val="20"/>
                <w:szCs w:val="20"/>
              </w:rPr>
            </w:pPr>
            <w:r w:rsidRPr="002A063A">
              <w:rPr>
                <w:color w:val="000000"/>
                <w:sz w:val="20"/>
                <w:szCs w:val="20"/>
              </w:rPr>
              <w:t>Prim Care Update Ob Gyns. 1998 Jul 1;5(4):151. doi: 10.1016/s1068-607x(98)00033-x.</w:t>
            </w:r>
          </w:p>
        </w:tc>
        <w:tc>
          <w:tcPr>
            <w:tcW w:w="4770" w:type="dxa"/>
          </w:tcPr>
          <w:p w14:paraId="0D945DDA" w14:textId="77777777" w:rsidR="008517F2" w:rsidRPr="002A063A" w:rsidRDefault="008517F2" w:rsidP="008517F2">
            <w:pPr>
              <w:rPr>
                <w:color w:val="000000"/>
                <w:sz w:val="20"/>
                <w:szCs w:val="20"/>
              </w:rPr>
            </w:pPr>
          </w:p>
        </w:tc>
      </w:tr>
      <w:tr w:rsidR="008517F2" w:rsidRPr="004543D9" w14:paraId="65CB5B78" w14:textId="77777777" w:rsidTr="008517F2">
        <w:trPr>
          <w:trHeight w:val="320"/>
          <w:jc w:val="center"/>
        </w:trPr>
        <w:tc>
          <w:tcPr>
            <w:tcW w:w="3420" w:type="dxa"/>
          </w:tcPr>
          <w:p w14:paraId="4B5FC74B" w14:textId="77777777" w:rsidR="008517F2" w:rsidRPr="002A063A" w:rsidRDefault="008517F2" w:rsidP="008517F2">
            <w:pPr>
              <w:rPr>
                <w:color w:val="000000"/>
                <w:sz w:val="20"/>
                <w:szCs w:val="20"/>
              </w:rPr>
            </w:pPr>
            <w:r w:rsidRPr="002A063A">
              <w:rPr>
                <w:color w:val="000000"/>
                <w:sz w:val="20"/>
                <w:szCs w:val="20"/>
              </w:rPr>
              <w:t>PMID: 10838278</w:t>
            </w:r>
          </w:p>
        </w:tc>
        <w:tc>
          <w:tcPr>
            <w:tcW w:w="4770" w:type="dxa"/>
          </w:tcPr>
          <w:p w14:paraId="346D726C" w14:textId="77777777" w:rsidR="008517F2" w:rsidRPr="002A063A" w:rsidRDefault="008517F2" w:rsidP="008517F2">
            <w:pPr>
              <w:rPr>
                <w:color w:val="000000"/>
                <w:sz w:val="20"/>
                <w:szCs w:val="20"/>
              </w:rPr>
            </w:pPr>
          </w:p>
        </w:tc>
      </w:tr>
      <w:tr w:rsidR="008517F2" w:rsidRPr="004543D9" w14:paraId="72CFA319" w14:textId="77777777" w:rsidTr="008517F2">
        <w:trPr>
          <w:trHeight w:val="320"/>
          <w:jc w:val="center"/>
        </w:trPr>
        <w:tc>
          <w:tcPr>
            <w:tcW w:w="3420" w:type="dxa"/>
            <w:tcBorders>
              <w:bottom w:val="nil"/>
            </w:tcBorders>
          </w:tcPr>
          <w:p w14:paraId="4580FA50"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Borders>
              <w:bottom w:val="nil"/>
            </w:tcBorders>
          </w:tcPr>
          <w:p w14:paraId="000FA23D" w14:textId="77777777" w:rsidR="008517F2" w:rsidRPr="002A063A" w:rsidRDefault="008517F2" w:rsidP="008517F2">
            <w:pPr>
              <w:rPr>
                <w:color w:val="000000"/>
                <w:sz w:val="20"/>
                <w:szCs w:val="20"/>
              </w:rPr>
            </w:pPr>
          </w:p>
        </w:tc>
      </w:tr>
      <w:tr w:rsidR="008517F2" w:rsidRPr="004543D9" w14:paraId="66982CA6" w14:textId="77777777" w:rsidTr="008517F2">
        <w:trPr>
          <w:trHeight w:val="320"/>
          <w:jc w:val="center"/>
        </w:trPr>
        <w:tc>
          <w:tcPr>
            <w:tcW w:w="3420" w:type="dxa"/>
          </w:tcPr>
          <w:p w14:paraId="22B0E4FB" w14:textId="77777777" w:rsidR="008517F2" w:rsidRPr="002A063A" w:rsidRDefault="008517F2" w:rsidP="008517F2">
            <w:pPr>
              <w:rPr>
                <w:color w:val="000000"/>
                <w:sz w:val="20"/>
                <w:szCs w:val="20"/>
              </w:rPr>
            </w:pPr>
            <w:r w:rsidRPr="002A063A">
              <w:rPr>
                <w:color w:val="000000"/>
                <w:sz w:val="20"/>
                <w:szCs w:val="20"/>
              </w:rPr>
              <w:t>Steen R, Soliman C, Mujyambwani A, Twagirakristu JB, Bucyana S, Grundmann C, Ngabonziza M, Moran J.</w:t>
            </w:r>
          </w:p>
        </w:tc>
        <w:tc>
          <w:tcPr>
            <w:tcW w:w="4770" w:type="dxa"/>
          </w:tcPr>
          <w:p w14:paraId="774D2BD9" w14:textId="77777777" w:rsidR="008517F2" w:rsidRPr="002A063A" w:rsidRDefault="008517F2" w:rsidP="008517F2">
            <w:pPr>
              <w:rPr>
                <w:color w:val="000000"/>
                <w:sz w:val="20"/>
                <w:szCs w:val="20"/>
              </w:rPr>
            </w:pPr>
            <w:r w:rsidRPr="002A063A">
              <w:rPr>
                <w:color w:val="000000"/>
                <w:sz w:val="20"/>
                <w:szCs w:val="20"/>
              </w:rPr>
              <w:t>Notes from the field: practical issues in upgrading STD services based on experience from primary healthcare facilities in two Rwandan towns.</w:t>
            </w:r>
          </w:p>
        </w:tc>
      </w:tr>
      <w:tr w:rsidR="008517F2" w:rsidRPr="004543D9" w14:paraId="2A8CD307" w14:textId="77777777" w:rsidTr="008517F2">
        <w:trPr>
          <w:trHeight w:val="320"/>
          <w:jc w:val="center"/>
        </w:trPr>
        <w:tc>
          <w:tcPr>
            <w:tcW w:w="3420" w:type="dxa"/>
          </w:tcPr>
          <w:p w14:paraId="76F5D037" w14:textId="77777777" w:rsidR="008517F2" w:rsidRPr="002A063A" w:rsidRDefault="008517F2" w:rsidP="008517F2">
            <w:pPr>
              <w:rPr>
                <w:color w:val="000000"/>
                <w:sz w:val="20"/>
                <w:szCs w:val="20"/>
              </w:rPr>
            </w:pPr>
            <w:r w:rsidRPr="002A063A">
              <w:rPr>
                <w:color w:val="000000"/>
                <w:sz w:val="20"/>
                <w:szCs w:val="20"/>
              </w:rPr>
              <w:t>Sex Transm Infect. 1998 Jun;74 Suppl 1:S159-65.</w:t>
            </w:r>
          </w:p>
        </w:tc>
        <w:tc>
          <w:tcPr>
            <w:tcW w:w="4770" w:type="dxa"/>
          </w:tcPr>
          <w:p w14:paraId="4F41CE1B" w14:textId="77777777" w:rsidR="008517F2" w:rsidRPr="002A063A" w:rsidRDefault="008517F2" w:rsidP="008517F2">
            <w:pPr>
              <w:rPr>
                <w:color w:val="000000"/>
                <w:sz w:val="20"/>
                <w:szCs w:val="20"/>
              </w:rPr>
            </w:pPr>
          </w:p>
        </w:tc>
      </w:tr>
      <w:tr w:rsidR="008517F2" w:rsidRPr="004543D9" w14:paraId="145A552F" w14:textId="77777777" w:rsidTr="008517F2">
        <w:trPr>
          <w:trHeight w:val="320"/>
          <w:jc w:val="center"/>
        </w:trPr>
        <w:tc>
          <w:tcPr>
            <w:tcW w:w="3420" w:type="dxa"/>
          </w:tcPr>
          <w:p w14:paraId="778878A0" w14:textId="77777777" w:rsidR="008517F2" w:rsidRPr="002A063A" w:rsidRDefault="008517F2" w:rsidP="008517F2">
            <w:pPr>
              <w:rPr>
                <w:color w:val="000000"/>
                <w:sz w:val="20"/>
                <w:szCs w:val="20"/>
              </w:rPr>
            </w:pPr>
            <w:r w:rsidRPr="002A063A">
              <w:rPr>
                <w:color w:val="000000"/>
                <w:sz w:val="20"/>
                <w:szCs w:val="20"/>
              </w:rPr>
              <w:t>PMID: 10023368</w:t>
            </w:r>
          </w:p>
        </w:tc>
        <w:tc>
          <w:tcPr>
            <w:tcW w:w="4770" w:type="dxa"/>
          </w:tcPr>
          <w:p w14:paraId="49887E19" w14:textId="77777777" w:rsidR="008517F2" w:rsidRPr="002A063A" w:rsidRDefault="008517F2" w:rsidP="008517F2">
            <w:pPr>
              <w:rPr>
                <w:color w:val="000000"/>
                <w:sz w:val="20"/>
                <w:szCs w:val="20"/>
              </w:rPr>
            </w:pPr>
          </w:p>
        </w:tc>
      </w:tr>
      <w:tr w:rsidR="008517F2" w:rsidRPr="004543D9" w14:paraId="75DCBBD9" w14:textId="77777777" w:rsidTr="008517F2">
        <w:trPr>
          <w:trHeight w:val="320"/>
          <w:jc w:val="center"/>
        </w:trPr>
        <w:tc>
          <w:tcPr>
            <w:tcW w:w="3420" w:type="dxa"/>
            <w:tcBorders>
              <w:bottom w:val="nil"/>
            </w:tcBorders>
          </w:tcPr>
          <w:p w14:paraId="6882A637"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Borders>
              <w:bottom w:val="nil"/>
            </w:tcBorders>
          </w:tcPr>
          <w:p w14:paraId="772F8A62" w14:textId="77777777" w:rsidR="008517F2" w:rsidRPr="002A063A" w:rsidRDefault="008517F2" w:rsidP="008517F2">
            <w:pPr>
              <w:rPr>
                <w:color w:val="000000"/>
                <w:sz w:val="20"/>
                <w:szCs w:val="20"/>
              </w:rPr>
            </w:pPr>
          </w:p>
        </w:tc>
      </w:tr>
      <w:tr w:rsidR="008517F2" w:rsidRPr="004543D9" w14:paraId="52682CDD" w14:textId="77777777" w:rsidTr="008517F2">
        <w:trPr>
          <w:trHeight w:val="320"/>
          <w:jc w:val="center"/>
        </w:trPr>
        <w:tc>
          <w:tcPr>
            <w:tcW w:w="3420" w:type="dxa"/>
          </w:tcPr>
          <w:p w14:paraId="301F638D" w14:textId="77777777" w:rsidR="008517F2" w:rsidRPr="002A063A" w:rsidRDefault="008517F2" w:rsidP="008517F2">
            <w:pPr>
              <w:rPr>
                <w:color w:val="000000"/>
                <w:sz w:val="20"/>
                <w:szCs w:val="20"/>
              </w:rPr>
            </w:pPr>
            <w:r w:rsidRPr="002A063A">
              <w:rPr>
                <w:color w:val="000000"/>
                <w:sz w:val="20"/>
                <w:szCs w:val="20"/>
              </w:rPr>
              <w:t>Myers JL.</w:t>
            </w:r>
          </w:p>
        </w:tc>
        <w:tc>
          <w:tcPr>
            <w:tcW w:w="4770" w:type="dxa"/>
          </w:tcPr>
          <w:p w14:paraId="3F3AEB78" w14:textId="77777777" w:rsidR="008517F2" w:rsidRPr="002A063A" w:rsidRDefault="008517F2" w:rsidP="008517F2">
            <w:pPr>
              <w:rPr>
                <w:color w:val="000000"/>
                <w:sz w:val="20"/>
                <w:szCs w:val="20"/>
              </w:rPr>
            </w:pPr>
            <w:r w:rsidRPr="002A063A">
              <w:rPr>
                <w:color w:val="000000"/>
                <w:sz w:val="20"/>
                <w:szCs w:val="20"/>
              </w:rPr>
              <w:t>Why do young women get tested for sexually transmitted infections? Evidence from the National Longitudinal Study of Adolescent Health.</w:t>
            </w:r>
          </w:p>
        </w:tc>
      </w:tr>
      <w:tr w:rsidR="008517F2" w:rsidRPr="004543D9" w14:paraId="798E5549" w14:textId="77777777" w:rsidTr="008517F2">
        <w:trPr>
          <w:trHeight w:val="320"/>
          <w:jc w:val="center"/>
        </w:trPr>
        <w:tc>
          <w:tcPr>
            <w:tcW w:w="3420" w:type="dxa"/>
          </w:tcPr>
          <w:p w14:paraId="018E0510" w14:textId="77777777" w:rsidR="008517F2" w:rsidRPr="002A063A" w:rsidRDefault="008517F2" w:rsidP="008517F2">
            <w:pPr>
              <w:rPr>
                <w:color w:val="000000"/>
                <w:sz w:val="20"/>
                <w:szCs w:val="20"/>
              </w:rPr>
            </w:pPr>
            <w:r w:rsidRPr="002A063A">
              <w:rPr>
                <w:color w:val="000000"/>
                <w:sz w:val="20"/>
                <w:szCs w:val="20"/>
              </w:rPr>
              <w:t>J Womens Health (Larchmt). 2011 Aug;20(8):1225-31. doi: 10.1089/jwh.2010.2544. Epub 2011 Jun 20.</w:t>
            </w:r>
          </w:p>
        </w:tc>
        <w:tc>
          <w:tcPr>
            <w:tcW w:w="4770" w:type="dxa"/>
          </w:tcPr>
          <w:p w14:paraId="4064E412" w14:textId="77777777" w:rsidR="008517F2" w:rsidRPr="002A063A" w:rsidRDefault="008517F2" w:rsidP="008517F2">
            <w:pPr>
              <w:rPr>
                <w:color w:val="000000"/>
                <w:sz w:val="20"/>
                <w:szCs w:val="20"/>
              </w:rPr>
            </w:pPr>
          </w:p>
        </w:tc>
      </w:tr>
      <w:tr w:rsidR="008517F2" w:rsidRPr="004543D9" w14:paraId="6D2DB0A0" w14:textId="77777777" w:rsidTr="008517F2">
        <w:trPr>
          <w:trHeight w:val="320"/>
          <w:jc w:val="center"/>
        </w:trPr>
        <w:tc>
          <w:tcPr>
            <w:tcW w:w="3420" w:type="dxa"/>
          </w:tcPr>
          <w:p w14:paraId="646AD983" w14:textId="77777777" w:rsidR="008517F2" w:rsidRPr="002A063A" w:rsidRDefault="008517F2" w:rsidP="008517F2">
            <w:pPr>
              <w:rPr>
                <w:color w:val="000000"/>
                <w:sz w:val="20"/>
                <w:szCs w:val="20"/>
              </w:rPr>
            </w:pPr>
            <w:r w:rsidRPr="002A063A">
              <w:rPr>
                <w:color w:val="000000"/>
                <w:sz w:val="20"/>
                <w:szCs w:val="20"/>
              </w:rPr>
              <w:t>PMID: 21689024</w:t>
            </w:r>
          </w:p>
        </w:tc>
        <w:tc>
          <w:tcPr>
            <w:tcW w:w="4770" w:type="dxa"/>
          </w:tcPr>
          <w:p w14:paraId="72276A80" w14:textId="77777777" w:rsidR="008517F2" w:rsidRPr="002A063A" w:rsidRDefault="008517F2" w:rsidP="008517F2">
            <w:pPr>
              <w:rPr>
                <w:color w:val="000000"/>
                <w:sz w:val="20"/>
                <w:szCs w:val="20"/>
              </w:rPr>
            </w:pPr>
          </w:p>
        </w:tc>
      </w:tr>
      <w:tr w:rsidR="008517F2" w:rsidRPr="004543D9" w14:paraId="17BDB291" w14:textId="77777777" w:rsidTr="008517F2">
        <w:trPr>
          <w:trHeight w:val="320"/>
          <w:jc w:val="center"/>
        </w:trPr>
        <w:tc>
          <w:tcPr>
            <w:tcW w:w="3420" w:type="dxa"/>
          </w:tcPr>
          <w:p w14:paraId="0CDDDB58"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36348421" w14:textId="77777777" w:rsidR="008517F2" w:rsidRPr="002A063A" w:rsidRDefault="008517F2" w:rsidP="008517F2">
            <w:pPr>
              <w:rPr>
                <w:color w:val="000000"/>
                <w:sz w:val="20"/>
                <w:szCs w:val="20"/>
              </w:rPr>
            </w:pPr>
          </w:p>
        </w:tc>
      </w:tr>
      <w:tr w:rsidR="008517F2" w:rsidRPr="004543D9" w14:paraId="4EB826DA" w14:textId="77777777" w:rsidTr="008517F2">
        <w:trPr>
          <w:trHeight w:val="320"/>
          <w:jc w:val="center"/>
        </w:trPr>
        <w:tc>
          <w:tcPr>
            <w:tcW w:w="3420" w:type="dxa"/>
          </w:tcPr>
          <w:p w14:paraId="63783094" w14:textId="77777777" w:rsidR="008517F2" w:rsidRPr="002A063A" w:rsidRDefault="008517F2" w:rsidP="008517F2">
            <w:pPr>
              <w:rPr>
                <w:color w:val="000000"/>
                <w:sz w:val="20"/>
                <w:szCs w:val="20"/>
              </w:rPr>
            </w:pPr>
            <w:r w:rsidRPr="002A063A">
              <w:rPr>
                <w:color w:val="000000"/>
                <w:sz w:val="20"/>
                <w:szCs w:val="20"/>
              </w:rPr>
              <w:t>Grosskurth H, Mwijarubi E, Todd J, Rwakatare M, Orroth K, Mayaud P, Cleophas B, Buvé A, Mkanje R, Ndeki L, Gavyole A, Hayes R, Mabey D.</w:t>
            </w:r>
          </w:p>
        </w:tc>
        <w:tc>
          <w:tcPr>
            <w:tcW w:w="4770" w:type="dxa"/>
          </w:tcPr>
          <w:p w14:paraId="14EC77AF" w14:textId="77777777" w:rsidR="008517F2" w:rsidRPr="002A063A" w:rsidRDefault="008517F2" w:rsidP="008517F2">
            <w:pPr>
              <w:rPr>
                <w:color w:val="000000"/>
                <w:sz w:val="20"/>
                <w:szCs w:val="20"/>
              </w:rPr>
            </w:pPr>
            <w:r w:rsidRPr="002A063A">
              <w:rPr>
                <w:color w:val="000000"/>
                <w:sz w:val="20"/>
                <w:szCs w:val="20"/>
              </w:rPr>
              <w:t>Operational performance of an STD control programme in Mwanza Region, Tanzania.</w:t>
            </w:r>
          </w:p>
        </w:tc>
      </w:tr>
      <w:tr w:rsidR="008517F2" w:rsidRPr="004543D9" w14:paraId="2902289D" w14:textId="77777777" w:rsidTr="008517F2">
        <w:trPr>
          <w:trHeight w:val="320"/>
          <w:jc w:val="center"/>
        </w:trPr>
        <w:tc>
          <w:tcPr>
            <w:tcW w:w="3420" w:type="dxa"/>
          </w:tcPr>
          <w:p w14:paraId="09B74E78" w14:textId="77777777" w:rsidR="008517F2" w:rsidRPr="002A063A" w:rsidRDefault="008517F2" w:rsidP="008517F2">
            <w:pPr>
              <w:rPr>
                <w:color w:val="000000"/>
                <w:sz w:val="20"/>
                <w:szCs w:val="20"/>
              </w:rPr>
            </w:pPr>
            <w:r w:rsidRPr="002A063A">
              <w:rPr>
                <w:color w:val="000000"/>
                <w:sz w:val="20"/>
                <w:szCs w:val="20"/>
              </w:rPr>
              <w:t>Sex Transm Infect. 2000 Dec;76(6):426-36. doi: 10.1136/sti.76.6.426.</w:t>
            </w:r>
          </w:p>
        </w:tc>
        <w:tc>
          <w:tcPr>
            <w:tcW w:w="4770" w:type="dxa"/>
          </w:tcPr>
          <w:p w14:paraId="5849F9D4" w14:textId="77777777" w:rsidR="008517F2" w:rsidRPr="002A063A" w:rsidRDefault="008517F2" w:rsidP="008517F2">
            <w:pPr>
              <w:rPr>
                <w:color w:val="000000"/>
                <w:sz w:val="20"/>
                <w:szCs w:val="20"/>
              </w:rPr>
            </w:pPr>
          </w:p>
        </w:tc>
      </w:tr>
      <w:tr w:rsidR="008517F2" w:rsidRPr="004543D9" w14:paraId="75CE7F0A" w14:textId="77777777" w:rsidTr="008517F2">
        <w:trPr>
          <w:trHeight w:val="320"/>
          <w:jc w:val="center"/>
        </w:trPr>
        <w:tc>
          <w:tcPr>
            <w:tcW w:w="3420" w:type="dxa"/>
            <w:tcBorders>
              <w:bottom w:val="nil"/>
            </w:tcBorders>
          </w:tcPr>
          <w:p w14:paraId="52DCC668" w14:textId="77777777" w:rsidR="008517F2" w:rsidRPr="002A063A" w:rsidRDefault="008517F2" w:rsidP="008517F2">
            <w:pPr>
              <w:rPr>
                <w:color w:val="000000"/>
                <w:sz w:val="20"/>
                <w:szCs w:val="20"/>
              </w:rPr>
            </w:pPr>
            <w:r w:rsidRPr="002A063A">
              <w:rPr>
                <w:color w:val="000000"/>
                <w:sz w:val="20"/>
                <w:szCs w:val="20"/>
              </w:rPr>
              <w:lastRenderedPageBreak/>
              <w:t>PMID: 11221123 Free PMC article. Clinical Trial.</w:t>
            </w:r>
          </w:p>
        </w:tc>
        <w:tc>
          <w:tcPr>
            <w:tcW w:w="4770" w:type="dxa"/>
            <w:tcBorders>
              <w:bottom w:val="nil"/>
            </w:tcBorders>
          </w:tcPr>
          <w:p w14:paraId="7AB46689" w14:textId="77777777" w:rsidR="008517F2" w:rsidRPr="002A063A" w:rsidRDefault="008517F2" w:rsidP="008517F2">
            <w:pPr>
              <w:rPr>
                <w:color w:val="000000"/>
                <w:sz w:val="20"/>
                <w:szCs w:val="20"/>
              </w:rPr>
            </w:pPr>
          </w:p>
        </w:tc>
      </w:tr>
      <w:tr w:rsidR="008517F2" w:rsidRPr="004543D9" w14:paraId="452BECF7" w14:textId="77777777" w:rsidTr="008517F2">
        <w:trPr>
          <w:trHeight w:val="320"/>
          <w:jc w:val="center"/>
        </w:trPr>
        <w:tc>
          <w:tcPr>
            <w:tcW w:w="3420" w:type="dxa"/>
          </w:tcPr>
          <w:p w14:paraId="4BAED6BA" w14:textId="77777777" w:rsidR="008517F2" w:rsidRPr="002A063A" w:rsidRDefault="008517F2" w:rsidP="008517F2">
            <w:pPr>
              <w:rPr>
                <w:color w:val="000000"/>
                <w:sz w:val="20"/>
                <w:szCs w:val="20"/>
              </w:rPr>
            </w:pPr>
            <w:r w:rsidRPr="002A063A">
              <w:rPr>
                <w:color w:val="000000"/>
                <w:sz w:val="20"/>
                <w:szCs w:val="20"/>
              </w:rPr>
              <w:t>Brackbill RM, Sternberg MR, Fishbein M.</w:t>
            </w:r>
          </w:p>
        </w:tc>
        <w:tc>
          <w:tcPr>
            <w:tcW w:w="4770" w:type="dxa"/>
          </w:tcPr>
          <w:p w14:paraId="0D706894" w14:textId="77777777" w:rsidR="008517F2" w:rsidRPr="002A063A" w:rsidRDefault="008517F2" w:rsidP="008517F2">
            <w:pPr>
              <w:rPr>
                <w:color w:val="000000"/>
                <w:sz w:val="20"/>
                <w:szCs w:val="20"/>
              </w:rPr>
            </w:pPr>
            <w:r w:rsidRPr="002A063A">
              <w:rPr>
                <w:color w:val="000000"/>
                <w:sz w:val="20"/>
                <w:szCs w:val="20"/>
              </w:rPr>
              <w:t>Where do people go for treatment of sexually transmitted diseases?</w:t>
            </w:r>
          </w:p>
          <w:p w14:paraId="2C68A26D" w14:textId="77777777" w:rsidR="008517F2" w:rsidRPr="002A063A" w:rsidRDefault="008517F2" w:rsidP="008517F2">
            <w:pPr>
              <w:rPr>
                <w:color w:val="000000"/>
                <w:sz w:val="20"/>
                <w:szCs w:val="20"/>
              </w:rPr>
            </w:pPr>
          </w:p>
        </w:tc>
      </w:tr>
      <w:tr w:rsidR="008517F2" w:rsidRPr="004543D9" w14:paraId="3971DDBD" w14:textId="77777777" w:rsidTr="008517F2">
        <w:trPr>
          <w:trHeight w:val="320"/>
          <w:jc w:val="center"/>
        </w:trPr>
        <w:tc>
          <w:tcPr>
            <w:tcW w:w="3420" w:type="dxa"/>
          </w:tcPr>
          <w:p w14:paraId="412E9081" w14:textId="77777777" w:rsidR="008517F2" w:rsidRPr="002A063A" w:rsidRDefault="008517F2" w:rsidP="008517F2">
            <w:pPr>
              <w:rPr>
                <w:color w:val="000000"/>
                <w:sz w:val="20"/>
                <w:szCs w:val="20"/>
              </w:rPr>
            </w:pPr>
            <w:r w:rsidRPr="002A063A">
              <w:rPr>
                <w:color w:val="000000"/>
                <w:sz w:val="20"/>
                <w:szCs w:val="20"/>
              </w:rPr>
              <w:t>Fam Plann Perspect. 1999 Jan-Feb;31(1):10-5.</w:t>
            </w:r>
          </w:p>
        </w:tc>
        <w:tc>
          <w:tcPr>
            <w:tcW w:w="4770" w:type="dxa"/>
          </w:tcPr>
          <w:p w14:paraId="326A775C" w14:textId="77777777" w:rsidR="008517F2" w:rsidRPr="002A063A" w:rsidRDefault="008517F2" w:rsidP="008517F2">
            <w:pPr>
              <w:rPr>
                <w:color w:val="000000"/>
                <w:sz w:val="20"/>
                <w:szCs w:val="20"/>
              </w:rPr>
            </w:pPr>
          </w:p>
        </w:tc>
      </w:tr>
      <w:tr w:rsidR="008517F2" w:rsidRPr="004543D9" w14:paraId="292DB97E" w14:textId="77777777" w:rsidTr="008517F2">
        <w:trPr>
          <w:trHeight w:val="320"/>
          <w:jc w:val="center"/>
        </w:trPr>
        <w:tc>
          <w:tcPr>
            <w:tcW w:w="3420" w:type="dxa"/>
          </w:tcPr>
          <w:p w14:paraId="605462EA" w14:textId="77777777" w:rsidR="008517F2" w:rsidRPr="002A063A" w:rsidRDefault="008517F2" w:rsidP="008517F2">
            <w:pPr>
              <w:rPr>
                <w:color w:val="000000"/>
                <w:sz w:val="20"/>
                <w:szCs w:val="20"/>
              </w:rPr>
            </w:pPr>
            <w:r w:rsidRPr="002A063A">
              <w:rPr>
                <w:color w:val="000000"/>
                <w:sz w:val="20"/>
                <w:szCs w:val="20"/>
              </w:rPr>
              <w:t>PMID: 10029927</w:t>
            </w:r>
          </w:p>
        </w:tc>
        <w:tc>
          <w:tcPr>
            <w:tcW w:w="4770" w:type="dxa"/>
          </w:tcPr>
          <w:p w14:paraId="2063A13F" w14:textId="77777777" w:rsidR="008517F2" w:rsidRPr="002A063A" w:rsidRDefault="008517F2" w:rsidP="008517F2">
            <w:pPr>
              <w:rPr>
                <w:color w:val="000000"/>
                <w:sz w:val="20"/>
                <w:szCs w:val="20"/>
              </w:rPr>
            </w:pPr>
          </w:p>
        </w:tc>
      </w:tr>
      <w:tr w:rsidR="008517F2" w:rsidRPr="004543D9" w14:paraId="4BC5EBB5" w14:textId="77777777" w:rsidTr="008517F2">
        <w:trPr>
          <w:trHeight w:val="320"/>
          <w:jc w:val="center"/>
        </w:trPr>
        <w:tc>
          <w:tcPr>
            <w:tcW w:w="3420" w:type="dxa"/>
          </w:tcPr>
          <w:p w14:paraId="5A31D4D0"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44BE18B0" w14:textId="77777777" w:rsidR="008517F2" w:rsidRPr="002A063A" w:rsidRDefault="008517F2" w:rsidP="008517F2">
            <w:pPr>
              <w:rPr>
                <w:color w:val="000000"/>
                <w:sz w:val="20"/>
                <w:szCs w:val="20"/>
              </w:rPr>
            </w:pPr>
          </w:p>
        </w:tc>
      </w:tr>
      <w:tr w:rsidR="008517F2" w:rsidRPr="004543D9" w14:paraId="05CE0C12" w14:textId="77777777" w:rsidTr="008517F2">
        <w:trPr>
          <w:trHeight w:val="320"/>
          <w:jc w:val="center"/>
        </w:trPr>
        <w:tc>
          <w:tcPr>
            <w:tcW w:w="3420" w:type="dxa"/>
          </w:tcPr>
          <w:p w14:paraId="02F05B72" w14:textId="77777777" w:rsidR="008517F2" w:rsidRPr="002A063A" w:rsidRDefault="008517F2" w:rsidP="008517F2">
            <w:pPr>
              <w:rPr>
                <w:color w:val="000000"/>
                <w:sz w:val="20"/>
                <w:szCs w:val="20"/>
              </w:rPr>
            </w:pPr>
            <w:r w:rsidRPr="002A063A">
              <w:rPr>
                <w:color w:val="000000"/>
                <w:sz w:val="20"/>
                <w:szCs w:val="20"/>
              </w:rPr>
              <w:t>Wright J, Albright TS, Gehrich AP, Dunlow SG, Lettieri CF, Buller JL.</w:t>
            </w:r>
          </w:p>
        </w:tc>
        <w:tc>
          <w:tcPr>
            <w:tcW w:w="4770" w:type="dxa"/>
          </w:tcPr>
          <w:p w14:paraId="59F0CBFA" w14:textId="77777777" w:rsidR="008517F2" w:rsidRPr="002A063A" w:rsidRDefault="008517F2" w:rsidP="008517F2">
            <w:pPr>
              <w:rPr>
                <w:color w:val="000000"/>
                <w:sz w:val="20"/>
                <w:szCs w:val="20"/>
              </w:rPr>
            </w:pPr>
            <w:r w:rsidRPr="002A063A">
              <w:rPr>
                <w:color w:val="000000"/>
                <w:sz w:val="20"/>
                <w:szCs w:val="20"/>
              </w:rPr>
              <w:t>Sexually transmitted diseases in Operation Iraqi Freedom/Operation Enduring Freedom.</w:t>
            </w:r>
          </w:p>
        </w:tc>
      </w:tr>
      <w:tr w:rsidR="008517F2" w:rsidRPr="004543D9" w14:paraId="63DC849A" w14:textId="77777777" w:rsidTr="008517F2">
        <w:trPr>
          <w:trHeight w:val="320"/>
          <w:jc w:val="center"/>
        </w:trPr>
        <w:tc>
          <w:tcPr>
            <w:tcW w:w="3420" w:type="dxa"/>
          </w:tcPr>
          <w:p w14:paraId="4CB1B547" w14:textId="77777777" w:rsidR="008517F2" w:rsidRPr="002A063A" w:rsidRDefault="008517F2" w:rsidP="008517F2">
            <w:pPr>
              <w:rPr>
                <w:color w:val="000000"/>
                <w:sz w:val="20"/>
                <w:szCs w:val="20"/>
              </w:rPr>
            </w:pPr>
            <w:r w:rsidRPr="002A063A">
              <w:rPr>
                <w:color w:val="000000"/>
                <w:sz w:val="20"/>
                <w:szCs w:val="20"/>
              </w:rPr>
              <w:t>Mil Med. 2006 Oct;171(10):1024-6. doi: 10.7205/milmed.171.10.1024.</w:t>
            </w:r>
          </w:p>
        </w:tc>
        <w:tc>
          <w:tcPr>
            <w:tcW w:w="4770" w:type="dxa"/>
          </w:tcPr>
          <w:p w14:paraId="58843B1C" w14:textId="77777777" w:rsidR="008517F2" w:rsidRPr="002A063A" w:rsidRDefault="008517F2" w:rsidP="008517F2">
            <w:pPr>
              <w:rPr>
                <w:color w:val="000000"/>
                <w:sz w:val="20"/>
                <w:szCs w:val="20"/>
              </w:rPr>
            </w:pPr>
          </w:p>
        </w:tc>
      </w:tr>
      <w:tr w:rsidR="008517F2" w:rsidRPr="004543D9" w14:paraId="3737149D" w14:textId="77777777" w:rsidTr="008517F2">
        <w:trPr>
          <w:trHeight w:val="320"/>
          <w:jc w:val="center"/>
        </w:trPr>
        <w:tc>
          <w:tcPr>
            <w:tcW w:w="3420" w:type="dxa"/>
          </w:tcPr>
          <w:p w14:paraId="1DD7E336" w14:textId="77777777" w:rsidR="008517F2" w:rsidRPr="002A063A" w:rsidRDefault="008517F2" w:rsidP="008517F2">
            <w:pPr>
              <w:rPr>
                <w:color w:val="000000"/>
                <w:sz w:val="20"/>
                <w:szCs w:val="20"/>
              </w:rPr>
            </w:pPr>
            <w:r w:rsidRPr="002A063A">
              <w:rPr>
                <w:color w:val="000000"/>
                <w:sz w:val="20"/>
                <w:szCs w:val="20"/>
              </w:rPr>
              <w:t>PMID: 17076459</w:t>
            </w:r>
          </w:p>
        </w:tc>
        <w:tc>
          <w:tcPr>
            <w:tcW w:w="4770" w:type="dxa"/>
          </w:tcPr>
          <w:p w14:paraId="7E344B3B" w14:textId="77777777" w:rsidR="008517F2" w:rsidRPr="002A063A" w:rsidRDefault="008517F2" w:rsidP="008517F2">
            <w:pPr>
              <w:rPr>
                <w:color w:val="000000"/>
                <w:sz w:val="20"/>
                <w:szCs w:val="20"/>
              </w:rPr>
            </w:pPr>
          </w:p>
        </w:tc>
      </w:tr>
      <w:tr w:rsidR="008517F2" w:rsidRPr="004543D9" w14:paraId="673C8F4F" w14:textId="77777777" w:rsidTr="008517F2">
        <w:trPr>
          <w:trHeight w:val="320"/>
          <w:jc w:val="center"/>
        </w:trPr>
        <w:tc>
          <w:tcPr>
            <w:tcW w:w="3420" w:type="dxa"/>
          </w:tcPr>
          <w:p w14:paraId="571EA061" w14:textId="77777777" w:rsidR="008517F2" w:rsidRPr="002A063A" w:rsidRDefault="008517F2" w:rsidP="008517F2">
            <w:pPr>
              <w:rPr>
                <w:color w:val="000000"/>
                <w:sz w:val="20"/>
                <w:szCs w:val="20"/>
              </w:rPr>
            </w:pPr>
            <w:r w:rsidRPr="002A063A">
              <w:rPr>
                <w:color w:val="000000"/>
                <w:sz w:val="20"/>
                <w:szCs w:val="20"/>
              </w:rPr>
              <w:t xml:space="preserve"> </w:t>
            </w:r>
          </w:p>
        </w:tc>
        <w:tc>
          <w:tcPr>
            <w:tcW w:w="4770" w:type="dxa"/>
          </w:tcPr>
          <w:p w14:paraId="4CFB7ECE" w14:textId="77777777" w:rsidR="008517F2" w:rsidRPr="002A063A" w:rsidRDefault="008517F2" w:rsidP="008517F2">
            <w:pPr>
              <w:rPr>
                <w:color w:val="000000"/>
                <w:sz w:val="20"/>
                <w:szCs w:val="20"/>
              </w:rPr>
            </w:pPr>
          </w:p>
        </w:tc>
      </w:tr>
      <w:tr w:rsidR="008517F2" w:rsidRPr="004543D9" w14:paraId="7E1769FD" w14:textId="77777777" w:rsidTr="008517F2">
        <w:trPr>
          <w:trHeight w:val="320"/>
          <w:jc w:val="center"/>
        </w:trPr>
        <w:tc>
          <w:tcPr>
            <w:tcW w:w="3420" w:type="dxa"/>
          </w:tcPr>
          <w:p w14:paraId="1952A7D0" w14:textId="77777777" w:rsidR="008517F2" w:rsidRPr="002A063A" w:rsidRDefault="008517F2" w:rsidP="008517F2">
            <w:pPr>
              <w:rPr>
                <w:color w:val="000000"/>
                <w:sz w:val="20"/>
                <w:szCs w:val="20"/>
              </w:rPr>
            </w:pPr>
            <w:r w:rsidRPr="002A063A">
              <w:rPr>
                <w:color w:val="000000"/>
                <w:sz w:val="20"/>
                <w:szCs w:val="20"/>
              </w:rPr>
              <w:t>Adler MW.</w:t>
            </w:r>
          </w:p>
        </w:tc>
        <w:tc>
          <w:tcPr>
            <w:tcW w:w="4770" w:type="dxa"/>
          </w:tcPr>
          <w:p w14:paraId="12FC8F70" w14:textId="77777777" w:rsidR="008517F2" w:rsidRPr="002A063A" w:rsidRDefault="008517F2" w:rsidP="008517F2">
            <w:pPr>
              <w:rPr>
                <w:color w:val="000000"/>
                <w:sz w:val="20"/>
                <w:szCs w:val="20"/>
              </w:rPr>
            </w:pPr>
            <w:r w:rsidRPr="002A063A">
              <w:rPr>
                <w:color w:val="000000"/>
                <w:sz w:val="20"/>
                <w:szCs w:val="20"/>
              </w:rPr>
              <w:t>Sexually transmitted diseases control in developing countries.</w:t>
            </w:r>
          </w:p>
        </w:tc>
      </w:tr>
      <w:tr w:rsidR="008517F2" w:rsidRPr="004543D9" w14:paraId="4F8A794D" w14:textId="77777777" w:rsidTr="008517F2">
        <w:trPr>
          <w:trHeight w:val="320"/>
          <w:jc w:val="center"/>
        </w:trPr>
        <w:tc>
          <w:tcPr>
            <w:tcW w:w="3420" w:type="dxa"/>
          </w:tcPr>
          <w:p w14:paraId="634A18DA" w14:textId="77777777" w:rsidR="008517F2" w:rsidRPr="002A063A" w:rsidRDefault="008517F2" w:rsidP="008517F2">
            <w:pPr>
              <w:rPr>
                <w:color w:val="000000"/>
                <w:sz w:val="20"/>
                <w:szCs w:val="20"/>
              </w:rPr>
            </w:pPr>
            <w:r w:rsidRPr="002A063A">
              <w:rPr>
                <w:color w:val="000000"/>
                <w:sz w:val="20"/>
                <w:szCs w:val="20"/>
              </w:rPr>
              <w:t>Genitourin Med. 1996 Apr;72(2):83-8. doi: 10.1136/sti.72.2.83.</w:t>
            </w:r>
          </w:p>
        </w:tc>
        <w:tc>
          <w:tcPr>
            <w:tcW w:w="4770" w:type="dxa"/>
          </w:tcPr>
          <w:p w14:paraId="2CA84C79" w14:textId="77777777" w:rsidR="008517F2" w:rsidRPr="002A063A" w:rsidRDefault="008517F2" w:rsidP="008517F2">
            <w:pPr>
              <w:rPr>
                <w:color w:val="000000"/>
                <w:sz w:val="20"/>
                <w:szCs w:val="20"/>
              </w:rPr>
            </w:pPr>
          </w:p>
        </w:tc>
      </w:tr>
      <w:tr w:rsidR="008517F2" w:rsidRPr="004543D9" w14:paraId="194A1010" w14:textId="77777777" w:rsidTr="008517F2">
        <w:trPr>
          <w:trHeight w:val="320"/>
          <w:jc w:val="center"/>
        </w:trPr>
        <w:tc>
          <w:tcPr>
            <w:tcW w:w="3420" w:type="dxa"/>
          </w:tcPr>
          <w:p w14:paraId="0E5C536C" w14:textId="77777777" w:rsidR="008517F2" w:rsidRPr="002A063A" w:rsidRDefault="008517F2" w:rsidP="008517F2">
            <w:pPr>
              <w:rPr>
                <w:color w:val="000000"/>
                <w:sz w:val="20"/>
                <w:szCs w:val="20"/>
              </w:rPr>
            </w:pPr>
            <w:r w:rsidRPr="002A063A">
              <w:rPr>
                <w:color w:val="000000"/>
                <w:sz w:val="20"/>
                <w:szCs w:val="20"/>
              </w:rPr>
              <w:t>PMID: 8698372 Free PMC article.</w:t>
            </w:r>
          </w:p>
        </w:tc>
        <w:tc>
          <w:tcPr>
            <w:tcW w:w="4770" w:type="dxa"/>
          </w:tcPr>
          <w:p w14:paraId="06F8FE8D" w14:textId="77777777" w:rsidR="008517F2" w:rsidRPr="002A063A" w:rsidRDefault="008517F2" w:rsidP="008517F2">
            <w:pPr>
              <w:rPr>
                <w:color w:val="000000"/>
                <w:sz w:val="20"/>
                <w:szCs w:val="20"/>
              </w:rPr>
            </w:pPr>
          </w:p>
        </w:tc>
      </w:tr>
    </w:tbl>
    <w:p w14:paraId="2FB17B8A" w14:textId="77777777" w:rsidR="00647993" w:rsidRDefault="00647993" w:rsidP="00647993">
      <w:pPr>
        <w:pStyle w:val="Caption"/>
      </w:pPr>
    </w:p>
    <w:p w14:paraId="623F4CBC" w14:textId="388F157B" w:rsidR="008517F2" w:rsidRPr="00647993" w:rsidRDefault="00647993" w:rsidP="00647993">
      <w:pPr>
        <w:pStyle w:val="Caption"/>
        <w:jc w:val="center"/>
        <w:rPr>
          <w:rFonts w:ascii="Arial" w:hAnsi="Arial" w:cs="Arial"/>
          <w:b/>
          <w:color w:val="000000" w:themeColor="text1"/>
          <w:sz w:val="22"/>
          <w:szCs w:val="22"/>
        </w:rPr>
      </w:pPr>
      <w:bookmarkStart w:id="59" w:name="_Toc111481805"/>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8</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Literature on HIV related productivity losses</w:t>
      </w:r>
      <w:bookmarkEnd w:id="59"/>
    </w:p>
    <w:tbl>
      <w:tblPr>
        <w:tblW w:w="900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20"/>
        <w:gridCol w:w="4680"/>
      </w:tblGrid>
      <w:tr w:rsidR="008517F2" w:rsidRPr="004543D9" w14:paraId="545BC031" w14:textId="77777777" w:rsidTr="008517F2">
        <w:trPr>
          <w:trHeight w:val="320"/>
          <w:jc w:val="center"/>
        </w:trPr>
        <w:tc>
          <w:tcPr>
            <w:tcW w:w="4320" w:type="dxa"/>
            <w:shd w:val="clear" w:color="auto" w:fill="auto"/>
            <w:hideMark/>
          </w:tcPr>
          <w:p w14:paraId="2E604CBF" w14:textId="77777777" w:rsidR="008517F2" w:rsidRPr="002A063A" w:rsidRDefault="008517F2" w:rsidP="008517F2">
            <w:pPr>
              <w:rPr>
                <w:b/>
                <w:color w:val="000000"/>
                <w:sz w:val="20"/>
                <w:szCs w:val="20"/>
              </w:rPr>
            </w:pPr>
            <w:r w:rsidRPr="002A063A">
              <w:rPr>
                <w:b/>
                <w:color w:val="000000"/>
                <w:sz w:val="20"/>
                <w:szCs w:val="20"/>
              </w:rPr>
              <w:t>Source</w:t>
            </w:r>
          </w:p>
        </w:tc>
        <w:tc>
          <w:tcPr>
            <w:tcW w:w="4680" w:type="dxa"/>
            <w:shd w:val="clear" w:color="auto" w:fill="auto"/>
            <w:noWrap/>
            <w:hideMark/>
          </w:tcPr>
          <w:p w14:paraId="3F6D04BE" w14:textId="77777777" w:rsidR="008517F2" w:rsidRPr="002A063A" w:rsidRDefault="008517F2" w:rsidP="008517F2">
            <w:pPr>
              <w:rPr>
                <w:b/>
                <w:color w:val="000000"/>
                <w:sz w:val="20"/>
                <w:szCs w:val="20"/>
              </w:rPr>
            </w:pPr>
            <w:r w:rsidRPr="002A063A">
              <w:rPr>
                <w:b/>
                <w:color w:val="000000"/>
                <w:sz w:val="20"/>
                <w:szCs w:val="20"/>
              </w:rPr>
              <w:t>Parameter Value</w:t>
            </w:r>
          </w:p>
        </w:tc>
      </w:tr>
      <w:tr w:rsidR="008517F2" w:rsidRPr="004543D9" w14:paraId="4DF3E3DF" w14:textId="77777777" w:rsidTr="008517F2">
        <w:trPr>
          <w:trHeight w:val="1300"/>
          <w:jc w:val="center"/>
        </w:trPr>
        <w:tc>
          <w:tcPr>
            <w:tcW w:w="4320" w:type="dxa"/>
            <w:shd w:val="clear" w:color="auto" w:fill="auto"/>
            <w:hideMark/>
          </w:tcPr>
          <w:p w14:paraId="5EE90977" w14:textId="77777777" w:rsidR="008517F2" w:rsidRPr="002A063A" w:rsidRDefault="008517F2" w:rsidP="008517F2">
            <w:pPr>
              <w:rPr>
                <w:color w:val="000000"/>
                <w:sz w:val="20"/>
                <w:szCs w:val="20"/>
              </w:rPr>
            </w:pPr>
            <w:r w:rsidRPr="002A063A">
              <w:rPr>
                <w:color w:val="000000"/>
                <w:sz w:val="20"/>
                <w:szCs w:val="20"/>
              </w:rPr>
              <w:t>1.Habyarimana, J., Mbakile, B. &amp; Pop-Eleches, C. The Impact of HIV/AIDS and ARV Treatment on Worker Absenteeism: Implications for African Firms. The Journal of Human Resources 45, 809–839 (2010).</w:t>
            </w:r>
          </w:p>
        </w:tc>
        <w:tc>
          <w:tcPr>
            <w:tcW w:w="4680" w:type="dxa"/>
            <w:shd w:val="clear" w:color="auto" w:fill="auto"/>
            <w:hideMark/>
          </w:tcPr>
          <w:p w14:paraId="2D1D0920" w14:textId="77777777" w:rsidR="008517F2" w:rsidRPr="002A063A" w:rsidRDefault="008517F2" w:rsidP="008517F2">
            <w:pPr>
              <w:rPr>
                <w:color w:val="000000"/>
                <w:sz w:val="20"/>
                <w:szCs w:val="20"/>
              </w:rPr>
            </w:pPr>
            <w:r w:rsidRPr="002A063A">
              <w:rPr>
                <w:color w:val="000000"/>
                <w:sz w:val="20"/>
                <w:szCs w:val="20"/>
              </w:rPr>
              <w:t>Year before initiation: absenteeism of enrolled workers increases</w:t>
            </w:r>
            <w:r w:rsidRPr="002A063A">
              <w:rPr>
                <w:color w:val="000000"/>
                <w:sz w:val="20"/>
                <w:szCs w:val="20"/>
              </w:rPr>
              <w:br/>
              <w:t>sharply to a peak of five days/month in last month.</w:t>
            </w:r>
            <w:r w:rsidRPr="002A063A">
              <w:rPr>
                <w:color w:val="000000"/>
                <w:sz w:val="20"/>
                <w:szCs w:val="20"/>
              </w:rPr>
              <w:br/>
              <w:t>First six months after initiation: absenteeism declines sharply.</w:t>
            </w:r>
            <w:r w:rsidRPr="002A063A">
              <w:rPr>
                <w:color w:val="000000"/>
                <w:sz w:val="20"/>
                <w:szCs w:val="20"/>
              </w:rPr>
              <w:br/>
              <w:t>7 months-4 years after initiation: no difference between enrolled</w:t>
            </w:r>
            <w:r w:rsidRPr="002A063A">
              <w:rPr>
                <w:color w:val="000000"/>
                <w:sz w:val="20"/>
                <w:szCs w:val="20"/>
              </w:rPr>
              <w:br/>
              <w:t>workers and rest of workforce.</w:t>
            </w:r>
          </w:p>
        </w:tc>
      </w:tr>
      <w:tr w:rsidR="008517F2" w:rsidRPr="004543D9" w14:paraId="1CF73615" w14:textId="77777777" w:rsidTr="008517F2">
        <w:trPr>
          <w:trHeight w:val="1300"/>
          <w:jc w:val="center"/>
        </w:trPr>
        <w:tc>
          <w:tcPr>
            <w:tcW w:w="4320" w:type="dxa"/>
            <w:shd w:val="clear" w:color="auto" w:fill="auto"/>
            <w:hideMark/>
          </w:tcPr>
          <w:p w14:paraId="2079B449" w14:textId="77777777" w:rsidR="008517F2" w:rsidRPr="002A063A" w:rsidRDefault="008517F2" w:rsidP="008517F2">
            <w:pPr>
              <w:rPr>
                <w:color w:val="000000"/>
                <w:sz w:val="20"/>
                <w:szCs w:val="20"/>
              </w:rPr>
            </w:pPr>
            <w:r w:rsidRPr="002A063A">
              <w:rPr>
                <w:color w:val="000000"/>
                <w:sz w:val="20"/>
                <w:szCs w:val="20"/>
              </w:rPr>
              <w:t xml:space="preserve">Iro, O., Amadi, A., &amp; Abanobi, O. (2008, August). The EffectofHIV/AIDS-relatedMorbidityonWorkPro- ductivity: A Case-control Study of Patients on ART in Abia State of Nigeria. Paper presented at the AIDS 2008 </w:t>
            </w:r>
            <w:r w:rsidRPr="002A063A">
              <w:rPr>
                <w:rFonts w:hint="eastAsia"/>
                <w:color w:val="000000"/>
                <w:sz w:val="20"/>
                <w:szCs w:val="20"/>
              </w:rPr>
              <w:t>􏰑</w:t>
            </w:r>
            <w:r w:rsidRPr="002A063A">
              <w:rPr>
                <w:color w:val="000000"/>
                <w:sz w:val="20"/>
                <w:szCs w:val="20"/>
              </w:rPr>
              <w:t xml:space="preserve"> XVII International AIDS Conference. Mexico City, Mexico.</w:t>
            </w:r>
          </w:p>
        </w:tc>
        <w:tc>
          <w:tcPr>
            <w:tcW w:w="4680" w:type="dxa"/>
            <w:shd w:val="clear" w:color="auto" w:fill="auto"/>
            <w:hideMark/>
          </w:tcPr>
          <w:p w14:paraId="780618ED" w14:textId="77777777" w:rsidR="008517F2" w:rsidRPr="002A063A" w:rsidRDefault="008517F2" w:rsidP="008517F2">
            <w:pPr>
              <w:rPr>
                <w:color w:val="000000"/>
                <w:sz w:val="20"/>
                <w:szCs w:val="20"/>
              </w:rPr>
            </w:pPr>
            <w:r w:rsidRPr="002A063A">
              <w:rPr>
                <w:color w:val="000000"/>
                <w:sz w:val="20"/>
                <w:szCs w:val="20"/>
              </w:rPr>
              <w:t>Mean workdays lost (pB0.05)</w:t>
            </w:r>
            <w:r w:rsidRPr="002A063A">
              <w:rPr>
                <w:color w:val="000000"/>
                <w:sz w:val="20"/>
                <w:szCs w:val="20"/>
              </w:rPr>
              <w:br/>
              <w:t>HIV+ on ART: M=1.06 (SD =1.516).</w:t>
            </w:r>
            <w:r w:rsidRPr="002A063A">
              <w:rPr>
                <w:color w:val="000000"/>
                <w:sz w:val="20"/>
                <w:szCs w:val="20"/>
              </w:rPr>
              <w:br/>
              <w:t>HIV+ not on ART: M=4.16 (SD =3.282).</w:t>
            </w:r>
            <w:r w:rsidRPr="002A063A">
              <w:rPr>
                <w:color w:val="000000"/>
                <w:sz w:val="20"/>
                <w:szCs w:val="20"/>
              </w:rPr>
              <w:br/>
              <w:t>HIV- or unknown serostatus: M=0.05 (SD =0.366).</w:t>
            </w:r>
          </w:p>
        </w:tc>
      </w:tr>
      <w:tr w:rsidR="008517F2" w:rsidRPr="004543D9" w14:paraId="4BD69046" w14:textId="77777777" w:rsidTr="008517F2">
        <w:trPr>
          <w:trHeight w:val="1560"/>
          <w:jc w:val="center"/>
        </w:trPr>
        <w:tc>
          <w:tcPr>
            <w:tcW w:w="4320" w:type="dxa"/>
            <w:shd w:val="clear" w:color="auto" w:fill="auto"/>
            <w:hideMark/>
          </w:tcPr>
          <w:p w14:paraId="52E29261" w14:textId="77777777" w:rsidR="008517F2" w:rsidRPr="002A063A" w:rsidRDefault="008517F2" w:rsidP="008517F2">
            <w:pPr>
              <w:rPr>
                <w:color w:val="000000"/>
                <w:sz w:val="20"/>
                <w:szCs w:val="20"/>
              </w:rPr>
            </w:pPr>
            <w:r w:rsidRPr="002A063A">
              <w:rPr>
                <w:color w:val="000000"/>
                <w:sz w:val="20"/>
                <w:szCs w:val="20"/>
              </w:rPr>
              <w:t>1.Muirhead, D. et al. Health care costs, savings and productivity benefits resulting from a large employer sponsored ART program in South Africa. undefined /paper/Health-care-costs%2C-savings-and-productivity-from-a-Muirhead-Kumaranayake/1169a2d82967c92cfe28892a31530e7ed10b2929 (2006).</w:t>
            </w:r>
          </w:p>
        </w:tc>
        <w:tc>
          <w:tcPr>
            <w:tcW w:w="4680" w:type="dxa"/>
            <w:shd w:val="clear" w:color="auto" w:fill="auto"/>
            <w:hideMark/>
          </w:tcPr>
          <w:p w14:paraId="59166968" w14:textId="77777777" w:rsidR="008517F2" w:rsidRPr="002A063A" w:rsidRDefault="008517F2" w:rsidP="008517F2">
            <w:pPr>
              <w:rPr>
                <w:color w:val="000000"/>
                <w:sz w:val="20"/>
                <w:szCs w:val="20"/>
              </w:rPr>
            </w:pPr>
            <w:r w:rsidRPr="002A063A">
              <w:rPr>
                <w:color w:val="000000"/>
                <w:sz w:val="20"/>
                <w:szCs w:val="20"/>
              </w:rPr>
              <w:t>Mean worker absence over 18 months on ART</w:t>
            </w:r>
            <w:r w:rsidRPr="002A063A">
              <w:rPr>
                <w:color w:val="000000"/>
                <w:sz w:val="20"/>
                <w:szCs w:val="20"/>
              </w:rPr>
              <w:br/>
              <w:t>Immediately prior to ART initiation: 7.5 days/month. Six months</w:t>
            </w:r>
            <w:r w:rsidRPr="002A063A">
              <w:rPr>
                <w:color w:val="000000"/>
                <w:sz w:val="20"/>
                <w:szCs w:val="20"/>
              </w:rPr>
              <w:br/>
              <w:t>on ART: 2.9 days/month.</w:t>
            </w:r>
            <w:r w:rsidRPr="002A063A">
              <w:rPr>
                <w:color w:val="000000"/>
                <w:sz w:val="20"/>
                <w:szCs w:val="20"/>
              </w:rPr>
              <w:br/>
              <w:t>12 months: 2.2 days/month.</w:t>
            </w:r>
            <w:r w:rsidRPr="002A063A">
              <w:rPr>
                <w:color w:val="000000"/>
                <w:sz w:val="20"/>
                <w:szCs w:val="20"/>
              </w:rPr>
              <w:br/>
              <w:t>18 months: 2.1 days/month.</w:t>
            </w:r>
          </w:p>
        </w:tc>
      </w:tr>
      <w:tr w:rsidR="008517F2" w:rsidRPr="004543D9" w14:paraId="293D2EF3" w14:textId="77777777" w:rsidTr="008517F2">
        <w:trPr>
          <w:trHeight w:val="1300"/>
          <w:jc w:val="center"/>
        </w:trPr>
        <w:tc>
          <w:tcPr>
            <w:tcW w:w="4320" w:type="dxa"/>
            <w:shd w:val="clear" w:color="auto" w:fill="auto"/>
            <w:hideMark/>
          </w:tcPr>
          <w:p w14:paraId="0169B0F0" w14:textId="77777777" w:rsidR="008517F2" w:rsidRPr="002A063A" w:rsidRDefault="008517F2" w:rsidP="008517F2">
            <w:pPr>
              <w:rPr>
                <w:color w:val="000000"/>
                <w:sz w:val="20"/>
                <w:szCs w:val="20"/>
              </w:rPr>
            </w:pPr>
            <w:r w:rsidRPr="002A063A">
              <w:rPr>
                <w:color w:val="000000"/>
                <w:sz w:val="20"/>
                <w:szCs w:val="20"/>
              </w:rPr>
              <w:t>Rosen, S., Ketlhapile, M., Sanne, I., &amp; DeSilva, M.B. (2008). Differences in normal activities, job perfor- mance and symptom prevalence between patients not yet on antiretroviral therapy and patients initiating therapy in South Africa. AIDS, 22(Suppl. 1), S131 S139.</w:t>
            </w:r>
          </w:p>
        </w:tc>
        <w:tc>
          <w:tcPr>
            <w:tcW w:w="4680" w:type="dxa"/>
            <w:shd w:val="clear" w:color="auto" w:fill="auto"/>
            <w:hideMark/>
          </w:tcPr>
          <w:p w14:paraId="4EB5A30E" w14:textId="77777777" w:rsidR="008517F2" w:rsidRPr="002A063A" w:rsidRDefault="008517F2" w:rsidP="008517F2">
            <w:pPr>
              <w:rPr>
                <w:color w:val="000000"/>
                <w:sz w:val="20"/>
                <w:szCs w:val="20"/>
              </w:rPr>
            </w:pPr>
            <w:r w:rsidRPr="002A063A">
              <w:rPr>
                <w:color w:val="000000"/>
                <w:sz w:val="20"/>
                <w:szCs w:val="20"/>
              </w:rPr>
              <w:t>Differences in absenteeism prior to ART up to six months</w:t>
            </w:r>
            <w:r w:rsidRPr="002A063A">
              <w:rPr>
                <w:color w:val="000000"/>
                <w:sz w:val="20"/>
                <w:szCs w:val="20"/>
              </w:rPr>
              <w:br/>
              <w:t>Mean days absent due to health in previous month:</w:t>
            </w:r>
            <w:r w:rsidRPr="002A063A">
              <w:rPr>
                <w:color w:val="000000"/>
                <w:sz w:val="20"/>
                <w:szCs w:val="20"/>
              </w:rPr>
              <w:br/>
              <w:t>Pre-ART 3.1 (SD =7.5); ART 1-6 months 2.7 (SD =7.7)</w:t>
            </w:r>
            <w:r w:rsidRPr="002A063A">
              <w:rPr>
                <w:color w:val="000000"/>
                <w:sz w:val="20"/>
                <w:szCs w:val="20"/>
              </w:rPr>
              <w:br/>
            </w:r>
            <w:r w:rsidRPr="002A063A">
              <w:rPr>
                <w:color w:val="000000"/>
                <w:sz w:val="20"/>
                <w:szCs w:val="20"/>
              </w:rPr>
              <w:lastRenderedPageBreak/>
              <w:t>(p =0.0108); ART 1-3 months 4.2 (SD =9.8); ART 3-6</w:t>
            </w:r>
            <w:r w:rsidRPr="002A063A">
              <w:rPr>
                <w:color w:val="000000"/>
                <w:sz w:val="20"/>
                <w:szCs w:val="20"/>
              </w:rPr>
              <w:br/>
              <w:t>months 1.3 (SD =5.0) (p =0.0353).</w:t>
            </w:r>
          </w:p>
        </w:tc>
      </w:tr>
      <w:tr w:rsidR="008517F2" w:rsidRPr="004543D9" w14:paraId="5C857C16" w14:textId="77777777" w:rsidTr="008517F2">
        <w:trPr>
          <w:trHeight w:val="520"/>
          <w:jc w:val="center"/>
        </w:trPr>
        <w:tc>
          <w:tcPr>
            <w:tcW w:w="4320" w:type="dxa"/>
            <w:shd w:val="clear" w:color="auto" w:fill="auto"/>
            <w:hideMark/>
          </w:tcPr>
          <w:p w14:paraId="2B3EDD92" w14:textId="77777777" w:rsidR="008517F2" w:rsidRPr="002A063A" w:rsidRDefault="008517F2" w:rsidP="008517F2">
            <w:pPr>
              <w:rPr>
                <w:color w:val="000000"/>
                <w:sz w:val="20"/>
                <w:szCs w:val="20"/>
              </w:rPr>
            </w:pPr>
            <w:r w:rsidRPr="002A063A">
              <w:rPr>
                <w:color w:val="000000"/>
                <w:sz w:val="20"/>
                <w:szCs w:val="20"/>
              </w:rPr>
              <w:lastRenderedPageBreak/>
              <w:t>Beard J, Feeley F, Rosen S (2009) Economic and quality of life outcomes of antiretroviral therapy for HIV/AIDS in developing countries: a systematic literature review. AIDS Care 21: 1343–1356.</w:t>
            </w:r>
          </w:p>
        </w:tc>
        <w:tc>
          <w:tcPr>
            <w:tcW w:w="4680" w:type="dxa"/>
            <w:shd w:val="clear" w:color="auto" w:fill="auto"/>
            <w:hideMark/>
          </w:tcPr>
          <w:p w14:paraId="25C6F3D8" w14:textId="77777777" w:rsidR="008517F2" w:rsidRPr="002A063A" w:rsidRDefault="008517F2" w:rsidP="008517F2">
            <w:pPr>
              <w:rPr>
                <w:color w:val="000000"/>
                <w:sz w:val="20"/>
                <w:szCs w:val="20"/>
              </w:rPr>
            </w:pPr>
            <w:r w:rsidRPr="002A063A">
              <w:rPr>
                <w:color w:val="000000"/>
                <w:sz w:val="20"/>
                <w:szCs w:val="20"/>
              </w:rPr>
              <w:t>Absence pre-ART 3.1 days/month; post-ART 1.3/month at 3-6 months</w:t>
            </w:r>
          </w:p>
        </w:tc>
      </w:tr>
      <w:tr w:rsidR="008517F2" w:rsidRPr="004543D9" w14:paraId="0489F76E" w14:textId="77777777" w:rsidTr="008517F2">
        <w:trPr>
          <w:trHeight w:val="520"/>
          <w:jc w:val="center"/>
        </w:trPr>
        <w:tc>
          <w:tcPr>
            <w:tcW w:w="4320" w:type="dxa"/>
            <w:shd w:val="clear" w:color="auto" w:fill="auto"/>
            <w:hideMark/>
          </w:tcPr>
          <w:p w14:paraId="07F630F0" w14:textId="77777777" w:rsidR="008517F2" w:rsidRPr="002A063A" w:rsidRDefault="008517F2" w:rsidP="008517F2">
            <w:pPr>
              <w:rPr>
                <w:color w:val="000000"/>
                <w:sz w:val="20"/>
                <w:szCs w:val="20"/>
              </w:rPr>
            </w:pPr>
            <w:r w:rsidRPr="002A063A">
              <w:rPr>
                <w:color w:val="000000"/>
                <w:sz w:val="20"/>
                <w:szCs w:val="20"/>
              </w:rPr>
              <w:t>World Health Organization HIV/AIDS Programme (2009) Rapid advice: Antiretroviral therapy for HIV infection in adults and adolescents. Geneva.</w:t>
            </w:r>
          </w:p>
        </w:tc>
        <w:tc>
          <w:tcPr>
            <w:tcW w:w="4680" w:type="dxa"/>
            <w:shd w:val="clear" w:color="auto" w:fill="auto"/>
            <w:hideMark/>
          </w:tcPr>
          <w:p w14:paraId="0AC00B9B" w14:textId="77777777" w:rsidR="008517F2" w:rsidRPr="002A063A" w:rsidRDefault="008517F2" w:rsidP="008517F2">
            <w:pPr>
              <w:rPr>
                <w:color w:val="000000"/>
                <w:sz w:val="20"/>
                <w:szCs w:val="20"/>
              </w:rPr>
            </w:pPr>
            <w:r w:rsidRPr="002A063A">
              <w:rPr>
                <w:color w:val="000000"/>
                <w:sz w:val="20"/>
                <w:szCs w:val="20"/>
              </w:rPr>
              <w:t>Absence pre-ART 78 days/year; post-ART 52 days/year at 28 months</w:t>
            </w:r>
          </w:p>
        </w:tc>
      </w:tr>
      <w:tr w:rsidR="008517F2" w:rsidRPr="004543D9" w14:paraId="17DB6052" w14:textId="77777777" w:rsidTr="008517F2">
        <w:trPr>
          <w:trHeight w:val="520"/>
          <w:jc w:val="center"/>
        </w:trPr>
        <w:tc>
          <w:tcPr>
            <w:tcW w:w="4320" w:type="dxa"/>
            <w:shd w:val="clear" w:color="auto" w:fill="auto"/>
            <w:hideMark/>
          </w:tcPr>
          <w:p w14:paraId="3BE5DA54" w14:textId="77777777" w:rsidR="008517F2" w:rsidRPr="002A063A" w:rsidRDefault="008517F2" w:rsidP="008517F2">
            <w:pPr>
              <w:rPr>
                <w:color w:val="000000"/>
                <w:sz w:val="20"/>
                <w:szCs w:val="20"/>
              </w:rPr>
            </w:pPr>
            <w:r w:rsidRPr="002A063A">
              <w:rPr>
                <w:color w:val="000000"/>
                <w:sz w:val="20"/>
                <w:szCs w:val="20"/>
              </w:rPr>
              <w:t>Fox MP, McCoy K, Larson BA, Rosen S, Bii M, et al. (2010) Improvements in physical wellbeing over the first two years on antiretroviral therapy in western Kenya</w:t>
            </w:r>
          </w:p>
        </w:tc>
        <w:tc>
          <w:tcPr>
            <w:tcW w:w="4680" w:type="dxa"/>
            <w:shd w:val="clear" w:color="auto" w:fill="auto"/>
            <w:hideMark/>
          </w:tcPr>
          <w:p w14:paraId="7BF59829" w14:textId="77777777" w:rsidR="008517F2" w:rsidRPr="002A063A" w:rsidRDefault="008517F2" w:rsidP="008517F2">
            <w:pPr>
              <w:rPr>
                <w:color w:val="000000"/>
                <w:sz w:val="20"/>
                <w:szCs w:val="20"/>
              </w:rPr>
            </w:pPr>
            <w:r w:rsidRPr="002A063A">
              <w:rPr>
                <w:color w:val="000000"/>
                <w:sz w:val="20"/>
                <w:szCs w:val="20"/>
              </w:rPr>
              <w:t>Absence pre-ART 7.5 days/month; post-ART 2.9 days at 6 months, 2.1 days at 18 months</w:t>
            </w:r>
          </w:p>
        </w:tc>
      </w:tr>
      <w:tr w:rsidR="008517F2" w:rsidRPr="004543D9" w14:paraId="002AE198" w14:textId="77777777" w:rsidTr="008517F2">
        <w:trPr>
          <w:trHeight w:val="520"/>
          <w:jc w:val="center"/>
        </w:trPr>
        <w:tc>
          <w:tcPr>
            <w:tcW w:w="4320" w:type="dxa"/>
            <w:shd w:val="clear" w:color="auto" w:fill="auto"/>
            <w:hideMark/>
          </w:tcPr>
          <w:p w14:paraId="560AF457" w14:textId="77777777" w:rsidR="008517F2" w:rsidRPr="002A063A" w:rsidRDefault="008517F2" w:rsidP="008517F2">
            <w:pPr>
              <w:rPr>
                <w:color w:val="000000"/>
                <w:sz w:val="20"/>
                <w:szCs w:val="20"/>
              </w:rPr>
            </w:pPr>
            <w:r w:rsidRPr="002A063A">
              <w:rPr>
                <w:color w:val="000000"/>
                <w:sz w:val="20"/>
                <w:szCs w:val="20"/>
              </w:rPr>
              <w:t>King JT Jr, Justice AC, Roberts MS, Chang CC, Fusco JS (2003) Long-term HIV/AIDS survival estimation in the highly active antiretroviral therapy era. Med Decis Making 23: 9–20.</w:t>
            </w:r>
          </w:p>
        </w:tc>
        <w:tc>
          <w:tcPr>
            <w:tcW w:w="4680" w:type="dxa"/>
            <w:shd w:val="clear" w:color="auto" w:fill="auto"/>
            <w:hideMark/>
          </w:tcPr>
          <w:p w14:paraId="7D4CA38A" w14:textId="77777777" w:rsidR="008517F2" w:rsidRPr="002A063A" w:rsidRDefault="008517F2" w:rsidP="008517F2">
            <w:pPr>
              <w:rPr>
                <w:color w:val="000000"/>
                <w:sz w:val="20"/>
                <w:szCs w:val="20"/>
              </w:rPr>
            </w:pPr>
            <w:r w:rsidRPr="002A063A">
              <w:rPr>
                <w:color w:val="000000"/>
                <w:sz w:val="20"/>
                <w:szCs w:val="20"/>
              </w:rPr>
              <w:t>Pre-ART: Sick leave 0.16 months/year (0.14 in controls). Pre-ART 12% ‘fully functioning’; post-ART 84% at 12 months and 91% at 24 months</w:t>
            </w:r>
          </w:p>
        </w:tc>
      </w:tr>
    </w:tbl>
    <w:p w14:paraId="5B3C2186" w14:textId="023D4D3E" w:rsidR="006E5834" w:rsidRDefault="006E5834" w:rsidP="0030197B">
      <w:pPr>
        <w:pStyle w:val="Caption"/>
        <w:rPr>
          <w:rFonts w:ascii="Arial" w:hAnsi="Arial" w:cs="Arial"/>
          <w:color w:val="000000" w:themeColor="text1"/>
          <w:sz w:val="22"/>
          <w:szCs w:val="22"/>
        </w:rPr>
      </w:pPr>
    </w:p>
    <w:p w14:paraId="2ABCB7EF" w14:textId="47050596" w:rsidR="00647993" w:rsidRPr="008D6407" w:rsidRDefault="00647993" w:rsidP="00647993">
      <w:pPr>
        <w:pStyle w:val="Caption"/>
        <w:jc w:val="center"/>
        <w:rPr>
          <w:rFonts w:ascii="Arial" w:hAnsi="Arial" w:cs="Arial"/>
          <w:color w:val="000000" w:themeColor="text1"/>
          <w:sz w:val="22"/>
          <w:szCs w:val="22"/>
        </w:rPr>
      </w:pPr>
      <w:bookmarkStart w:id="60" w:name="_Toc111481806"/>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9</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Literature on economic outcomes of HSV diseases</w:t>
      </w:r>
      <w:bookmarkEnd w:id="60"/>
    </w:p>
    <w:tbl>
      <w:tblPr>
        <w:tblW w:w="864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20"/>
        <w:gridCol w:w="3950"/>
        <w:gridCol w:w="3870"/>
      </w:tblGrid>
      <w:tr w:rsidR="006E5834" w:rsidRPr="003409C7" w14:paraId="2C80C787" w14:textId="77777777" w:rsidTr="006D3132">
        <w:trPr>
          <w:trHeight w:val="320"/>
          <w:jc w:val="center"/>
        </w:trPr>
        <w:tc>
          <w:tcPr>
            <w:tcW w:w="820" w:type="dxa"/>
            <w:shd w:val="clear" w:color="auto" w:fill="auto"/>
            <w:noWrap/>
            <w:hideMark/>
          </w:tcPr>
          <w:p w14:paraId="7CB3212D" w14:textId="77777777" w:rsidR="006E5834" w:rsidRPr="002A063A" w:rsidRDefault="006E5834" w:rsidP="006D3132">
            <w:pPr>
              <w:jc w:val="center"/>
              <w:rPr>
                <w:b/>
                <w:bCs/>
                <w:i/>
                <w:iCs/>
                <w:color w:val="000000"/>
                <w:sz w:val="20"/>
                <w:szCs w:val="20"/>
              </w:rPr>
            </w:pPr>
            <w:r w:rsidRPr="002A063A">
              <w:rPr>
                <w:b/>
                <w:bCs/>
                <w:i/>
                <w:iCs/>
                <w:color w:val="000000"/>
                <w:sz w:val="20"/>
                <w:szCs w:val="20"/>
              </w:rPr>
              <w:t>Year</w:t>
            </w:r>
          </w:p>
        </w:tc>
        <w:tc>
          <w:tcPr>
            <w:tcW w:w="3950" w:type="dxa"/>
            <w:shd w:val="clear" w:color="auto" w:fill="auto"/>
            <w:hideMark/>
          </w:tcPr>
          <w:p w14:paraId="7F0CBB8C" w14:textId="77777777" w:rsidR="006E5834" w:rsidRPr="002A063A" w:rsidRDefault="006E5834" w:rsidP="006D3132">
            <w:pPr>
              <w:jc w:val="center"/>
              <w:rPr>
                <w:b/>
                <w:bCs/>
                <w:i/>
                <w:iCs/>
                <w:color w:val="000000"/>
                <w:sz w:val="20"/>
                <w:szCs w:val="20"/>
              </w:rPr>
            </w:pPr>
            <w:r w:rsidRPr="002A063A">
              <w:rPr>
                <w:b/>
                <w:bCs/>
                <w:i/>
                <w:iCs/>
                <w:color w:val="000000"/>
                <w:sz w:val="20"/>
                <w:szCs w:val="20"/>
              </w:rPr>
              <w:t>Author</w:t>
            </w:r>
          </w:p>
        </w:tc>
        <w:tc>
          <w:tcPr>
            <w:tcW w:w="3870" w:type="dxa"/>
            <w:shd w:val="clear" w:color="auto" w:fill="auto"/>
            <w:hideMark/>
          </w:tcPr>
          <w:p w14:paraId="2683E1F9" w14:textId="77777777" w:rsidR="006E5834" w:rsidRPr="002A063A" w:rsidRDefault="006E5834" w:rsidP="006D3132">
            <w:pPr>
              <w:jc w:val="center"/>
              <w:rPr>
                <w:b/>
                <w:bCs/>
                <w:i/>
                <w:iCs/>
                <w:color w:val="000000"/>
                <w:sz w:val="20"/>
                <w:szCs w:val="20"/>
              </w:rPr>
            </w:pPr>
            <w:r w:rsidRPr="002A063A">
              <w:rPr>
                <w:b/>
                <w:bCs/>
                <w:i/>
                <w:iCs/>
                <w:color w:val="000000"/>
                <w:sz w:val="20"/>
                <w:szCs w:val="20"/>
              </w:rPr>
              <w:t>Title</w:t>
            </w:r>
          </w:p>
        </w:tc>
      </w:tr>
      <w:tr w:rsidR="006E5834" w:rsidRPr="003409C7" w14:paraId="07BC034B" w14:textId="77777777" w:rsidTr="006D3132">
        <w:trPr>
          <w:trHeight w:val="320"/>
          <w:jc w:val="center"/>
        </w:trPr>
        <w:tc>
          <w:tcPr>
            <w:tcW w:w="820" w:type="dxa"/>
            <w:shd w:val="clear" w:color="auto" w:fill="auto"/>
            <w:noWrap/>
            <w:hideMark/>
          </w:tcPr>
          <w:p w14:paraId="6373571D" w14:textId="77777777" w:rsidR="006E5834" w:rsidRPr="002A063A" w:rsidRDefault="006E5834" w:rsidP="006D3132">
            <w:pPr>
              <w:rPr>
                <w:color w:val="000000"/>
                <w:sz w:val="20"/>
                <w:szCs w:val="20"/>
              </w:rPr>
            </w:pPr>
            <w:r w:rsidRPr="002A063A">
              <w:rPr>
                <w:color w:val="000000"/>
                <w:sz w:val="20"/>
                <w:szCs w:val="20"/>
              </w:rPr>
              <w:t>2006</w:t>
            </w:r>
          </w:p>
        </w:tc>
        <w:tc>
          <w:tcPr>
            <w:tcW w:w="3950" w:type="dxa"/>
            <w:shd w:val="clear" w:color="auto" w:fill="auto"/>
            <w:hideMark/>
          </w:tcPr>
          <w:p w14:paraId="5AE1E1E7" w14:textId="77777777" w:rsidR="006E5834" w:rsidRPr="002A063A" w:rsidRDefault="006E5834" w:rsidP="006D3132">
            <w:pPr>
              <w:rPr>
                <w:color w:val="000000"/>
                <w:sz w:val="20"/>
                <w:szCs w:val="20"/>
              </w:rPr>
            </w:pPr>
            <w:r w:rsidRPr="002A063A">
              <w:rPr>
                <w:color w:val="000000"/>
                <w:sz w:val="20"/>
                <w:szCs w:val="20"/>
              </w:rPr>
              <w:t>Terris-Prestholt, Fern; Vyas, Seema; Kumaranayake, Lilani; Mayaud, Philippe; Watts, Charlotte</w:t>
            </w:r>
          </w:p>
        </w:tc>
        <w:tc>
          <w:tcPr>
            <w:tcW w:w="3870" w:type="dxa"/>
            <w:shd w:val="clear" w:color="auto" w:fill="auto"/>
            <w:hideMark/>
          </w:tcPr>
          <w:p w14:paraId="26A44A1D" w14:textId="77777777" w:rsidR="006E5834" w:rsidRPr="002A063A" w:rsidRDefault="006E5834" w:rsidP="006D3132">
            <w:pPr>
              <w:rPr>
                <w:color w:val="000000"/>
                <w:sz w:val="20"/>
                <w:szCs w:val="20"/>
              </w:rPr>
            </w:pPr>
            <w:r w:rsidRPr="002A063A">
              <w:rPr>
                <w:color w:val="000000"/>
                <w:sz w:val="20"/>
                <w:szCs w:val="20"/>
              </w:rPr>
              <w:t>The Costs of Treating Curable Sexually Transmitted Infections in Low- and Middle-Income Countries: A Systematic Review:</w:t>
            </w:r>
          </w:p>
        </w:tc>
      </w:tr>
      <w:tr w:rsidR="006E5834" w:rsidRPr="003409C7" w14:paraId="71D3C0F0" w14:textId="77777777" w:rsidTr="006D3132">
        <w:trPr>
          <w:trHeight w:val="320"/>
          <w:jc w:val="center"/>
        </w:trPr>
        <w:tc>
          <w:tcPr>
            <w:tcW w:w="820" w:type="dxa"/>
            <w:shd w:val="clear" w:color="auto" w:fill="auto"/>
            <w:noWrap/>
            <w:hideMark/>
          </w:tcPr>
          <w:p w14:paraId="52D71608" w14:textId="77777777" w:rsidR="006E5834" w:rsidRPr="002A063A" w:rsidRDefault="006E5834" w:rsidP="006D3132">
            <w:pPr>
              <w:rPr>
                <w:color w:val="000000"/>
                <w:sz w:val="20"/>
                <w:szCs w:val="20"/>
              </w:rPr>
            </w:pPr>
            <w:r w:rsidRPr="002A063A">
              <w:rPr>
                <w:color w:val="000000"/>
                <w:sz w:val="20"/>
                <w:szCs w:val="20"/>
              </w:rPr>
              <w:t>2008</w:t>
            </w:r>
          </w:p>
        </w:tc>
        <w:tc>
          <w:tcPr>
            <w:tcW w:w="3950" w:type="dxa"/>
            <w:shd w:val="clear" w:color="auto" w:fill="auto"/>
            <w:hideMark/>
          </w:tcPr>
          <w:p w14:paraId="20751D2E" w14:textId="77777777" w:rsidR="006E5834" w:rsidRPr="002A063A" w:rsidRDefault="006E5834" w:rsidP="006D3132">
            <w:pPr>
              <w:rPr>
                <w:color w:val="000000"/>
                <w:sz w:val="20"/>
                <w:szCs w:val="20"/>
              </w:rPr>
            </w:pPr>
            <w:r w:rsidRPr="002A063A">
              <w:rPr>
                <w:color w:val="000000"/>
                <w:sz w:val="20"/>
                <w:szCs w:val="20"/>
              </w:rPr>
              <w:t>Caviness, A. Chantal; Demmler, Gail J.; Swint, J. Michael; Cantor, Scott B.</w:t>
            </w:r>
          </w:p>
        </w:tc>
        <w:tc>
          <w:tcPr>
            <w:tcW w:w="3870" w:type="dxa"/>
            <w:shd w:val="clear" w:color="auto" w:fill="auto"/>
            <w:hideMark/>
          </w:tcPr>
          <w:p w14:paraId="47ED333F" w14:textId="77777777" w:rsidR="006E5834" w:rsidRPr="002A063A" w:rsidRDefault="006E5834" w:rsidP="006D3132">
            <w:pPr>
              <w:rPr>
                <w:color w:val="000000"/>
                <w:sz w:val="20"/>
                <w:szCs w:val="20"/>
              </w:rPr>
            </w:pPr>
            <w:r w:rsidRPr="002A063A">
              <w:rPr>
                <w:color w:val="000000"/>
                <w:sz w:val="20"/>
                <w:szCs w:val="20"/>
              </w:rPr>
              <w:t>Cost-effectiveness analysis of herpes simplex virus testing and treatment strategies in febrile neonates</w:t>
            </w:r>
          </w:p>
        </w:tc>
      </w:tr>
      <w:tr w:rsidR="006E5834" w:rsidRPr="003409C7" w14:paraId="5BB4BEAD" w14:textId="77777777" w:rsidTr="006D3132">
        <w:trPr>
          <w:trHeight w:val="320"/>
          <w:jc w:val="center"/>
        </w:trPr>
        <w:tc>
          <w:tcPr>
            <w:tcW w:w="820" w:type="dxa"/>
            <w:shd w:val="clear" w:color="auto" w:fill="auto"/>
            <w:noWrap/>
            <w:hideMark/>
          </w:tcPr>
          <w:p w14:paraId="639DBB36" w14:textId="77777777" w:rsidR="006E5834" w:rsidRPr="002A063A" w:rsidRDefault="006E5834" w:rsidP="006D3132">
            <w:pPr>
              <w:rPr>
                <w:color w:val="000000"/>
                <w:sz w:val="20"/>
                <w:szCs w:val="20"/>
              </w:rPr>
            </w:pPr>
            <w:r w:rsidRPr="002A063A">
              <w:rPr>
                <w:color w:val="000000"/>
                <w:sz w:val="20"/>
                <w:szCs w:val="20"/>
              </w:rPr>
              <w:t>2005</w:t>
            </w:r>
          </w:p>
        </w:tc>
        <w:tc>
          <w:tcPr>
            <w:tcW w:w="3950" w:type="dxa"/>
            <w:shd w:val="clear" w:color="auto" w:fill="auto"/>
            <w:hideMark/>
          </w:tcPr>
          <w:p w14:paraId="3523E28E" w14:textId="77777777" w:rsidR="006E5834" w:rsidRPr="002A063A" w:rsidRDefault="006E5834" w:rsidP="006D3132">
            <w:pPr>
              <w:rPr>
                <w:color w:val="000000"/>
                <w:sz w:val="20"/>
                <w:szCs w:val="20"/>
              </w:rPr>
            </w:pPr>
            <w:r w:rsidRPr="002A063A">
              <w:rPr>
                <w:color w:val="000000"/>
                <w:sz w:val="20"/>
                <w:szCs w:val="20"/>
              </w:rPr>
              <w:t>Little, Sarah E.; Caughey, Aaron B.</w:t>
            </w:r>
          </w:p>
        </w:tc>
        <w:tc>
          <w:tcPr>
            <w:tcW w:w="3870" w:type="dxa"/>
            <w:shd w:val="clear" w:color="auto" w:fill="auto"/>
            <w:hideMark/>
          </w:tcPr>
          <w:p w14:paraId="3CB7368E" w14:textId="77777777" w:rsidR="006E5834" w:rsidRPr="002A063A" w:rsidRDefault="006E5834" w:rsidP="006D3132">
            <w:pPr>
              <w:rPr>
                <w:color w:val="000000"/>
                <w:sz w:val="20"/>
                <w:szCs w:val="20"/>
              </w:rPr>
            </w:pPr>
            <w:r w:rsidRPr="002A063A">
              <w:rPr>
                <w:color w:val="000000"/>
                <w:sz w:val="20"/>
                <w:szCs w:val="20"/>
              </w:rPr>
              <w:t>Acyclovir prophylaxis for pregnant women with a known history of herpes simplex virus: a cost-effectiveness analysis</w:t>
            </w:r>
          </w:p>
        </w:tc>
      </w:tr>
      <w:tr w:rsidR="006E5834" w:rsidRPr="003409C7" w14:paraId="51C10825" w14:textId="77777777" w:rsidTr="006D3132">
        <w:trPr>
          <w:trHeight w:val="320"/>
          <w:jc w:val="center"/>
        </w:trPr>
        <w:tc>
          <w:tcPr>
            <w:tcW w:w="820" w:type="dxa"/>
            <w:shd w:val="clear" w:color="auto" w:fill="auto"/>
            <w:noWrap/>
            <w:hideMark/>
          </w:tcPr>
          <w:p w14:paraId="4003CB90" w14:textId="77777777" w:rsidR="006E5834" w:rsidRPr="002A063A" w:rsidRDefault="006E5834" w:rsidP="006D3132">
            <w:pPr>
              <w:rPr>
                <w:color w:val="000000"/>
                <w:sz w:val="20"/>
                <w:szCs w:val="20"/>
              </w:rPr>
            </w:pPr>
            <w:r w:rsidRPr="002A063A">
              <w:rPr>
                <w:color w:val="000000"/>
                <w:sz w:val="20"/>
                <w:szCs w:val="20"/>
              </w:rPr>
              <w:t>2005</w:t>
            </w:r>
          </w:p>
        </w:tc>
        <w:tc>
          <w:tcPr>
            <w:tcW w:w="3950" w:type="dxa"/>
            <w:shd w:val="clear" w:color="auto" w:fill="auto"/>
            <w:hideMark/>
          </w:tcPr>
          <w:p w14:paraId="6CA52F8C" w14:textId="77777777" w:rsidR="006E5834" w:rsidRPr="002A063A" w:rsidRDefault="006E5834" w:rsidP="006D3132">
            <w:pPr>
              <w:rPr>
                <w:color w:val="000000"/>
                <w:sz w:val="20"/>
                <w:szCs w:val="20"/>
              </w:rPr>
            </w:pPr>
            <w:r w:rsidRPr="002A063A">
              <w:rPr>
                <w:color w:val="000000"/>
                <w:sz w:val="20"/>
                <w:szCs w:val="20"/>
              </w:rPr>
              <w:t>Thung, Stephen F.; Grobman, William A.</w:t>
            </w:r>
          </w:p>
        </w:tc>
        <w:tc>
          <w:tcPr>
            <w:tcW w:w="3870" w:type="dxa"/>
            <w:shd w:val="clear" w:color="auto" w:fill="auto"/>
            <w:hideMark/>
          </w:tcPr>
          <w:p w14:paraId="181DFEB4" w14:textId="77777777" w:rsidR="006E5834" w:rsidRPr="002A063A" w:rsidRDefault="006E5834" w:rsidP="006D3132">
            <w:pPr>
              <w:rPr>
                <w:color w:val="000000"/>
                <w:sz w:val="20"/>
                <w:szCs w:val="20"/>
              </w:rPr>
            </w:pPr>
            <w:r w:rsidRPr="002A063A">
              <w:rPr>
                <w:color w:val="000000"/>
                <w:sz w:val="20"/>
                <w:szCs w:val="20"/>
              </w:rPr>
              <w:t>The cost-effectiveness of routine antenatal screening for maternal herpes simplex virus-1 and -2 antibodies</w:t>
            </w:r>
          </w:p>
        </w:tc>
      </w:tr>
      <w:tr w:rsidR="006E5834" w:rsidRPr="003409C7" w14:paraId="75C3B49A" w14:textId="77777777" w:rsidTr="006D3132">
        <w:trPr>
          <w:trHeight w:val="600"/>
          <w:jc w:val="center"/>
        </w:trPr>
        <w:tc>
          <w:tcPr>
            <w:tcW w:w="820" w:type="dxa"/>
            <w:shd w:val="clear" w:color="auto" w:fill="auto"/>
            <w:noWrap/>
            <w:hideMark/>
          </w:tcPr>
          <w:p w14:paraId="75625B97" w14:textId="77777777" w:rsidR="006E5834" w:rsidRPr="002A063A" w:rsidRDefault="006E5834" w:rsidP="006D3132">
            <w:pPr>
              <w:rPr>
                <w:color w:val="000000"/>
                <w:sz w:val="20"/>
                <w:szCs w:val="20"/>
              </w:rPr>
            </w:pPr>
            <w:r w:rsidRPr="002A063A">
              <w:rPr>
                <w:color w:val="000000"/>
                <w:sz w:val="20"/>
                <w:szCs w:val="20"/>
              </w:rPr>
              <w:t>2004</w:t>
            </w:r>
          </w:p>
        </w:tc>
        <w:tc>
          <w:tcPr>
            <w:tcW w:w="3950" w:type="dxa"/>
            <w:shd w:val="clear" w:color="auto" w:fill="auto"/>
            <w:hideMark/>
          </w:tcPr>
          <w:p w14:paraId="59609C20" w14:textId="77777777" w:rsidR="006E5834" w:rsidRPr="002A063A" w:rsidRDefault="006E5834" w:rsidP="006D3132">
            <w:pPr>
              <w:rPr>
                <w:color w:val="000000"/>
                <w:sz w:val="20"/>
                <w:szCs w:val="20"/>
              </w:rPr>
            </w:pPr>
            <w:r w:rsidRPr="002A063A">
              <w:rPr>
                <w:color w:val="000000"/>
                <w:sz w:val="20"/>
                <w:szCs w:val="20"/>
              </w:rPr>
              <w:t>Baker, David; Brown, Zane; Hollier, Lisa M.; Wendel, George D.; Hulme, Lisa; Griffiths, Dorothea A.; Mauskopf, Josephine</w:t>
            </w:r>
          </w:p>
        </w:tc>
        <w:tc>
          <w:tcPr>
            <w:tcW w:w="3870" w:type="dxa"/>
            <w:shd w:val="clear" w:color="auto" w:fill="auto"/>
            <w:hideMark/>
          </w:tcPr>
          <w:p w14:paraId="6A526398" w14:textId="77777777" w:rsidR="006E5834" w:rsidRPr="002A063A" w:rsidRDefault="006E5834" w:rsidP="006D3132">
            <w:pPr>
              <w:rPr>
                <w:color w:val="000000"/>
                <w:sz w:val="20"/>
                <w:szCs w:val="20"/>
              </w:rPr>
            </w:pPr>
            <w:r w:rsidRPr="002A063A">
              <w:rPr>
                <w:color w:val="000000"/>
                <w:sz w:val="20"/>
                <w:szCs w:val="20"/>
              </w:rPr>
              <w:t>Cost-effectiveness of herpes simplex virus type 2 serologic testing and antiviral therapy in pregnancy</w:t>
            </w:r>
          </w:p>
        </w:tc>
      </w:tr>
      <w:tr w:rsidR="006E5834" w:rsidRPr="003409C7" w14:paraId="343B4D4B" w14:textId="77777777" w:rsidTr="006D3132">
        <w:trPr>
          <w:trHeight w:val="320"/>
          <w:jc w:val="center"/>
        </w:trPr>
        <w:tc>
          <w:tcPr>
            <w:tcW w:w="820" w:type="dxa"/>
            <w:shd w:val="clear" w:color="auto" w:fill="auto"/>
            <w:noWrap/>
            <w:hideMark/>
          </w:tcPr>
          <w:p w14:paraId="6FF477D8" w14:textId="77777777" w:rsidR="006E5834" w:rsidRPr="002A063A" w:rsidRDefault="006E5834" w:rsidP="006D3132">
            <w:pPr>
              <w:rPr>
                <w:color w:val="000000"/>
                <w:sz w:val="20"/>
                <w:szCs w:val="20"/>
              </w:rPr>
            </w:pPr>
            <w:r w:rsidRPr="002A063A">
              <w:rPr>
                <w:color w:val="000000"/>
                <w:sz w:val="20"/>
                <w:szCs w:val="20"/>
              </w:rPr>
              <w:t>2003</w:t>
            </w:r>
          </w:p>
        </w:tc>
        <w:tc>
          <w:tcPr>
            <w:tcW w:w="3950" w:type="dxa"/>
            <w:shd w:val="clear" w:color="auto" w:fill="auto"/>
            <w:hideMark/>
          </w:tcPr>
          <w:p w14:paraId="10A69C12" w14:textId="77777777" w:rsidR="006E5834" w:rsidRPr="002A063A" w:rsidRDefault="006E5834" w:rsidP="006D3132">
            <w:pPr>
              <w:rPr>
                <w:color w:val="000000"/>
                <w:sz w:val="20"/>
                <w:szCs w:val="20"/>
              </w:rPr>
            </w:pPr>
            <w:r w:rsidRPr="002A063A">
              <w:rPr>
                <w:color w:val="000000"/>
                <w:sz w:val="20"/>
                <w:szCs w:val="20"/>
              </w:rPr>
              <w:t>Lairson, David R.; Begley, Charles E.; Reynolds, Thomas F.; Wilhelmus, Kirk R.</w:t>
            </w:r>
          </w:p>
        </w:tc>
        <w:tc>
          <w:tcPr>
            <w:tcW w:w="3870" w:type="dxa"/>
            <w:shd w:val="clear" w:color="auto" w:fill="auto"/>
            <w:hideMark/>
          </w:tcPr>
          <w:p w14:paraId="62BE2917" w14:textId="77777777" w:rsidR="006E5834" w:rsidRPr="002A063A" w:rsidRDefault="006E5834" w:rsidP="006D3132">
            <w:pPr>
              <w:rPr>
                <w:color w:val="000000"/>
                <w:sz w:val="20"/>
                <w:szCs w:val="20"/>
              </w:rPr>
            </w:pPr>
            <w:r w:rsidRPr="002A063A">
              <w:rPr>
                <w:color w:val="000000"/>
                <w:sz w:val="20"/>
                <w:szCs w:val="20"/>
              </w:rPr>
              <w:t>Prevention of herpes simplex virus eye disease: a cost-effectiveness analysis</w:t>
            </w:r>
          </w:p>
        </w:tc>
      </w:tr>
      <w:tr w:rsidR="006E5834" w:rsidRPr="003409C7" w14:paraId="3A4E11E4" w14:textId="77777777" w:rsidTr="006D3132">
        <w:trPr>
          <w:trHeight w:val="320"/>
          <w:jc w:val="center"/>
        </w:trPr>
        <w:tc>
          <w:tcPr>
            <w:tcW w:w="820" w:type="dxa"/>
            <w:shd w:val="clear" w:color="auto" w:fill="auto"/>
            <w:noWrap/>
            <w:hideMark/>
          </w:tcPr>
          <w:p w14:paraId="62110C56" w14:textId="77777777" w:rsidR="006E5834" w:rsidRPr="002A063A" w:rsidRDefault="006E5834" w:rsidP="006D3132">
            <w:pPr>
              <w:rPr>
                <w:color w:val="000000"/>
                <w:sz w:val="20"/>
                <w:szCs w:val="20"/>
              </w:rPr>
            </w:pPr>
            <w:r w:rsidRPr="002A063A">
              <w:rPr>
                <w:color w:val="000000"/>
                <w:sz w:val="20"/>
                <w:szCs w:val="20"/>
              </w:rPr>
              <w:t>2001</w:t>
            </w:r>
          </w:p>
        </w:tc>
        <w:tc>
          <w:tcPr>
            <w:tcW w:w="3950" w:type="dxa"/>
            <w:shd w:val="clear" w:color="auto" w:fill="auto"/>
            <w:hideMark/>
          </w:tcPr>
          <w:p w14:paraId="43133421" w14:textId="77777777" w:rsidR="006E5834" w:rsidRPr="002A063A" w:rsidRDefault="006E5834" w:rsidP="006D3132">
            <w:pPr>
              <w:rPr>
                <w:color w:val="000000"/>
                <w:sz w:val="20"/>
                <w:szCs w:val="20"/>
              </w:rPr>
            </w:pPr>
            <w:r w:rsidRPr="002A063A">
              <w:rPr>
                <w:color w:val="000000"/>
                <w:sz w:val="20"/>
                <w:szCs w:val="20"/>
              </w:rPr>
              <w:t>Qutub, M.; Klapper, P.; Vallely, P.; Cleator, G.</w:t>
            </w:r>
          </w:p>
        </w:tc>
        <w:tc>
          <w:tcPr>
            <w:tcW w:w="3870" w:type="dxa"/>
            <w:shd w:val="clear" w:color="auto" w:fill="auto"/>
            <w:hideMark/>
          </w:tcPr>
          <w:p w14:paraId="52C3BD9D" w14:textId="77777777" w:rsidR="006E5834" w:rsidRPr="002A063A" w:rsidRDefault="006E5834" w:rsidP="006D3132">
            <w:pPr>
              <w:rPr>
                <w:color w:val="000000"/>
                <w:sz w:val="20"/>
                <w:szCs w:val="20"/>
              </w:rPr>
            </w:pPr>
            <w:r w:rsidRPr="002A063A">
              <w:rPr>
                <w:color w:val="000000"/>
                <w:sz w:val="20"/>
                <w:szCs w:val="20"/>
              </w:rPr>
              <w:t>Genital herpes in pregnancy: is screening cost-effective?</w:t>
            </w:r>
          </w:p>
        </w:tc>
      </w:tr>
      <w:tr w:rsidR="006E5834" w:rsidRPr="003409C7" w14:paraId="113D830F" w14:textId="77777777" w:rsidTr="006D3132">
        <w:trPr>
          <w:trHeight w:val="320"/>
          <w:jc w:val="center"/>
        </w:trPr>
        <w:tc>
          <w:tcPr>
            <w:tcW w:w="820" w:type="dxa"/>
            <w:shd w:val="clear" w:color="auto" w:fill="auto"/>
            <w:noWrap/>
            <w:hideMark/>
          </w:tcPr>
          <w:p w14:paraId="60113A35" w14:textId="77777777" w:rsidR="006E5834" w:rsidRPr="002A063A" w:rsidRDefault="006E5834" w:rsidP="006D3132">
            <w:pPr>
              <w:rPr>
                <w:color w:val="000000"/>
                <w:sz w:val="20"/>
                <w:szCs w:val="20"/>
              </w:rPr>
            </w:pPr>
            <w:r w:rsidRPr="002A063A">
              <w:rPr>
                <w:color w:val="000000"/>
                <w:sz w:val="20"/>
                <w:szCs w:val="20"/>
              </w:rPr>
              <w:t>1998</w:t>
            </w:r>
          </w:p>
        </w:tc>
        <w:tc>
          <w:tcPr>
            <w:tcW w:w="3950" w:type="dxa"/>
            <w:shd w:val="clear" w:color="auto" w:fill="auto"/>
            <w:hideMark/>
          </w:tcPr>
          <w:p w14:paraId="0FF2F00E" w14:textId="77777777" w:rsidR="006E5834" w:rsidRPr="002A063A" w:rsidRDefault="006E5834" w:rsidP="006D3132">
            <w:pPr>
              <w:rPr>
                <w:color w:val="000000"/>
                <w:sz w:val="20"/>
                <w:szCs w:val="20"/>
              </w:rPr>
            </w:pPr>
            <w:r w:rsidRPr="002A063A">
              <w:rPr>
                <w:color w:val="000000"/>
                <w:sz w:val="20"/>
                <w:szCs w:val="20"/>
              </w:rPr>
              <w:t>Scott, L. L.; Alexander, J.</w:t>
            </w:r>
          </w:p>
        </w:tc>
        <w:tc>
          <w:tcPr>
            <w:tcW w:w="3870" w:type="dxa"/>
            <w:shd w:val="clear" w:color="auto" w:fill="auto"/>
            <w:hideMark/>
          </w:tcPr>
          <w:p w14:paraId="75EFF2AB" w14:textId="77777777" w:rsidR="006E5834" w:rsidRPr="002A063A" w:rsidRDefault="006E5834" w:rsidP="006D3132">
            <w:pPr>
              <w:rPr>
                <w:color w:val="000000"/>
                <w:sz w:val="20"/>
                <w:szCs w:val="20"/>
              </w:rPr>
            </w:pPr>
            <w:r w:rsidRPr="002A063A">
              <w:rPr>
                <w:color w:val="000000"/>
                <w:sz w:val="20"/>
                <w:szCs w:val="20"/>
              </w:rPr>
              <w:t>Cost-effectiveness of acyclovir suppression to prevent recurrent genital herpes in term pregnancy</w:t>
            </w:r>
          </w:p>
        </w:tc>
      </w:tr>
      <w:tr w:rsidR="006E5834" w:rsidRPr="003409C7" w14:paraId="35C666D1" w14:textId="77777777" w:rsidTr="006D3132">
        <w:trPr>
          <w:trHeight w:val="320"/>
          <w:jc w:val="center"/>
        </w:trPr>
        <w:tc>
          <w:tcPr>
            <w:tcW w:w="820" w:type="dxa"/>
            <w:shd w:val="clear" w:color="auto" w:fill="auto"/>
            <w:noWrap/>
            <w:hideMark/>
          </w:tcPr>
          <w:p w14:paraId="7FD99084" w14:textId="77777777" w:rsidR="006E5834" w:rsidRPr="002A063A" w:rsidRDefault="006E5834" w:rsidP="006D3132">
            <w:pPr>
              <w:rPr>
                <w:color w:val="000000"/>
                <w:sz w:val="20"/>
                <w:szCs w:val="20"/>
              </w:rPr>
            </w:pPr>
            <w:r w:rsidRPr="002A063A">
              <w:rPr>
                <w:color w:val="000000"/>
                <w:sz w:val="20"/>
                <w:szCs w:val="20"/>
              </w:rPr>
              <w:t>1997</w:t>
            </w:r>
          </w:p>
        </w:tc>
        <w:tc>
          <w:tcPr>
            <w:tcW w:w="3950" w:type="dxa"/>
            <w:shd w:val="clear" w:color="auto" w:fill="auto"/>
            <w:hideMark/>
          </w:tcPr>
          <w:p w14:paraId="588A0F63" w14:textId="77777777" w:rsidR="006E5834" w:rsidRPr="002A063A" w:rsidRDefault="006E5834" w:rsidP="006D3132">
            <w:pPr>
              <w:rPr>
                <w:color w:val="000000"/>
                <w:sz w:val="20"/>
                <w:szCs w:val="20"/>
              </w:rPr>
            </w:pPr>
            <w:r w:rsidRPr="002A063A">
              <w:rPr>
                <w:color w:val="000000"/>
                <w:sz w:val="20"/>
                <w:szCs w:val="20"/>
              </w:rPr>
              <w:t>Mennemeyer, S. T.; Cyr, L. P.; Whitley, R. J.</w:t>
            </w:r>
          </w:p>
        </w:tc>
        <w:tc>
          <w:tcPr>
            <w:tcW w:w="3870" w:type="dxa"/>
            <w:shd w:val="clear" w:color="auto" w:fill="auto"/>
            <w:hideMark/>
          </w:tcPr>
          <w:p w14:paraId="437D377C" w14:textId="77777777" w:rsidR="006E5834" w:rsidRPr="002A063A" w:rsidRDefault="006E5834" w:rsidP="006D3132">
            <w:pPr>
              <w:rPr>
                <w:color w:val="000000"/>
                <w:sz w:val="20"/>
                <w:szCs w:val="20"/>
              </w:rPr>
            </w:pPr>
            <w:r w:rsidRPr="002A063A">
              <w:rPr>
                <w:color w:val="000000"/>
                <w:sz w:val="20"/>
                <w:szCs w:val="20"/>
              </w:rPr>
              <w:t>Antiviral therapy for neonatal herpes simplex virus: a cost-effectiveness analysis</w:t>
            </w:r>
          </w:p>
        </w:tc>
      </w:tr>
      <w:tr w:rsidR="006E5834" w:rsidRPr="003409C7" w14:paraId="420897E5" w14:textId="77777777" w:rsidTr="006D3132">
        <w:trPr>
          <w:trHeight w:val="320"/>
          <w:jc w:val="center"/>
        </w:trPr>
        <w:tc>
          <w:tcPr>
            <w:tcW w:w="820" w:type="dxa"/>
            <w:shd w:val="clear" w:color="auto" w:fill="auto"/>
            <w:noWrap/>
            <w:hideMark/>
          </w:tcPr>
          <w:p w14:paraId="17632071" w14:textId="77777777" w:rsidR="006E5834" w:rsidRPr="002A063A" w:rsidRDefault="006E5834" w:rsidP="006D3132">
            <w:pPr>
              <w:rPr>
                <w:color w:val="000000"/>
                <w:sz w:val="20"/>
                <w:szCs w:val="20"/>
              </w:rPr>
            </w:pPr>
            <w:r w:rsidRPr="002A063A">
              <w:rPr>
                <w:color w:val="000000"/>
                <w:sz w:val="20"/>
                <w:szCs w:val="20"/>
              </w:rPr>
              <w:t>1996</w:t>
            </w:r>
          </w:p>
        </w:tc>
        <w:tc>
          <w:tcPr>
            <w:tcW w:w="3950" w:type="dxa"/>
            <w:shd w:val="clear" w:color="auto" w:fill="auto"/>
            <w:hideMark/>
          </w:tcPr>
          <w:p w14:paraId="50E05196" w14:textId="77777777" w:rsidR="006E5834" w:rsidRPr="002A063A" w:rsidRDefault="006E5834" w:rsidP="006D3132">
            <w:pPr>
              <w:rPr>
                <w:color w:val="000000"/>
                <w:sz w:val="20"/>
                <w:szCs w:val="20"/>
              </w:rPr>
            </w:pPr>
            <w:r w:rsidRPr="002A063A">
              <w:rPr>
                <w:color w:val="000000"/>
                <w:sz w:val="20"/>
                <w:szCs w:val="20"/>
              </w:rPr>
              <w:t>Randolph, A. G.; Hartshorn, R. M.; Washington, A. E.</w:t>
            </w:r>
          </w:p>
        </w:tc>
        <w:tc>
          <w:tcPr>
            <w:tcW w:w="3870" w:type="dxa"/>
            <w:shd w:val="clear" w:color="auto" w:fill="auto"/>
            <w:hideMark/>
          </w:tcPr>
          <w:p w14:paraId="48A6CCB8" w14:textId="77777777" w:rsidR="006E5834" w:rsidRPr="002A063A" w:rsidRDefault="006E5834" w:rsidP="006D3132">
            <w:pPr>
              <w:rPr>
                <w:color w:val="000000"/>
                <w:sz w:val="20"/>
                <w:szCs w:val="20"/>
              </w:rPr>
            </w:pPr>
            <w:r w:rsidRPr="002A063A">
              <w:rPr>
                <w:color w:val="000000"/>
                <w:sz w:val="20"/>
                <w:szCs w:val="20"/>
              </w:rPr>
              <w:t>Acyclovir prophylaxis in late pregnancy to prevent neonatal herpes: a cost-effectiveness analysis</w:t>
            </w:r>
          </w:p>
        </w:tc>
      </w:tr>
      <w:tr w:rsidR="006E5834" w:rsidRPr="003409C7" w14:paraId="0F35167A" w14:textId="77777777" w:rsidTr="006D3132">
        <w:trPr>
          <w:trHeight w:val="320"/>
          <w:jc w:val="center"/>
        </w:trPr>
        <w:tc>
          <w:tcPr>
            <w:tcW w:w="820" w:type="dxa"/>
            <w:shd w:val="clear" w:color="auto" w:fill="auto"/>
            <w:noWrap/>
            <w:hideMark/>
          </w:tcPr>
          <w:p w14:paraId="5EB7F8FE" w14:textId="77777777" w:rsidR="006E5834" w:rsidRPr="002A063A" w:rsidRDefault="006E5834" w:rsidP="006D3132">
            <w:pPr>
              <w:rPr>
                <w:color w:val="000000"/>
                <w:sz w:val="20"/>
                <w:szCs w:val="20"/>
              </w:rPr>
            </w:pPr>
            <w:r w:rsidRPr="002A063A">
              <w:rPr>
                <w:color w:val="000000"/>
                <w:sz w:val="20"/>
                <w:szCs w:val="20"/>
              </w:rPr>
              <w:lastRenderedPageBreak/>
              <w:t>1989</w:t>
            </w:r>
          </w:p>
        </w:tc>
        <w:tc>
          <w:tcPr>
            <w:tcW w:w="3950" w:type="dxa"/>
            <w:shd w:val="clear" w:color="auto" w:fill="auto"/>
            <w:hideMark/>
          </w:tcPr>
          <w:p w14:paraId="52D80914" w14:textId="77777777" w:rsidR="006E5834" w:rsidRPr="002A063A" w:rsidRDefault="006E5834" w:rsidP="006D3132">
            <w:pPr>
              <w:rPr>
                <w:color w:val="000000"/>
                <w:sz w:val="20"/>
                <w:szCs w:val="20"/>
              </w:rPr>
            </w:pPr>
            <w:r w:rsidRPr="002A063A">
              <w:rPr>
                <w:color w:val="000000"/>
                <w:sz w:val="20"/>
                <w:szCs w:val="20"/>
              </w:rPr>
              <w:t>Binkin, N. J.; Koplan, J. P.</w:t>
            </w:r>
          </w:p>
        </w:tc>
        <w:tc>
          <w:tcPr>
            <w:tcW w:w="3870" w:type="dxa"/>
            <w:shd w:val="clear" w:color="auto" w:fill="auto"/>
            <w:hideMark/>
          </w:tcPr>
          <w:p w14:paraId="44E1382E" w14:textId="77777777" w:rsidR="006E5834" w:rsidRPr="002A063A" w:rsidRDefault="006E5834" w:rsidP="006D3132">
            <w:pPr>
              <w:rPr>
                <w:color w:val="000000"/>
                <w:sz w:val="20"/>
                <w:szCs w:val="20"/>
              </w:rPr>
            </w:pPr>
            <w:r w:rsidRPr="002A063A">
              <w:rPr>
                <w:color w:val="000000"/>
                <w:sz w:val="20"/>
                <w:szCs w:val="20"/>
              </w:rPr>
              <w:t>The high cost and low efficacy of weekly viral cultures for pregnant women with recurrent genital herpes: a reappraisal</w:t>
            </w:r>
          </w:p>
        </w:tc>
      </w:tr>
      <w:tr w:rsidR="006E5834" w:rsidRPr="003409C7" w14:paraId="303DB272" w14:textId="77777777" w:rsidTr="006D3132">
        <w:trPr>
          <w:trHeight w:val="320"/>
          <w:jc w:val="center"/>
        </w:trPr>
        <w:tc>
          <w:tcPr>
            <w:tcW w:w="820" w:type="dxa"/>
            <w:shd w:val="clear" w:color="auto" w:fill="auto"/>
            <w:noWrap/>
            <w:hideMark/>
          </w:tcPr>
          <w:p w14:paraId="02AC1107" w14:textId="77777777" w:rsidR="006E5834" w:rsidRPr="002A063A" w:rsidRDefault="006E5834" w:rsidP="006D3132">
            <w:pPr>
              <w:rPr>
                <w:color w:val="000000"/>
                <w:sz w:val="20"/>
                <w:szCs w:val="20"/>
              </w:rPr>
            </w:pPr>
            <w:r w:rsidRPr="002A063A">
              <w:rPr>
                <w:color w:val="000000"/>
                <w:sz w:val="20"/>
                <w:szCs w:val="20"/>
              </w:rPr>
              <w:t>1984</w:t>
            </w:r>
          </w:p>
        </w:tc>
        <w:tc>
          <w:tcPr>
            <w:tcW w:w="3950" w:type="dxa"/>
            <w:shd w:val="clear" w:color="auto" w:fill="auto"/>
            <w:hideMark/>
          </w:tcPr>
          <w:p w14:paraId="1E15F0B1" w14:textId="77777777" w:rsidR="006E5834" w:rsidRPr="002A063A" w:rsidRDefault="006E5834" w:rsidP="006D3132">
            <w:pPr>
              <w:rPr>
                <w:color w:val="000000"/>
                <w:sz w:val="20"/>
                <w:szCs w:val="20"/>
              </w:rPr>
            </w:pPr>
            <w:r w:rsidRPr="002A063A">
              <w:rPr>
                <w:color w:val="000000"/>
                <w:sz w:val="20"/>
                <w:szCs w:val="20"/>
              </w:rPr>
              <w:t>Daling, J. R.; Wolf, M. E.</w:t>
            </w:r>
          </w:p>
        </w:tc>
        <w:tc>
          <w:tcPr>
            <w:tcW w:w="3870" w:type="dxa"/>
            <w:shd w:val="clear" w:color="auto" w:fill="auto"/>
            <w:hideMark/>
          </w:tcPr>
          <w:p w14:paraId="4ABF8427" w14:textId="77777777" w:rsidR="006E5834" w:rsidRPr="002A063A" w:rsidRDefault="006E5834" w:rsidP="006D3132">
            <w:pPr>
              <w:rPr>
                <w:color w:val="000000"/>
                <w:sz w:val="20"/>
                <w:szCs w:val="20"/>
              </w:rPr>
            </w:pPr>
            <w:r w:rsidRPr="002A063A">
              <w:rPr>
                <w:color w:val="000000"/>
                <w:sz w:val="20"/>
                <w:szCs w:val="20"/>
              </w:rPr>
              <w:t>The role of decision and cost analyses in the treatment of pregnant women with recurrent genital herpes</w:t>
            </w:r>
          </w:p>
        </w:tc>
      </w:tr>
      <w:tr w:rsidR="006E5834" w:rsidRPr="003409C7" w14:paraId="0DFF4B96" w14:textId="77777777" w:rsidTr="006D3132">
        <w:trPr>
          <w:trHeight w:val="600"/>
          <w:jc w:val="center"/>
        </w:trPr>
        <w:tc>
          <w:tcPr>
            <w:tcW w:w="820" w:type="dxa"/>
            <w:shd w:val="clear" w:color="auto" w:fill="auto"/>
            <w:noWrap/>
            <w:hideMark/>
          </w:tcPr>
          <w:p w14:paraId="49F396EE" w14:textId="77777777" w:rsidR="006E5834" w:rsidRPr="002A063A" w:rsidRDefault="006E5834" w:rsidP="006D3132">
            <w:pPr>
              <w:rPr>
                <w:color w:val="000000"/>
                <w:sz w:val="20"/>
                <w:szCs w:val="20"/>
              </w:rPr>
            </w:pPr>
            <w:r w:rsidRPr="002A063A">
              <w:rPr>
                <w:color w:val="000000"/>
                <w:sz w:val="20"/>
                <w:szCs w:val="20"/>
              </w:rPr>
              <w:t>2013</w:t>
            </w:r>
          </w:p>
        </w:tc>
        <w:tc>
          <w:tcPr>
            <w:tcW w:w="3950" w:type="dxa"/>
            <w:shd w:val="clear" w:color="auto" w:fill="auto"/>
            <w:hideMark/>
          </w:tcPr>
          <w:p w14:paraId="20F2084C" w14:textId="77777777" w:rsidR="006E5834" w:rsidRPr="002A063A" w:rsidRDefault="006E5834" w:rsidP="006D3132">
            <w:pPr>
              <w:rPr>
                <w:color w:val="000000"/>
                <w:sz w:val="20"/>
                <w:szCs w:val="20"/>
              </w:rPr>
            </w:pPr>
            <w:r w:rsidRPr="002A063A">
              <w:rPr>
                <w:color w:val="000000"/>
                <w:sz w:val="20"/>
                <w:szCs w:val="20"/>
              </w:rPr>
              <w:t>Owusu-Edusei Jr, Kwame; Chesson, Harrell W.; Gift, Thomas L.; Tao, Guoyu; Mahajan, Reena; Ocfemia, Marie Cheryl Bañez; Kent, Charlotte K.</w:t>
            </w:r>
          </w:p>
        </w:tc>
        <w:tc>
          <w:tcPr>
            <w:tcW w:w="3870" w:type="dxa"/>
            <w:shd w:val="clear" w:color="auto" w:fill="auto"/>
            <w:hideMark/>
          </w:tcPr>
          <w:p w14:paraId="00350B4D" w14:textId="77777777" w:rsidR="006E5834" w:rsidRPr="002A063A" w:rsidRDefault="006E5834" w:rsidP="006D3132">
            <w:pPr>
              <w:rPr>
                <w:color w:val="000000"/>
                <w:sz w:val="20"/>
                <w:szCs w:val="20"/>
              </w:rPr>
            </w:pPr>
            <w:r w:rsidRPr="002A063A">
              <w:rPr>
                <w:color w:val="000000"/>
                <w:sz w:val="20"/>
                <w:szCs w:val="20"/>
              </w:rPr>
              <w:t>The estimated direct medical cost of selected sexually transmitted infections in the United States, 2008</w:t>
            </w:r>
          </w:p>
        </w:tc>
      </w:tr>
      <w:tr w:rsidR="006E5834" w:rsidRPr="003409C7" w14:paraId="230EAEAD" w14:textId="77777777" w:rsidTr="006D3132">
        <w:trPr>
          <w:trHeight w:val="320"/>
          <w:jc w:val="center"/>
        </w:trPr>
        <w:tc>
          <w:tcPr>
            <w:tcW w:w="820" w:type="dxa"/>
            <w:shd w:val="clear" w:color="auto" w:fill="auto"/>
            <w:noWrap/>
            <w:hideMark/>
          </w:tcPr>
          <w:p w14:paraId="16037F54" w14:textId="77777777" w:rsidR="006E5834" w:rsidRPr="002A063A" w:rsidRDefault="006E5834" w:rsidP="006D3132">
            <w:pPr>
              <w:rPr>
                <w:color w:val="000000"/>
                <w:sz w:val="20"/>
                <w:szCs w:val="20"/>
              </w:rPr>
            </w:pPr>
            <w:r w:rsidRPr="002A063A">
              <w:rPr>
                <w:color w:val="000000"/>
                <w:sz w:val="20"/>
                <w:szCs w:val="20"/>
              </w:rPr>
              <w:t>2002</w:t>
            </w:r>
          </w:p>
        </w:tc>
        <w:tc>
          <w:tcPr>
            <w:tcW w:w="3950" w:type="dxa"/>
            <w:shd w:val="clear" w:color="auto" w:fill="auto"/>
            <w:hideMark/>
          </w:tcPr>
          <w:p w14:paraId="1F388673" w14:textId="77777777" w:rsidR="006E5834" w:rsidRPr="002A063A" w:rsidRDefault="006E5834" w:rsidP="006D3132">
            <w:pPr>
              <w:rPr>
                <w:color w:val="000000"/>
                <w:sz w:val="20"/>
                <w:szCs w:val="20"/>
              </w:rPr>
            </w:pPr>
            <w:r w:rsidRPr="002A063A">
              <w:rPr>
                <w:color w:val="000000"/>
                <w:sz w:val="20"/>
                <w:szCs w:val="20"/>
              </w:rPr>
              <w:t>Ashley, Rhoda L.</w:t>
            </w:r>
          </w:p>
        </w:tc>
        <w:tc>
          <w:tcPr>
            <w:tcW w:w="3870" w:type="dxa"/>
            <w:shd w:val="clear" w:color="auto" w:fill="auto"/>
            <w:hideMark/>
          </w:tcPr>
          <w:p w14:paraId="568ABA01" w14:textId="77777777" w:rsidR="006E5834" w:rsidRPr="002A063A" w:rsidRDefault="006E5834" w:rsidP="006D3132">
            <w:pPr>
              <w:rPr>
                <w:color w:val="000000"/>
                <w:sz w:val="20"/>
                <w:szCs w:val="20"/>
              </w:rPr>
            </w:pPr>
            <w:r w:rsidRPr="002A063A">
              <w:rPr>
                <w:color w:val="000000"/>
                <w:sz w:val="20"/>
                <w:szCs w:val="20"/>
              </w:rPr>
              <w:t>Performance and use of HSV type-specific serology test kits.</w:t>
            </w:r>
          </w:p>
        </w:tc>
      </w:tr>
      <w:tr w:rsidR="006E5834" w:rsidRPr="003409C7" w14:paraId="334C475F" w14:textId="77777777" w:rsidTr="006D3132">
        <w:trPr>
          <w:trHeight w:val="600"/>
          <w:jc w:val="center"/>
        </w:trPr>
        <w:tc>
          <w:tcPr>
            <w:tcW w:w="820" w:type="dxa"/>
            <w:shd w:val="clear" w:color="auto" w:fill="auto"/>
            <w:noWrap/>
            <w:hideMark/>
          </w:tcPr>
          <w:p w14:paraId="054FF56C" w14:textId="77777777" w:rsidR="006E5834" w:rsidRPr="002A063A" w:rsidRDefault="006E5834" w:rsidP="006D3132">
            <w:pPr>
              <w:rPr>
                <w:color w:val="000000"/>
                <w:sz w:val="20"/>
                <w:szCs w:val="20"/>
              </w:rPr>
            </w:pPr>
            <w:r w:rsidRPr="002A063A">
              <w:rPr>
                <w:color w:val="000000"/>
                <w:sz w:val="20"/>
                <w:szCs w:val="20"/>
              </w:rPr>
              <w:t>2015</w:t>
            </w:r>
          </w:p>
        </w:tc>
        <w:tc>
          <w:tcPr>
            <w:tcW w:w="3950" w:type="dxa"/>
            <w:shd w:val="clear" w:color="auto" w:fill="auto"/>
            <w:hideMark/>
          </w:tcPr>
          <w:p w14:paraId="6786EA27" w14:textId="77777777" w:rsidR="006E5834" w:rsidRPr="002A063A" w:rsidRDefault="006E5834" w:rsidP="006D3132">
            <w:pPr>
              <w:rPr>
                <w:color w:val="000000"/>
                <w:sz w:val="20"/>
                <w:szCs w:val="20"/>
              </w:rPr>
            </w:pPr>
            <w:r w:rsidRPr="002A063A">
              <w:rPr>
                <w:color w:val="000000"/>
                <w:sz w:val="20"/>
                <w:szCs w:val="20"/>
              </w:rPr>
              <w:t>Jewell, Britta L.; Cremin, Ide; Pickles, Michael; Celum, Connie; Baeten, Jared M.; Delany-Moretlwe, Sinead; Hallett, Timothy B</w:t>
            </w:r>
          </w:p>
        </w:tc>
        <w:tc>
          <w:tcPr>
            <w:tcW w:w="3870" w:type="dxa"/>
            <w:shd w:val="clear" w:color="auto" w:fill="auto"/>
            <w:hideMark/>
          </w:tcPr>
          <w:p w14:paraId="3DD1C3AB" w14:textId="77777777" w:rsidR="006E5834" w:rsidRPr="002A063A" w:rsidRDefault="006E5834" w:rsidP="006D3132">
            <w:pPr>
              <w:rPr>
                <w:color w:val="000000"/>
                <w:sz w:val="20"/>
                <w:szCs w:val="20"/>
              </w:rPr>
            </w:pPr>
            <w:r w:rsidRPr="002A063A">
              <w:rPr>
                <w:color w:val="000000"/>
                <w:sz w:val="20"/>
                <w:szCs w:val="20"/>
              </w:rPr>
              <w:t>Estimating the cost-effectiveness of pre-exposure prophylaxis to reduce HIV-1 and HSV-2 incidence in HIV-serodiscordant couples in South Africa</w:t>
            </w:r>
          </w:p>
        </w:tc>
      </w:tr>
      <w:tr w:rsidR="006E5834" w:rsidRPr="003409C7" w14:paraId="0F89B24E" w14:textId="77777777" w:rsidTr="006D3132">
        <w:trPr>
          <w:trHeight w:val="600"/>
          <w:jc w:val="center"/>
        </w:trPr>
        <w:tc>
          <w:tcPr>
            <w:tcW w:w="820" w:type="dxa"/>
            <w:shd w:val="clear" w:color="auto" w:fill="auto"/>
            <w:noWrap/>
            <w:hideMark/>
          </w:tcPr>
          <w:p w14:paraId="105ACF99" w14:textId="77777777" w:rsidR="006E5834" w:rsidRPr="002A063A" w:rsidRDefault="006E5834" w:rsidP="006D3132">
            <w:pPr>
              <w:rPr>
                <w:color w:val="000000"/>
                <w:sz w:val="20"/>
                <w:szCs w:val="20"/>
              </w:rPr>
            </w:pPr>
            <w:r w:rsidRPr="002A063A">
              <w:rPr>
                <w:color w:val="000000"/>
                <w:sz w:val="20"/>
                <w:szCs w:val="20"/>
              </w:rPr>
              <w:t>2009</w:t>
            </w:r>
          </w:p>
        </w:tc>
        <w:tc>
          <w:tcPr>
            <w:tcW w:w="3950" w:type="dxa"/>
            <w:shd w:val="clear" w:color="auto" w:fill="auto"/>
            <w:hideMark/>
          </w:tcPr>
          <w:p w14:paraId="06DACA05" w14:textId="77777777" w:rsidR="006E5834" w:rsidRPr="002A063A" w:rsidRDefault="006E5834" w:rsidP="006D3132">
            <w:pPr>
              <w:rPr>
                <w:color w:val="000000"/>
                <w:sz w:val="20"/>
                <w:szCs w:val="20"/>
              </w:rPr>
            </w:pPr>
            <w:r w:rsidRPr="002A063A">
              <w:rPr>
                <w:color w:val="000000"/>
                <w:sz w:val="20"/>
                <w:szCs w:val="20"/>
              </w:rPr>
              <w:t>Fife, Kenneth H.; Van Der Pol, Barbara; Roth, Alexis M.; Brand, Juanita; Arno, Janet N.; Madlem, Jyl; Juliar, Beth E.; Katz, Barry P.; Williams, James A.; Zimet, Gregory D.</w:t>
            </w:r>
          </w:p>
        </w:tc>
        <w:tc>
          <w:tcPr>
            <w:tcW w:w="3870" w:type="dxa"/>
            <w:shd w:val="clear" w:color="auto" w:fill="auto"/>
            <w:hideMark/>
          </w:tcPr>
          <w:p w14:paraId="1284E674" w14:textId="77777777" w:rsidR="006E5834" w:rsidRPr="002A063A" w:rsidRDefault="006E5834" w:rsidP="006D3132">
            <w:pPr>
              <w:rPr>
                <w:color w:val="000000"/>
                <w:sz w:val="20"/>
                <w:szCs w:val="20"/>
              </w:rPr>
            </w:pPr>
            <w:r w:rsidRPr="002A063A">
              <w:rPr>
                <w:color w:val="000000"/>
                <w:sz w:val="20"/>
                <w:szCs w:val="20"/>
              </w:rPr>
              <w:t>Implementation of routine access to herpes simplex virus type 2 antibody testing in a public health sexually transmitted disease clinic</w:t>
            </w:r>
          </w:p>
        </w:tc>
      </w:tr>
      <w:tr w:rsidR="006E5834" w:rsidRPr="003409C7" w14:paraId="566C5903" w14:textId="77777777" w:rsidTr="006D3132">
        <w:trPr>
          <w:trHeight w:val="320"/>
          <w:jc w:val="center"/>
        </w:trPr>
        <w:tc>
          <w:tcPr>
            <w:tcW w:w="820" w:type="dxa"/>
            <w:tcBorders>
              <w:bottom w:val="nil"/>
            </w:tcBorders>
            <w:shd w:val="clear" w:color="auto" w:fill="auto"/>
            <w:noWrap/>
            <w:hideMark/>
          </w:tcPr>
          <w:p w14:paraId="308A1CB9" w14:textId="77777777" w:rsidR="006E5834" w:rsidRPr="002A063A" w:rsidRDefault="006E5834" w:rsidP="006D3132">
            <w:pPr>
              <w:rPr>
                <w:color w:val="000000"/>
                <w:sz w:val="20"/>
                <w:szCs w:val="20"/>
              </w:rPr>
            </w:pPr>
            <w:r w:rsidRPr="002A063A">
              <w:rPr>
                <w:color w:val="000000"/>
                <w:sz w:val="20"/>
                <w:szCs w:val="20"/>
              </w:rPr>
              <w:t>2011</w:t>
            </w:r>
          </w:p>
        </w:tc>
        <w:tc>
          <w:tcPr>
            <w:tcW w:w="3950" w:type="dxa"/>
            <w:tcBorders>
              <w:bottom w:val="nil"/>
            </w:tcBorders>
            <w:shd w:val="clear" w:color="auto" w:fill="auto"/>
            <w:hideMark/>
          </w:tcPr>
          <w:p w14:paraId="3D7CBC80" w14:textId="77777777" w:rsidR="006E5834" w:rsidRPr="002A063A" w:rsidRDefault="006E5834" w:rsidP="006D3132">
            <w:pPr>
              <w:rPr>
                <w:color w:val="000000"/>
                <w:sz w:val="20"/>
                <w:szCs w:val="20"/>
              </w:rPr>
            </w:pPr>
            <w:r w:rsidRPr="002A063A">
              <w:rPr>
                <w:color w:val="000000"/>
                <w:sz w:val="20"/>
                <w:szCs w:val="20"/>
              </w:rPr>
              <w:t>Tuite, Ashleigh R.; McCabe, Caitlin J.; Ku, Jennifer; Fisman, David N.</w:t>
            </w:r>
          </w:p>
        </w:tc>
        <w:tc>
          <w:tcPr>
            <w:tcW w:w="3870" w:type="dxa"/>
            <w:tcBorders>
              <w:bottom w:val="nil"/>
            </w:tcBorders>
            <w:shd w:val="clear" w:color="auto" w:fill="auto"/>
            <w:hideMark/>
          </w:tcPr>
          <w:p w14:paraId="7558456D" w14:textId="77777777" w:rsidR="006E5834" w:rsidRPr="002A063A" w:rsidRDefault="006E5834" w:rsidP="006D3132">
            <w:pPr>
              <w:rPr>
                <w:color w:val="000000"/>
                <w:sz w:val="20"/>
                <w:szCs w:val="20"/>
              </w:rPr>
            </w:pPr>
            <w:r w:rsidRPr="002A063A">
              <w:rPr>
                <w:color w:val="000000"/>
                <w:sz w:val="20"/>
                <w:szCs w:val="20"/>
              </w:rPr>
              <w:t>Projected cost-savings with herpes simplex virus screening in pregnancy: towards a new screening paradigm</w:t>
            </w:r>
          </w:p>
        </w:tc>
      </w:tr>
      <w:tr w:rsidR="006E5834" w:rsidRPr="003409C7" w14:paraId="1CFF2A30" w14:textId="77777777" w:rsidTr="006D3132">
        <w:trPr>
          <w:trHeight w:val="320"/>
          <w:jc w:val="center"/>
        </w:trPr>
        <w:tc>
          <w:tcPr>
            <w:tcW w:w="8640" w:type="dxa"/>
            <w:gridSpan w:val="3"/>
            <w:tcBorders>
              <w:top w:val="nil"/>
            </w:tcBorders>
            <w:shd w:val="clear" w:color="auto" w:fill="auto"/>
            <w:noWrap/>
          </w:tcPr>
          <w:p w14:paraId="2A3060D2" w14:textId="77777777" w:rsidR="006E5834" w:rsidRPr="003409C7" w:rsidRDefault="006E5834">
            <w:pPr>
              <w:rPr>
                <w:color w:val="000000"/>
                <w:sz w:val="20"/>
                <w:szCs w:val="20"/>
              </w:rPr>
            </w:pPr>
          </w:p>
        </w:tc>
      </w:tr>
      <w:tr w:rsidR="006E5834" w:rsidRPr="003409C7" w14:paraId="27DE5587" w14:textId="77777777" w:rsidTr="006D3132">
        <w:trPr>
          <w:trHeight w:val="320"/>
          <w:jc w:val="center"/>
        </w:trPr>
        <w:tc>
          <w:tcPr>
            <w:tcW w:w="820" w:type="dxa"/>
            <w:shd w:val="clear" w:color="auto" w:fill="auto"/>
            <w:noWrap/>
            <w:hideMark/>
          </w:tcPr>
          <w:p w14:paraId="04023B5F" w14:textId="77777777" w:rsidR="006E5834" w:rsidRPr="002A063A" w:rsidRDefault="006E5834" w:rsidP="006D3132">
            <w:pPr>
              <w:rPr>
                <w:color w:val="000000"/>
                <w:sz w:val="20"/>
                <w:szCs w:val="20"/>
              </w:rPr>
            </w:pPr>
            <w:r w:rsidRPr="002A063A">
              <w:rPr>
                <w:color w:val="000000"/>
                <w:sz w:val="20"/>
                <w:szCs w:val="20"/>
              </w:rPr>
              <w:t>1987</w:t>
            </w:r>
          </w:p>
        </w:tc>
        <w:tc>
          <w:tcPr>
            <w:tcW w:w="3950" w:type="dxa"/>
            <w:shd w:val="clear" w:color="auto" w:fill="auto"/>
            <w:hideMark/>
          </w:tcPr>
          <w:p w14:paraId="64AC6D5F" w14:textId="77777777" w:rsidR="006E5834" w:rsidRPr="002A063A" w:rsidRDefault="006E5834" w:rsidP="006D3132">
            <w:pPr>
              <w:rPr>
                <w:color w:val="000000"/>
                <w:sz w:val="20"/>
                <w:szCs w:val="20"/>
              </w:rPr>
            </w:pPr>
            <w:r w:rsidRPr="002A063A">
              <w:rPr>
                <w:color w:val="000000"/>
                <w:sz w:val="20"/>
                <w:szCs w:val="20"/>
              </w:rPr>
              <w:t>Darougar, S.; Woodland, R. M.; Walpita, P.</w:t>
            </w:r>
          </w:p>
        </w:tc>
        <w:tc>
          <w:tcPr>
            <w:tcW w:w="3870" w:type="dxa"/>
            <w:shd w:val="clear" w:color="auto" w:fill="auto"/>
            <w:hideMark/>
          </w:tcPr>
          <w:p w14:paraId="45ECC8C0" w14:textId="77777777" w:rsidR="006E5834" w:rsidRPr="002A063A" w:rsidRDefault="006E5834" w:rsidP="006D3132">
            <w:pPr>
              <w:rPr>
                <w:color w:val="000000"/>
                <w:sz w:val="20"/>
                <w:szCs w:val="20"/>
              </w:rPr>
            </w:pPr>
            <w:r w:rsidRPr="002A063A">
              <w:rPr>
                <w:color w:val="000000"/>
                <w:sz w:val="20"/>
                <w:szCs w:val="20"/>
              </w:rPr>
              <w:t>Value and cost effectiveness of double culture tests for diagnosis of ocular viral and chlamydial infections.</w:t>
            </w:r>
          </w:p>
        </w:tc>
      </w:tr>
      <w:tr w:rsidR="006E5834" w:rsidRPr="003409C7" w14:paraId="52D6FC9C" w14:textId="77777777" w:rsidTr="006D3132">
        <w:trPr>
          <w:trHeight w:val="600"/>
          <w:jc w:val="center"/>
        </w:trPr>
        <w:tc>
          <w:tcPr>
            <w:tcW w:w="820" w:type="dxa"/>
            <w:shd w:val="clear" w:color="auto" w:fill="auto"/>
            <w:noWrap/>
            <w:hideMark/>
          </w:tcPr>
          <w:p w14:paraId="1783E57A" w14:textId="77777777" w:rsidR="006E5834" w:rsidRPr="002A063A" w:rsidRDefault="006E5834" w:rsidP="006D3132">
            <w:pPr>
              <w:rPr>
                <w:color w:val="000000"/>
                <w:sz w:val="20"/>
                <w:szCs w:val="20"/>
              </w:rPr>
            </w:pPr>
            <w:r w:rsidRPr="002A063A">
              <w:rPr>
                <w:color w:val="000000"/>
                <w:sz w:val="20"/>
                <w:szCs w:val="20"/>
              </w:rPr>
              <w:t>2008</w:t>
            </w:r>
          </w:p>
        </w:tc>
        <w:tc>
          <w:tcPr>
            <w:tcW w:w="3950" w:type="dxa"/>
            <w:shd w:val="clear" w:color="auto" w:fill="auto"/>
            <w:hideMark/>
          </w:tcPr>
          <w:p w14:paraId="3A072D19" w14:textId="77777777" w:rsidR="006E5834" w:rsidRPr="002A063A" w:rsidRDefault="006E5834" w:rsidP="006D3132">
            <w:pPr>
              <w:rPr>
                <w:color w:val="000000"/>
                <w:sz w:val="20"/>
                <w:szCs w:val="20"/>
              </w:rPr>
            </w:pPr>
            <w:r w:rsidRPr="002A063A">
              <w:rPr>
                <w:color w:val="000000"/>
                <w:sz w:val="20"/>
                <w:szCs w:val="20"/>
              </w:rPr>
              <w:t>Vickerman, Peter; Ndowa, Francis; Mayaud, Philippe</w:t>
            </w:r>
          </w:p>
        </w:tc>
        <w:tc>
          <w:tcPr>
            <w:tcW w:w="3870" w:type="dxa"/>
            <w:shd w:val="clear" w:color="auto" w:fill="auto"/>
            <w:hideMark/>
          </w:tcPr>
          <w:p w14:paraId="4059DF44" w14:textId="77777777" w:rsidR="006E5834" w:rsidRPr="002A063A" w:rsidRDefault="006E5834" w:rsidP="006D3132">
            <w:pPr>
              <w:rPr>
                <w:color w:val="000000"/>
                <w:sz w:val="20"/>
                <w:szCs w:val="20"/>
              </w:rPr>
            </w:pPr>
            <w:r w:rsidRPr="002A063A">
              <w:rPr>
                <w:color w:val="000000"/>
                <w:sz w:val="20"/>
                <w:szCs w:val="20"/>
              </w:rPr>
              <w:t>Modelling the cost per ulcer treated of incorporating episodic treatment for HSV-2 into the syndromic algorithm for genital ulcer disease</w:t>
            </w:r>
          </w:p>
        </w:tc>
      </w:tr>
      <w:tr w:rsidR="006E5834" w:rsidRPr="003409C7" w14:paraId="6D3B28C8" w14:textId="77777777" w:rsidTr="006D3132">
        <w:trPr>
          <w:trHeight w:val="320"/>
          <w:jc w:val="center"/>
        </w:trPr>
        <w:tc>
          <w:tcPr>
            <w:tcW w:w="820" w:type="dxa"/>
            <w:shd w:val="clear" w:color="auto" w:fill="auto"/>
            <w:noWrap/>
            <w:hideMark/>
          </w:tcPr>
          <w:p w14:paraId="1CA5BC66" w14:textId="77777777" w:rsidR="006E5834" w:rsidRPr="002A063A" w:rsidRDefault="006E5834" w:rsidP="006D3132">
            <w:pPr>
              <w:rPr>
                <w:color w:val="000000"/>
                <w:sz w:val="20"/>
                <w:szCs w:val="20"/>
              </w:rPr>
            </w:pPr>
            <w:r w:rsidRPr="002A063A">
              <w:rPr>
                <w:color w:val="000000"/>
                <w:sz w:val="20"/>
                <w:szCs w:val="20"/>
              </w:rPr>
              <w:t>2014</w:t>
            </w:r>
          </w:p>
        </w:tc>
        <w:tc>
          <w:tcPr>
            <w:tcW w:w="3950" w:type="dxa"/>
            <w:shd w:val="clear" w:color="auto" w:fill="auto"/>
            <w:hideMark/>
          </w:tcPr>
          <w:p w14:paraId="1D3952B9" w14:textId="77777777" w:rsidR="006E5834" w:rsidRPr="002A063A" w:rsidRDefault="006E5834" w:rsidP="006D3132">
            <w:pPr>
              <w:rPr>
                <w:color w:val="000000"/>
                <w:sz w:val="20"/>
                <w:szCs w:val="20"/>
              </w:rPr>
            </w:pPr>
            <w:r w:rsidRPr="002A063A">
              <w:rPr>
                <w:color w:val="000000"/>
                <w:sz w:val="20"/>
                <w:szCs w:val="20"/>
              </w:rPr>
              <w:t>Garnett, Geoff P.</w:t>
            </w:r>
          </w:p>
        </w:tc>
        <w:tc>
          <w:tcPr>
            <w:tcW w:w="3870" w:type="dxa"/>
            <w:shd w:val="clear" w:color="auto" w:fill="auto"/>
            <w:hideMark/>
          </w:tcPr>
          <w:p w14:paraId="3B27497E" w14:textId="77777777" w:rsidR="006E5834" w:rsidRPr="002A063A" w:rsidRDefault="006E5834" w:rsidP="006D3132">
            <w:pPr>
              <w:rPr>
                <w:color w:val="000000"/>
                <w:sz w:val="20"/>
                <w:szCs w:val="20"/>
              </w:rPr>
            </w:pPr>
            <w:r w:rsidRPr="002A063A">
              <w:rPr>
                <w:color w:val="000000"/>
                <w:sz w:val="20"/>
                <w:szCs w:val="20"/>
              </w:rPr>
              <w:t>The theoretical impact and cost-effectiveness of vaccines that protect against sexually transmitted infections and disease</w:t>
            </w:r>
          </w:p>
        </w:tc>
      </w:tr>
      <w:tr w:rsidR="006E5834" w:rsidRPr="003409C7" w14:paraId="0307B289" w14:textId="77777777" w:rsidTr="006D3132">
        <w:trPr>
          <w:trHeight w:val="600"/>
          <w:jc w:val="center"/>
        </w:trPr>
        <w:tc>
          <w:tcPr>
            <w:tcW w:w="820" w:type="dxa"/>
            <w:shd w:val="clear" w:color="auto" w:fill="auto"/>
            <w:noWrap/>
            <w:hideMark/>
          </w:tcPr>
          <w:p w14:paraId="119881D6" w14:textId="77777777" w:rsidR="006E5834" w:rsidRPr="002A063A" w:rsidRDefault="006E5834" w:rsidP="006D3132">
            <w:pPr>
              <w:rPr>
                <w:color w:val="000000"/>
                <w:sz w:val="20"/>
                <w:szCs w:val="20"/>
              </w:rPr>
            </w:pPr>
            <w:r w:rsidRPr="002A063A">
              <w:rPr>
                <w:color w:val="000000"/>
                <w:sz w:val="20"/>
                <w:szCs w:val="20"/>
              </w:rPr>
              <w:t>2011</w:t>
            </w:r>
          </w:p>
        </w:tc>
        <w:tc>
          <w:tcPr>
            <w:tcW w:w="3950" w:type="dxa"/>
            <w:shd w:val="clear" w:color="auto" w:fill="auto"/>
            <w:hideMark/>
          </w:tcPr>
          <w:p w14:paraId="22B9A7EA" w14:textId="77777777" w:rsidR="006E5834" w:rsidRPr="002A063A" w:rsidRDefault="006E5834" w:rsidP="006D3132">
            <w:pPr>
              <w:rPr>
                <w:color w:val="000000"/>
                <w:sz w:val="20"/>
                <w:szCs w:val="20"/>
              </w:rPr>
            </w:pPr>
            <w:r w:rsidRPr="002A063A">
              <w:rPr>
                <w:color w:val="000000"/>
                <w:sz w:val="20"/>
                <w:szCs w:val="20"/>
              </w:rPr>
              <w:t>Vickerman, Peter; Devine, Angela; Foss, Anna M.; Delany-Moretlwe, Sinead; Mayaud, Philippe; Meyer-Rath, Gesine</w:t>
            </w:r>
          </w:p>
        </w:tc>
        <w:tc>
          <w:tcPr>
            <w:tcW w:w="3870" w:type="dxa"/>
            <w:shd w:val="clear" w:color="auto" w:fill="auto"/>
            <w:hideMark/>
          </w:tcPr>
          <w:p w14:paraId="476B8630" w14:textId="77777777" w:rsidR="006E5834" w:rsidRPr="002A063A" w:rsidRDefault="006E5834" w:rsidP="006D3132">
            <w:pPr>
              <w:rPr>
                <w:color w:val="000000"/>
                <w:sz w:val="20"/>
                <w:szCs w:val="20"/>
              </w:rPr>
            </w:pPr>
            <w:r w:rsidRPr="002A063A">
              <w:rPr>
                <w:color w:val="000000"/>
                <w:sz w:val="20"/>
                <w:szCs w:val="20"/>
              </w:rPr>
              <w:t>The cost-effectiveness of herpes simplex virus-2 suppressive therapy with daily aciclovir for delaying HIV disease progression among HIV-1-infected women in South Africa</w:t>
            </w:r>
          </w:p>
        </w:tc>
      </w:tr>
      <w:tr w:rsidR="006E5834" w:rsidRPr="003409C7" w14:paraId="5874E3C0" w14:textId="77777777" w:rsidTr="006D3132">
        <w:trPr>
          <w:trHeight w:val="320"/>
          <w:jc w:val="center"/>
        </w:trPr>
        <w:tc>
          <w:tcPr>
            <w:tcW w:w="820" w:type="dxa"/>
            <w:shd w:val="clear" w:color="auto" w:fill="auto"/>
            <w:noWrap/>
            <w:hideMark/>
          </w:tcPr>
          <w:p w14:paraId="5958F61A" w14:textId="77777777" w:rsidR="006E5834" w:rsidRPr="002A063A" w:rsidRDefault="006E5834" w:rsidP="006D3132">
            <w:pPr>
              <w:rPr>
                <w:color w:val="000000"/>
                <w:sz w:val="20"/>
                <w:szCs w:val="20"/>
              </w:rPr>
            </w:pPr>
            <w:r w:rsidRPr="002A063A">
              <w:rPr>
                <w:color w:val="000000"/>
                <w:sz w:val="20"/>
                <w:szCs w:val="20"/>
              </w:rPr>
              <w:t>2016</w:t>
            </w:r>
          </w:p>
        </w:tc>
        <w:tc>
          <w:tcPr>
            <w:tcW w:w="3950" w:type="dxa"/>
            <w:shd w:val="clear" w:color="auto" w:fill="auto"/>
            <w:hideMark/>
          </w:tcPr>
          <w:p w14:paraId="44E63676" w14:textId="77777777" w:rsidR="006E5834" w:rsidRPr="002A063A" w:rsidRDefault="006E5834" w:rsidP="006D3132">
            <w:pPr>
              <w:rPr>
                <w:color w:val="000000"/>
                <w:sz w:val="20"/>
                <w:szCs w:val="20"/>
              </w:rPr>
            </w:pPr>
            <w:r w:rsidRPr="002A063A">
              <w:rPr>
                <w:color w:val="000000"/>
                <w:sz w:val="20"/>
                <w:szCs w:val="20"/>
              </w:rPr>
              <w:t>Cambiano, Valentina; Miners, Alec; Phillips, Andrew</w:t>
            </w:r>
          </w:p>
        </w:tc>
        <w:tc>
          <w:tcPr>
            <w:tcW w:w="3870" w:type="dxa"/>
            <w:shd w:val="clear" w:color="auto" w:fill="auto"/>
            <w:hideMark/>
          </w:tcPr>
          <w:p w14:paraId="4EC436BE" w14:textId="77777777" w:rsidR="006E5834" w:rsidRPr="002A063A" w:rsidRDefault="006E5834" w:rsidP="006D3132">
            <w:pPr>
              <w:rPr>
                <w:color w:val="000000"/>
                <w:sz w:val="20"/>
                <w:szCs w:val="20"/>
              </w:rPr>
            </w:pPr>
            <w:r w:rsidRPr="002A063A">
              <w:rPr>
                <w:color w:val="000000"/>
                <w:sz w:val="20"/>
                <w:szCs w:val="20"/>
              </w:rPr>
              <w:t>What do we know about the cost–effectiveness of HIV preexposure prophylaxis, and is it affordable?</w:t>
            </w:r>
          </w:p>
        </w:tc>
      </w:tr>
      <w:tr w:rsidR="006E5834" w:rsidRPr="003409C7" w14:paraId="1EE2A48D" w14:textId="77777777" w:rsidTr="006D3132">
        <w:trPr>
          <w:trHeight w:val="600"/>
          <w:jc w:val="center"/>
        </w:trPr>
        <w:tc>
          <w:tcPr>
            <w:tcW w:w="820" w:type="dxa"/>
            <w:shd w:val="clear" w:color="auto" w:fill="auto"/>
            <w:noWrap/>
            <w:hideMark/>
          </w:tcPr>
          <w:p w14:paraId="17521698" w14:textId="77777777" w:rsidR="006E5834" w:rsidRPr="002A063A" w:rsidRDefault="006E5834" w:rsidP="006D3132">
            <w:pPr>
              <w:rPr>
                <w:color w:val="000000"/>
                <w:sz w:val="20"/>
                <w:szCs w:val="20"/>
              </w:rPr>
            </w:pPr>
            <w:r w:rsidRPr="002A063A">
              <w:rPr>
                <w:color w:val="000000"/>
                <w:sz w:val="20"/>
                <w:szCs w:val="20"/>
              </w:rPr>
              <w:t>2012</w:t>
            </w:r>
          </w:p>
        </w:tc>
        <w:tc>
          <w:tcPr>
            <w:tcW w:w="3950" w:type="dxa"/>
            <w:shd w:val="clear" w:color="auto" w:fill="auto"/>
            <w:hideMark/>
          </w:tcPr>
          <w:p w14:paraId="43397087" w14:textId="77777777" w:rsidR="006E5834" w:rsidRPr="002A063A" w:rsidRDefault="006E5834" w:rsidP="006D3132">
            <w:pPr>
              <w:rPr>
                <w:color w:val="000000"/>
                <w:sz w:val="20"/>
                <w:szCs w:val="20"/>
              </w:rPr>
            </w:pPr>
            <w:r w:rsidRPr="002A063A">
              <w:rPr>
                <w:color w:val="000000"/>
                <w:sz w:val="20"/>
                <w:szCs w:val="20"/>
              </w:rPr>
              <w:t>Foss, A. M.; Terris-Prestholt, F.; Cox, A. P.; Heise, L.; Meyer-Rath, G.; Delany-Moretlwe, S.; Mertenskoetter, T.; Rees, H.; Vickerman, P.; Watts, C. H.</w:t>
            </w:r>
          </w:p>
        </w:tc>
        <w:tc>
          <w:tcPr>
            <w:tcW w:w="3870" w:type="dxa"/>
            <w:shd w:val="clear" w:color="auto" w:fill="auto"/>
            <w:hideMark/>
          </w:tcPr>
          <w:p w14:paraId="0D9EC470" w14:textId="77777777" w:rsidR="006E5834" w:rsidRPr="002A063A" w:rsidRDefault="006E5834" w:rsidP="006D3132">
            <w:pPr>
              <w:rPr>
                <w:color w:val="000000"/>
                <w:sz w:val="20"/>
                <w:szCs w:val="20"/>
              </w:rPr>
            </w:pPr>
            <w:r w:rsidRPr="002A063A">
              <w:rPr>
                <w:color w:val="000000"/>
                <w:sz w:val="20"/>
                <w:szCs w:val="20"/>
              </w:rPr>
              <w:t>Model projections of the population-level impact, on HIV and herpes simplex virus type-2 (HSV-2), and cost-effectiveness of tenofovir gel, an antiretroviral microbicide</w:t>
            </w:r>
          </w:p>
        </w:tc>
      </w:tr>
      <w:tr w:rsidR="006E5834" w:rsidRPr="003409C7" w14:paraId="132A609D" w14:textId="77777777" w:rsidTr="006D3132">
        <w:trPr>
          <w:trHeight w:val="320"/>
          <w:jc w:val="center"/>
        </w:trPr>
        <w:tc>
          <w:tcPr>
            <w:tcW w:w="820" w:type="dxa"/>
            <w:shd w:val="clear" w:color="auto" w:fill="auto"/>
            <w:noWrap/>
            <w:hideMark/>
          </w:tcPr>
          <w:p w14:paraId="77CF80F9" w14:textId="77777777" w:rsidR="006E5834" w:rsidRPr="002A063A" w:rsidRDefault="006E5834" w:rsidP="006D3132">
            <w:pPr>
              <w:rPr>
                <w:color w:val="000000"/>
                <w:sz w:val="20"/>
                <w:szCs w:val="20"/>
              </w:rPr>
            </w:pPr>
            <w:r w:rsidRPr="002A063A">
              <w:rPr>
                <w:color w:val="000000"/>
                <w:sz w:val="20"/>
                <w:szCs w:val="20"/>
              </w:rPr>
              <w:t>2002</w:t>
            </w:r>
          </w:p>
        </w:tc>
        <w:tc>
          <w:tcPr>
            <w:tcW w:w="3950" w:type="dxa"/>
            <w:shd w:val="clear" w:color="auto" w:fill="auto"/>
            <w:hideMark/>
          </w:tcPr>
          <w:p w14:paraId="6E93C2CC" w14:textId="77777777" w:rsidR="006E5834" w:rsidRPr="002A063A" w:rsidRDefault="006E5834" w:rsidP="006D3132">
            <w:pPr>
              <w:rPr>
                <w:color w:val="000000"/>
                <w:sz w:val="20"/>
                <w:szCs w:val="20"/>
              </w:rPr>
            </w:pPr>
            <w:r w:rsidRPr="002A063A">
              <w:rPr>
                <w:color w:val="000000"/>
                <w:sz w:val="20"/>
                <w:szCs w:val="20"/>
              </w:rPr>
              <w:t>Barnabas, R. V.; Carabin, H.; Garnett, G. P.</w:t>
            </w:r>
          </w:p>
        </w:tc>
        <w:tc>
          <w:tcPr>
            <w:tcW w:w="3870" w:type="dxa"/>
            <w:shd w:val="clear" w:color="auto" w:fill="auto"/>
            <w:hideMark/>
          </w:tcPr>
          <w:p w14:paraId="35A4ED24" w14:textId="77777777" w:rsidR="006E5834" w:rsidRPr="002A063A" w:rsidRDefault="006E5834" w:rsidP="006D3132">
            <w:pPr>
              <w:rPr>
                <w:color w:val="000000"/>
                <w:sz w:val="20"/>
                <w:szCs w:val="20"/>
              </w:rPr>
            </w:pPr>
            <w:r w:rsidRPr="002A063A">
              <w:rPr>
                <w:color w:val="000000"/>
                <w:sz w:val="20"/>
                <w:szCs w:val="20"/>
              </w:rPr>
              <w:t>The potential role of suppressive therapy for sex partners in the prevention of neonatal herpes: a health economic analysis</w:t>
            </w:r>
          </w:p>
        </w:tc>
      </w:tr>
      <w:tr w:rsidR="006E5834" w:rsidRPr="003409C7" w14:paraId="4B07395B" w14:textId="77777777" w:rsidTr="006D3132">
        <w:trPr>
          <w:trHeight w:val="320"/>
          <w:jc w:val="center"/>
        </w:trPr>
        <w:tc>
          <w:tcPr>
            <w:tcW w:w="820" w:type="dxa"/>
            <w:shd w:val="clear" w:color="auto" w:fill="auto"/>
            <w:noWrap/>
            <w:hideMark/>
          </w:tcPr>
          <w:p w14:paraId="5BC9150A" w14:textId="77777777" w:rsidR="006E5834" w:rsidRPr="002A063A" w:rsidRDefault="006E5834" w:rsidP="006D3132">
            <w:pPr>
              <w:rPr>
                <w:color w:val="000000"/>
                <w:sz w:val="20"/>
                <w:szCs w:val="20"/>
              </w:rPr>
            </w:pPr>
            <w:r w:rsidRPr="002A063A">
              <w:rPr>
                <w:color w:val="000000"/>
                <w:sz w:val="20"/>
                <w:szCs w:val="20"/>
              </w:rPr>
              <w:t>2000</w:t>
            </w:r>
          </w:p>
        </w:tc>
        <w:tc>
          <w:tcPr>
            <w:tcW w:w="3950" w:type="dxa"/>
            <w:shd w:val="clear" w:color="auto" w:fill="auto"/>
            <w:hideMark/>
          </w:tcPr>
          <w:p w14:paraId="4C390EB4" w14:textId="77777777" w:rsidR="006E5834" w:rsidRPr="002A063A" w:rsidRDefault="006E5834" w:rsidP="006D3132">
            <w:pPr>
              <w:rPr>
                <w:color w:val="000000"/>
                <w:sz w:val="20"/>
                <w:szCs w:val="20"/>
              </w:rPr>
            </w:pPr>
            <w:r w:rsidRPr="002A063A">
              <w:rPr>
                <w:color w:val="000000"/>
                <w:sz w:val="20"/>
                <w:szCs w:val="20"/>
              </w:rPr>
              <w:t>Lafferty, W. E.; Downey, L.; Celum, C.; Wald, A.</w:t>
            </w:r>
          </w:p>
        </w:tc>
        <w:tc>
          <w:tcPr>
            <w:tcW w:w="3870" w:type="dxa"/>
            <w:shd w:val="clear" w:color="auto" w:fill="auto"/>
            <w:hideMark/>
          </w:tcPr>
          <w:p w14:paraId="43F5E2B6" w14:textId="77777777" w:rsidR="006E5834" w:rsidRPr="002A063A" w:rsidRDefault="006E5834" w:rsidP="006D3132">
            <w:pPr>
              <w:rPr>
                <w:color w:val="000000"/>
                <w:sz w:val="20"/>
                <w:szCs w:val="20"/>
              </w:rPr>
            </w:pPr>
            <w:r w:rsidRPr="002A063A">
              <w:rPr>
                <w:color w:val="000000"/>
                <w:sz w:val="20"/>
                <w:szCs w:val="20"/>
              </w:rPr>
              <w:t>Herpes simplex virus type 1 as a cause of genital herpes: impact on surveillance and prevention</w:t>
            </w:r>
          </w:p>
        </w:tc>
      </w:tr>
      <w:tr w:rsidR="006E5834" w:rsidRPr="003409C7" w14:paraId="45A857A3" w14:textId="77777777" w:rsidTr="006D3132">
        <w:trPr>
          <w:trHeight w:val="320"/>
          <w:jc w:val="center"/>
        </w:trPr>
        <w:tc>
          <w:tcPr>
            <w:tcW w:w="820" w:type="dxa"/>
            <w:shd w:val="clear" w:color="auto" w:fill="auto"/>
            <w:noWrap/>
            <w:hideMark/>
          </w:tcPr>
          <w:p w14:paraId="6F303EB5" w14:textId="77777777" w:rsidR="006E5834" w:rsidRPr="002A063A" w:rsidRDefault="006E5834" w:rsidP="006D3132">
            <w:pPr>
              <w:rPr>
                <w:color w:val="000000"/>
                <w:sz w:val="20"/>
                <w:szCs w:val="20"/>
              </w:rPr>
            </w:pPr>
            <w:r w:rsidRPr="002A063A">
              <w:rPr>
                <w:color w:val="000000"/>
                <w:sz w:val="20"/>
                <w:szCs w:val="20"/>
              </w:rPr>
              <w:t>2005</w:t>
            </w:r>
          </w:p>
        </w:tc>
        <w:tc>
          <w:tcPr>
            <w:tcW w:w="3950" w:type="dxa"/>
            <w:shd w:val="clear" w:color="auto" w:fill="auto"/>
            <w:hideMark/>
          </w:tcPr>
          <w:p w14:paraId="28E2A01D" w14:textId="77777777" w:rsidR="006E5834" w:rsidRPr="002A063A" w:rsidRDefault="006E5834" w:rsidP="006D3132">
            <w:pPr>
              <w:rPr>
                <w:color w:val="000000"/>
                <w:sz w:val="20"/>
                <w:szCs w:val="20"/>
              </w:rPr>
            </w:pPr>
            <w:r w:rsidRPr="002A063A">
              <w:rPr>
                <w:color w:val="000000"/>
                <w:sz w:val="20"/>
                <w:szCs w:val="20"/>
              </w:rPr>
              <w:t>Baker, David A.</w:t>
            </w:r>
          </w:p>
        </w:tc>
        <w:tc>
          <w:tcPr>
            <w:tcW w:w="3870" w:type="dxa"/>
            <w:shd w:val="clear" w:color="auto" w:fill="auto"/>
            <w:hideMark/>
          </w:tcPr>
          <w:p w14:paraId="192543D7" w14:textId="77777777" w:rsidR="006E5834" w:rsidRPr="002A063A" w:rsidRDefault="006E5834" w:rsidP="006D3132">
            <w:pPr>
              <w:rPr>
                <w:color w:val="000000"/>
                <w:sz w:val="20"/>
                <w:szCs w:val="20"/>
              </w:rPr>
            </w:pPr>
            <w:r w:rsidRPr="002A063A">
              <w:rPr>
                <w:color w:val="000000"/>
                <w:sz w:val="20"/>
                <w:szCs w:val="20"/>
              </w:rPr>
              <w:t>Antiviral therapy for genital herpes infections in pregnancy</w:t>
            </w:r>
          </w:p>
        </w:tc>
      </w:tr>
      <w:tr w:rsidR="006E5834" w:rsidRPr="003409C7" w14:paraId="0D290409" w14:textId="77777777" w:rsidTr="006D3132">
        <w:trPr>
          <w:trHeight w:val="320"/>
          <w:jc w:val="center"/>
        </w:trPr>
        <w:tc>
          <w:tcPr>
            <w:tcW w:w="820" w:type="dxa"/>
            <w:shd w:val="clear" w:color="auto" w:fill="auto"/>
            <w:noWrap/>
            <w:hideMark/>
          </w:tcPr>
          <w:p w14:paraId="6636DB75" w14:textId="77777777" w:rsidR="006E5834" w:rsidRPr="002A063A" w:rsidRDefault="006E5834" w:rsidP="006D3132">
            <w:pPr>
              <w:rPr>
                <w:color w:val="000000"/>
                <w:sz w:val="20"/>
                <w:szCs w:val="20"/>
              </w:rPr>
            </w:pPr>
            <w:r w:rsidRPr="002A063A">
              <w:rPr>
                <w:color w:val="000000"/>
                <w:sz w:val="20"/>
                <w:szCs w:val="20"/>
              </w:rPr>
              <w:lastRenderedPageBreak/>
              <w:t>2001</w:t>
            </w:r>
          </w:p>
        </w:tc>
        <w:tc>
          <w:tcPr>
            <w:tcW w:w="3950" w:type="dxa"/>
            <w:shd w:val="clear" w:color="auto" w:fill="auto"/>
            <w:hideMark/>
          </w:tcPr>
          <w:p w14:paraId="618E1023" w14:textId="77777777" w:rsidR="006E5834" w:rsidRPr="002A063A" w:rsidRDefault="006E5834" w:rsidP="006D3132">
            <w:pPr>
              <w:rPr>
                <w:color w:val="000000"/>
                <w:sz w:val="20"/>
                <w:szCs w:val="20"/>
              </w:rPr>
            </w:pPr>
            <w:r w:rsidRPr="002A063A">
              <w:rPr>
                <w:color w:val="000000"/>
                <w:sz w:val="20"/>
                <w:szCs w:val="20"/>
              </w:rPr>
              <w:t>Qutub, M.; Klapper, P.; Vallely, P.; Cleator, G.</w:t>
            </w:r>
          </w:p>
        </w:tc>
        <w:tc>
          <w:tcPr>
            <w:tcW w:w="3870" w:type="dxa"/>
            <w:shd w:val="clear" w:color="auto" w:fill="auto"/>
            <w:hideMark/>
          </w:tcPr>
          <w:p w14:paraId="220DF97D" w14:textId="77777777" w:rsidR="006E5834" w:rsidRPr="002A063A" w:rsidRDefault="006E5834" w:rsidP="006D3132">
            <w:pPr>
              <w:rPr>
                <w:color w:val="000000"/>
                <w:sz w:val="20"/>
                <w:szCs w:val="20"/>
              </w:rPr>
            </w:pPr>
            <w:r w:rsidRPr="002A063A">
              <w:rPr>
                <w:color w:val="000000"/>
                <w:sz w:val="20"/>
                <w:szCs w:val="20"/>
              </w:rPr>
              <w:t>Genital herpes in pregnancy: is screening cost-effective?</w:t>
            </w:r>
          </w:p>
        </w:tc>
      </w:tr>
      <w:tr w:rsidR="006E5834" w:rsidRPr="003409C7" w14:paraId="23D55911" w14:textId="77777777" w:rsidTr="006D3132">
        <w:trPr>
          <w:trHeight w:val="320"/>
          <w:jc w:val="center"/>
        </w:trPr>
        <w:tc>
          <w:tcPr>
            <w:tcW w:w="820" w:type="dxa"/>
            <w:shd w:val="clear" w:color="auto" w:fill="auto"/>
            <w:noWrap/>
            <w:hideMark/>
          </w:tcPr>
          <w:p w14:paraId="798C75A7" w14:textId="77777777" w:rsidR="006E5834" w:rsidRPr="002A063A" w:rsidRDefault="006E5834" w:rsidP="006D3132">
            <w:pPr>
              <w:rPr>
                <w:color w:val="000000"/>
                <w:sz w:val="20"/>
                <w:szCs w:val="20"/>
              </w:rPr>
            </w:pPr>
            <w:r w:rsidRPr="002A063A">
              <w:rPr>
                <w:color w:val="000000"/>
                <w:sz w:val="20"/>
                <w:szCs w:val="20"/>
              </w:rPr>
              <w:t>1989</w:t>
            </w:r>
          </w:p>
        </w:tc>
        <w:tc>
          <w:tcPr>
            <w:tcW w:w="3950" w:type="dxa"/>
            <w:shd w:val="clear" w:color="auto" w:fill="auto"/>
            <w:hideMark/>
          </w:tcPr>
          <w:p w14:paraId="1C8A8434" w14:textId="77777777" w:rsidR="006E5834" w:rsidRPr="002A063A" w:rsidRDefault="006E5834" w:rsidP="006D3132">
            <w:pPr>
              <w:rPr>
                <w:color w:val="000000"/>
                <w:sz w:val="20"/>
                <w:szCs w:val="20"/>
              </w:rPr>
            </w:pPr>
            <w:r w:rsidRPr="002A063A">
              <w:rPr>
                <w:color w:val="000000"/>
                <w:sz w:val="20"/>
                <w:szCs w:val="20"/>
              </w:rPr>
              <w:t>Binkin, N. J.; Koplan, J. P.</w:t>
            </w:r>
          </w:p>
        </w:tc>
        <w:tc>
          <w:tcPr>
            <w:tcW w:w="3870" w:type="dxa"/>
            <w:shd w:val="clear" w:color="auto" w:fill="auto"/>
            <w:hideMark/>
          </w:tcPr>
          <w:p w14:paraId="08FE6E2D" w14:textId="77777777" w:rsidR="006E5834" w:rsidRPr="002A063A" w:rsidRDefault="006E5834" w:rsidP="006D3132">
            <w:pPr>
              <w:rPr>
                <w:color w:val="000000"/>
                <w:sz w:val="20"/>
                <w:szCs w:val="20"/>
              </w:rPr>
            </w:pPr>
            <w:r w:rsidRPr="002A063A">
              <w:rPr>
                <w:color w:val="000000"/>
                <w:sz w:val="20"/>
                <w:szCs w:val="20"/>
              </w:rPr>
              <w:t>The high cost and low efficacy of weekly viral cultures for pregnant women with recurrent genital herpes: a reappraisal</w:t>
            </w:r>
          </w:p>
        </w:tc>
      </w:tr>
      <w:tr w:rsidR="006E5834" w:rsidRPr="003409C7" w14:paraId="506E3B44" w14:textId="77777777" w:rsidTr="006D3132">
        <w:trPr>
          <w:trHeight w:val="320"/>
          <w:jc w:val="center"/>
        </w:trPr>
        <w:tc>
          <w:tcPr>
            <w:tcW w:w="820" w:type="dxa"/>
            <w:shd w:val="clear" w:color="auto" w:fill="auto"/>
            <w:noWrap/>
            <w:hideMark/>
          </w:tcPr>
          <w:p w14:paraId="4AC694CD" w14:textId="77777777" w:rsidR="006E5834" w:rsidRPr="002A063A" w:rsidRDefault="006E5834" w:rsidP="006D3132">
            <w:pPr>
              <w:rPr>
                <w:color w:val="000000"/>
                <w:sz w:val="20"/>
                <w:szCs w:val="20"/>
              </w:rPr>
            </w:pPr>
            <w:r w:rsidRPr="002A063A">
              <w:rPr>
                <w:color w:val="000000"/>
                <w:sz w:val="20"/>
                <w:szCs w:val="20"/>
              </w:rPr>
              <w:t>2015</w:t>
            </w:r>
          </w:p>
        </w:tc>
        <w:tc>
          <w:tcPr>
            <w:tcW w:w="3950" w:type="dxa"/>
            <w:shd w:val="clear" w:color="auto" w:fill="auto"/>
            <w:hideMark/>
          </w:tcPr>
          <w:p w14:paraId="3F475C15" w14:textId="77777777" w:rsidR="006E5834" w:rsidRPr="002A063A" w:rsidRDefault="006E5834" w:rsidP="006D3132">
            <w:pPr>
              <w:rPr>
                <w:color w:val="000000"/>
                <w:sz w:val="20"/>
                <w:szCs w:val="20"/>
              </w:rPr>
            </w:pPr>
            <w:r w:rsidRPr="002A063A">
              <w:rPr>
                <w:color w:val="000000"/>
                <w:sz w:val="20"/>
                <w:szCs w:val="20"/>
              </w:rPr>
              <w:t>Owusu-Edusei, Kwame; Flagg, Elaine W.; Gift, Thomas L.</w:t>
            </w:r>
          </w:p>
        </w:tc>
        <w:tc>
          <w:tcPr>
            <w:tcW w:w="3870" w:type="dxa"/>
            <w:shd w:val="clear" w:color="auto" w:fill="auto"/>
            <w:hideMark/>
          </w:tcPr>
          <w:p w14:paraId="2FA462C7" w14:textId="77777777" w:rsidR="006E5834" w:rsidRPr="002A063A" w:rsidRDefault="006E5834" w:rsidP="006D3132">
            <w:pPr>
              <w:rPr>
                <w:color w:val="000000"/>
                <w:sz w:val="20"/>
                <w:szCs w:val="20"/>
              </w:rPr>
            </w:pPr>
            <w:r w:rsidRPr="002A063A">
              <w:rPr>
                <w:color w:val="000000"/>
                <w:sz w:val="20"/>
                <w:szCs w:val="20"/>
              </w:rPr>
              <w:t>Hospitalization cost per case of neonatal herpes simplex virus infection from claims data</w:t>
            </w:r>
          </w:p>
        </w:tc>
      </w:tr>
      <w:tr w:rsidR="006E5834" w:rsidRPr="003409C7" w14:paraId="6CB94206" w14:textId="77777777" w:rsidTr="006D3132">
        <w:trPr>
          <w:trHeight w:val="320"/>
          <w:jc w:val="center"/>
        </w:trPr>
        <w:tc>
          <w:tcPr>
            <w:tcW w:w="820" w:type="dxa"/>
            <w:shd w:val="clear" w:color="auto" w:fill="auto"/>
            <w:noWrap/>
            <w:hideMark/>
          </w:tcPr>
          <w:p w14:paraId="2FE48AC7" w14:textId="77777777" w:rsidR="006E5834" w:rsidRPr="002A063A" w:rsidRDefault="006E5834" w:rsidP="006D3132">
            <w:pPr>
              <w:rPr>
                <w:color w:val="000000"/>
                <w:sz w:val="20"/>
                <w:szCs w:val="20"/>
              </w:rPr>
            </w:pPr>
            <w:r w:rsidRPr="002A063A">
              <w:rPr>
                <w:color w:val="000000"/>
                <w:sz w:val="20"/>
                <w:szCs w:val="20"/>
              </w:rPr>
              <w:t>1989</w:t>
            </w:r>
          </w:p>
        </w:tc>
        <w:tc>
          <w:tcPr>
            <w:tcW w:w="3950" w:type="dxa"/>
            <w:shd w:val="clear" w:color="auto" w:fill="auto"/>
            <w:hideMark/>
          </w:tcPr>
          <w:p w14:paraId="6DACBD6C" w14:textId="77777777" w:rsidR="006E5834" w:rsidRPr="002A063A" w:rsidRDefault="006E5834" w:rsidP="006D3132">
            <w:pPr>
              <w:rPr>
                <w:color w:val="000000"/>
                <w:sz w:val="20"/>
                <w:szCs w:val="20"/>
              </w:rPr>
            </w:pPr>
            <w:r w:rsidRPr="002A063A">
              <w:rPr>
                <w:color w:val="000000"/>
                <w:sz w:val="20"/>
                <w:szCs w:val="20"/>
              </w:rPr>
              <w:t>Binkin, Nancy J.; Koplan, Jeffrey P.</w:t>
            </w:r>
          </w:p>
        </w:tc>
        <w:tc>
          <w:tcPr>
            <w:tcW w:w="3870" w:type="dxa"/>
            <w:shd w:val="clear" w:color="auto" w:fill="auto"/>
            <w:hideMark/>
          </w:tcPr>
          <w:p w14:paraId="16EBBCDE" w14:textId="77777777" w:rsidR="006E5834" w:rsidRPr="002A063A" w:rsidRDefault="006E5834" w:rsidP="006D3132">
            <w:pPr>
              <w:rPr>
                <w:color w:val="000000"/>
                <w:sz w:val="20"/>
                <w:szCs w:val="20"/>
              </w:rPr>
            </w:pPr>
            <w:r w:rsidRPr="002A063A">
              <w:rPr>
                <w:color w:val="000000"/>
                <w:sz w:val="20"/>
                <w:szCs w:val="20"/>
              </w:rPr>
              <w:t>The High Cost and Low Efficacy of Weekly Viral Cultures for Pregnant Women with Recurrent Genital Herpes: A Reappraisal</w:t>
            </w:r>
          </w:p>
        </w:tc>
      </w:tr>
      <w:tr w:rsidR="006E5834" w:rsidRPr="003409C7" w14:paraId="24F31246" w14:textId="77777777" w:rsidTr="006D3132">
        <w:trPr>
          <w:trHeight w:val="320"/>
          <w:jc w:val="center"/>
        </w:trPr>
        <w:tc>
          <w:tcPr>
            <w:tcW w:w="820" w:type="dxa"/>
            <w:shd w:val="clear" w:color="auto" w:fill="auto"/>
            <w:noWrap/>
            <w:hideMark/>
          </w:tcPr>
          <w:p w14:paraId="1A26D4EC" w14:textId="77777777" w:rsidR="006E5834" w:rsidRPr="002A063A" w:rsidRDefault="006E5834" w:rsidP="006D3132">
            <w:pPr>
              <w:rPr>
                <w:color w:val="000000"/>
                <w:sz w:val="20"/>
                <w:szCs w:val="20"/>
              </w:rPr>
            </w:pPr>
            <w:r w:rsidRPr="002A063A">
              <w:rPr>
                <w:color w:val="000000"/>
                <w:sz w:val="20"/>
                <w:szCs w:val="20"/>
              </w:rPr>
              <w:t>2000</w:t>
            </w:r>
          </w:p>
        </w:tc>
        <w:tc>
          <w:tcPr>
            <w:tcW w:w="3950" w:type="dxa"/>
            <w:shd w:val="clear" w:color="auto" w:fill="auto"/>
            <w:hideMark/>
          </w:tcPr>
          <w:p w14:paraId="5EC31535" w14:textId="77777777" w:rsidR="006E5834" w:rsidRPr="002A063A" w:rsidRDefault="006E5834" w:rsidP="006D3132">
            <w:pPr>
              <w:rPr>
                <w:color w:val="000000"/>
                <w:sz w:val="20"/>
                <w:szCs w:val="20"/>
              </w:rPr>
            </w:pPr>
            <w:r w:rsidRPr="002A063A">
              <w:rPr>
                <w:color w:val="000000"/>
                <w:sz w:val="20"/>
                <w:szCs w:val="20"/>
              </w:rPr>
              <w:t>Grobman, W. A.; Peaceman, A. M.; Socol, M. L.</w:t>
            </w:r>
          </w:p>
        </w:tc>
        <w:tc>
          <w:tcPr>
            <w:tcW w:w="3870" w:type="dxa"/>
            <w:shd w:val="clear" w:color="auto" w:fill="auto"/>
            <w:hideMark/>
          </w:tcPr>
          <w:p w14:paraId="7D118A49" w14:textId="77777777" w:rsidR="006E5834" w:rsidRPr="002A063A" w:rsidRDefault="006E5834" w:rsidP="006D3132">
            <w:pPr>
              <w:rPr>
                <w:color w:val="000000"/>
                <w:sz w:val="20"/>
                <w:szCs w:val="20"/>
              </w:rPr>
            </w:pPr>
            <w:r w:rsidRPr="002A063A">
              <w:rPr>
                <w:color w:val="000000"/>
                <w:sz w:val="20"/>
                <w:szCs w:val="20"/>
              </w:rPr>
              <w:t>Cost-effectiveness of elective cesarean delivery after one prior low transverse cesarean</w:t>
            </w:r>
          </w:p>
        </w:tc>
      </w:tr>
      <w:tr w:rsidR="006E5834" w:rsidRPr="003409C7" w14:paraId="7E764AB8" w14:textId="77777777" w:rsidTr="001F1C09">
        <w:trPr>
          <w:trHeight w:val="320"/>
          <w:jc w:val="center"/>
        </w:trPr>
        <w:tc>
          <w:tcPr>
            <w:tcW w:w="820" w:type="dxa"/>
            <w:tcBorders>
              <w:bottom w:val="single" w:sz="4" w:space="0" w:color="auto"/>
            </w:tcBorders>
            <w:shd w:val="clear" w:color="auto" w:fill="auto"/>
            <w:noWrap/>
            <w:hideMark/>
          </w:tcPr>
          <w:p w14:paraId="1C10D5BB" w14:textId="77777777" w:rsidR="006E5834" w:rsidRPr="002A063A" w:rsidRDefault="006E5834" w:rsidP="006D3132">
            <w:pPr>
              <w:rPr>
                <w:color w:val="000000"/>
                <w:sz w:val="20"/>
                <w:szCs w:val="20"/>
              </w:rPr>
            </w:pPr>
            <w:r w:rsidRPr="002A063A">
              <w:rPr>
                <w:color w:val="000000"/>
                <w:sz w:val="20"/>
                <w:szCs w:val="20"/>
              </w:rPr>
              <w:t>1989</w:t>
            </w:r>
          </w:p>
        </w:tc>
        <w:tc>
          <w:tcPr>
            <w:tcW w:w="3950" w:type="dxa"/>
            <w:tcBorders>
              <w:bottom w:val="single" w:sz="4" w:space="0" w:color="auto"/>
            </w:tcBorders>
            <w:shd w:val="clear" w:color="auto" w:fill="auto"/>
            <w:hideMark/>
          </w:tcPr>
          <w:p w14:paraId="4CE439A7" w14:textId="77777777" w:rsidR="006E5834" w:rsidRPr="002A063A" w:rsidRDefault="006E5834" w:rsidP="006D3132">
            <w:pPr>
              <w:rPr>
                <w:color w:val="000000"/>
                <w:sz w:val="20"/>
                <w:szCs w:val="20"/>
              </w:rPr>
            </w:pPr>
            <w:r w:rsidRPr="002A063A">
              <w:rPr>
                <w:color w:val="000000"/>
                <w:sz w:val="20"/>
                <w:szCs w:val="20"/>
              </w:rPr>
              <w:t>Binkin, N. J.; Koplan, J. P.</w:t>
            </w:r>
          </w:p>
        </w:tc>
        <w:tc>
          <w:tcPr>
            <w:tcW w:w="3870" w:type="dxa"/>
            <w:tcBorders>
              <w:bottom w:val="single" w:sz="4" w:space="0" w:color="auto"/>
            </w:tcBorders>
            <w:shd w:val="clear" w:color="auto" w:fill="auto"/>
            <w:hideMark/>
          </w:tcPr>
          <w:p w14:paraId="6A84A9E3" w14:textId="77777777" w:rsidR="006E5834" w:rsidRPr="002A063A" w:rsidRDefault="006E5834" w:rsidP="006D3132">
            <w:pPr>
              <w:rPr>
                <w:color w:val="000000"/>
                <w:sz w:val="20"/>
                <w:szCs w:val="20"/>
              </w:rPr>
            </w:pPr>
            <w:r w:rsidRPr="002A063A">
              <w:rPr>
                <w:color w:val="000000"/>
                <w:sz w:val="20"/>
                <w:szCs w:val="20"/>
              </w:rPr>
              <w:t>The high cost and low efficacy of weekly viral cultures for pregnant women with recurrent genital herpes: a reappraisal</w:t>
            </w:r>
          </w:p>
        </w:tc>
      </w:tr>
      <w:tr w:rsidR="006E5834" w:rsidRPr="003409C7" w14:paraId="532F56CC" w14:textId="77777777" w:rsidTr="001F1C09">
        <w:trPr>
          <w:trHeight w:val="320"/>
          <w:jc w:val="center"/>
        </w:trPr>
        <w:tc>
          <w:tcPr>
            <w:tcW w:w="820" w:type="dxa"/>
            <w:tcBorders>
              <w:bottom w:val="single" w:sz="4" w:space="0" w:color="auto"/>
            </w:tcBorders>
            <w:shd w:val="clear" w:color="auto" w:fill="auto"/>
            <w:noWrap/>
            <w:hideMark/>
          </w:tcPr>
          <w:p w14:paraId="1B1D6C35" w14:textId="77777777" w:rsidR="006E5834" w:rsidRPr="002A063A" w:rsidRDefault="006E5834" w:rsidP="006D3132">
            <w:pPr>
              <w:rPr>
                <w:color w:val="000000"/>
                <w:sz w:val="20"/>
                <w:szCs w:val="20"/>
              </w:rPr>
            </w:pPr>
            <w:r w:rsidRPr="002A063A">
              <w:rPr>
                <w:color w:val="000000"/>
                <w:sz w:val="20"/>
                <w:szCs w:val="20"/>
              </w:rPr>
              <w:t>2017</w:t>
            </w:r>
          </w:p>
        </w:tc>
        <w:tc>
          <w:tcPr>
            <w:tcW w:w="3950" w:type="dxa"/>
            <w:tcBorders>
              <w:bottom w:val="single" w:sz="4" w:space="0" w:color="auto"/>
            </w:tcBorders>
            <w:shd w:val="clear" w:color="auto" w:fill="auto"/>
            <w:hideMark/>
          </w:tcPr>
          <w:p w14:paraId="52CCEE5E" w14:textId="77777777" w:rsidR="006E5834" w:rsidRPr="002A063A" w:rsidRDefault="006E5834" w:rsidP="006D3132">
            <w:pPr>
              <w:rPr>
                <w:color w:val="000000"/>
                <w:sz w:val="20"/>
                <w:szCs w:val="20"/>
              </w:rPr>
            </w:pPr>
            <w:r w:rsidRPr="002A063A">
              <w:rPr>
                <w:color w:val="000000"/>
                <w:sz w:val="20"/>
                <w:szCs w:val="20"/>
              </w:rPr>
              <w:t>Korenromp, Eline L.; Wi, Teodora; Resch, Stephen; Stover, John; Broutet, Nathalie</w:t>
            </w:r>
          </w:p>
        </w:tc>
        <w:tc>
          <w:tcPr>
            <w:tcW w:w="3870" w:type="dxa"/>
            <w:tcBorders>
              <w:bottom w:val="single" w:sz="4" w:space="0" w:color="auto"/>
            </w:tcBorders>
            <w:shd w:val="clear" w:color="auto" w:fill="auto"/>
            <w:hideMark/>
          </w:tcPr>
          <w:p w14:paraId="1AE16012" w14:textId="77777777" w:rsidR="006E5834" w:rsidRPr="002A063A" w:rsidRDefault="006E5834" w:rsidP="006D3132">
            <w:pPr>
              <w:rPr>
                <w:color w:val="000000"/>
                <w:sz w:val="20"/>
                <w:szCs w:val="20"/>
              </w:rPr>
            </w:pPr>
            <w:r w:rsidRPr="002A063A">
              <w:rPr>
                <w:color w:val="000000"/>
                <w:sz w:val="20"/>
                <w:szCs w:val="20"/>
              </w:rPr>
              <w:t>Costing of National STI Program Implementation for the Global STI Control Strategy for the Health Sector, 2016-2021</w:t>
            </w:r>
          </w:p>
        </w:tc>
      </w:tr>
    </w:tbl>
    <w:p w14:paraId="2C5728FA" w14:textId="77777777" w:rsidR="00E615EF" w:rsidRDefault="00E615EF" w:rsidP="005D7657">
      <w:pPr>
        <w:jc w:val="both"/>
        <w:rPr>
          <w:rFonts w:ascii="Arial" w:hAnsi="Arial" w:cs="Arial"/>
          <w:b/>
          <w:sz w:val="22"/>
          <w:szCs w:val="22"/>
        </w:rPr>
      </w:pPr>
    </w:p>
    <w:p w14:paraId="1A9FD79B" w14:textId="3F01061E" w:rsidR="006E5834" w:rsidRDefault="006E5834" w:rsidP="005D7657">
      <w:pPr>
        <w:jc w:val="both"/>
        <w:rPr>
          <w:rFonts w:ascii="Arial" w:hAnsi="Arial" w:cs="Arial"/>
          <w:b/>
          <w:sz w:val="22"/>
          <w:szCs w:val="22"/>
        </w:rPr>
      </w:pPr>
    </w:p>
    <w:p w14:paraId="317CF3B2" w14:textId="08A54420" w:rsidR="006E5834" w:rsidRPr="00647993" w:rsidRDefault="00647993" w:rsidP="00647993">
      <w:pPr>
        <w:pStyle w:val="Caption"/>
        <w:jc w:val="center"/>
        <w:rPr>
          <w:rFonts w:ascii="Arial" w:hAnsi="Arial" w:cs="Arial"/>
          <w:b/>
          <w:color w:val="000000" w:themeColor="text1"/>
          <w:sz w:val="22"/>
          <w:szCs w:val="22"/>
        </w:rPr>
      </w:pPr>
      <w:bookmarkStart w:id="61" w:name="_Toc111481807"/>
      <w:r w:rsidRPr="008D6407">
        <w:rPr>
          <w:rFonts w:ascii="Arial" w:hAnsi="Arial" w:cs="Arial"/>
          <w:color w:val="000000" w:themeColor="text1"/>
          <w:sz w:val="22"/>
          <w:szCs w:val="22"/>
        </w:rPr>
        <w:t xml:space="preserve">Table </w:t>
      </w:r>
      <w:r w:rsidRPr="008D6407">
        <w:rPr>
          <w:rFonts w:ascii="Arial" w:hAnsi="Arial" w:cs="Arial"/>
          <w:color w:val="000000" w:themeColor="text1"/>
          <w:sz w:val="22"/>
          <w:szCs w:val="22"/>
        </w:rPr>
        <w:fldChar w:fldCharType="begin"/>
      </w:r>
      <w:r w:rsidRPr="008D6407">
        <w:rPr>
          <w:rFonts w:ascii="Arial" w:hAnsi="Arial" w:cs="Arial"/>
          <w:color w:val="000000" w:themeColor="text1"/>
          <w:sz w:val="22"/>
          <w:szCs w:val="22"/>
        </w:rPr>
        <w:instrText xml:space="preserve"> SEQ Table \* ARABIC </w:instrText>
      </w:r>
      <w:r w:rsidRPr="008D6407">
        <w:rPr>
          <w:rFonts w:ascii="Arial" w:hAnsi="Arial" w:cs="Arial"/>
          <w:color w:val="000000" w:themeColor="text1"/>
          <w:sz w:val="22"/>
          <w:szCs w:val="22"/>
        </w:rPr>
        <w:fldChar w:fldCharType="separate"/>
      </w:r>
      <w:r w:rsidRPr="008D6407">
        <w:rPr>
          <w:rFonts w:ascii="Arial" w:hAnsi="Arial" w:cs="Arial"/>
          <w:noProof/>
          <w:color w:val="000000" w:themeColor="text1"/>
          <w:sz w:val="22"/>
          <w:szCs w:val="22"/>
        </w:rPr>
        <w:t>10</w:t>
      </w:r>
      <w:r w:rsidRPr="008D6407">
        <w:rPr>
          <w:rFonts w:ascii="Arial" w:hAnsi="Arial" w:cs="Arial"/>
          <w:color w:val="000000" w:themeColor="text1"/>
          <w:sz w:val="22"/>
          <w:szCs w:val="22"/>
        </w:rPr>
        <w:fldChar w:fldCharType="end"/>
      </w:r>
      <w:r w:rsidRPr="008D6407">
        <w:rPr>
          <w:rFonts w:ascii="Arial" w:hAnsi="Arial" w:cs="Arial"/>
          <w:color w:val="000000" w:themeColor="text1"/>
          <w:sz w:val="22"/>
          <w:szCs w:val="22"/>
        </w:rPr>
        <w:t xml:space="preserve">: Literature on </w:t>
      </w:r>
      <w:r w:rsidR="009806C8">
        <w:rPr>
          <w:rFonts w:ascii="Arial" w:hAnsi="Arial" w:cs="Arial"/>
          <w:color w:val="000000" w:themeColor="text1"/>
          <w:sz w:val="22"/>
          <w:szCs w:val="22"/>
        </w:rPr>
        <w:t>non-economic</w:t>
      </w:r>
      <w:r w:rsidRPr="008D6407">
        <w:rPr>
          <w:rFonts w:ascii="Arial" w:hAnsi="Arial" w:cs="Arial"/>
          <w:color w:val="000000" w:themeColor="text1"/>
          <w:sz w:val="22"/>
          <w:szCs w:val="22"/>
        </w:rPr>
        <w:t xml:space="preserve"> outcomes of HSV diseases</w:t>
      </w:r>
      <w:bookmarkEnd w:id="61"/>
    </w:p>
    <w:tbl>
      <w:tblPr>
        <w:tblW w:w="927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0"/>
        <w:gridCol w:w="3420"/>
        <w:gridCol w:w="3690"/>
        <w:gridCol w:w="1440"/>
      </w:tblGrid>
      <w:tr w:rsidR="006E5834" w:rsidRPr="00881745" w14:paraId="2FBB91A5" w14:textId="77777777" w:rsidTr="006D3132">
        <w:trPr>
          <w:trHeight w:val="340"/>
          <w:jc w:val="center"/>
        </w:trPr>
        <w:tc>
          <w:tcPr>
            <w:tcW w:w="720" w:type="dxa"/>
            <w:tcBorders>
              <w:top w:val="single" w:sz="4" w:space="0" w:color="auto"/>
            </w:tcBorders>
            <w:shd w:val="clear" w:color="auto" w:fill="auto"/>
            <w:noWrap/>
            <w:hideMark/>
          </w:tcPr>
          <w:p w14:paraId="0F46A460" w14:textId="77777777" w:rsidR="006E5834" w:rsidRPr="002A063A" w:rsidRDefault="006E5834" w:rsidP="006D3132">
            <w:pPr>
              <w:jc w:val="center"/>
              <w:rPr>
                <w:b/>
                <w:bCs/>
                <w:i/>
                <w:iCs/>
                <w:color w:val="000000"/>
                <w:sz w:val="20"/>
                <w:szCs w:val="20"/>
              </w:rPr>
            </w:pPr>
            <w:r w:rsidRPr="002A063A">
              <w:rPr>
                <w:b/>
                <w:bCs/>
                <w:i/>
                <w:iCs/>
                <w:color w:val="000000"/>
                <w:sz w:val="20"/>
                <w:szCs w:val="20"/>
              </w:rPr>
              <w:t>Year</w:t>
            </w:r>
          </w:p>
        </w:tc>
        <w:tc>
          <w:tcPr>
            <w:tcW w:w="3420" w:type="dxa"/>
            <w:tcBorders>
              <w:top w:val="single" w:sz="4" w:space="0" w:color="auto"/>
            </w:tcBorders>
            <w:shd w:val="clear" w:color="auto" w:fill="auto"/>
            <w:hideMark/>
          </w:tcPr>
          <w:p w14:paraId="241CA542" w14:textId="77777777" w:rsidR="006E5834" w:rsidRPr="002A063A" w:rsidRDefault="006E5834" w:rsidP="006D3132">
            <w:pPr>
              <w:jc w:val="center"/>
              <w:rPr>
                <w:b/>
                <w:bCs/>
                <w:i/>
                <w:iCs/>
                <w:color w:val="000000"/>
                <w:sz w:val="20"/>
                <w:szCs w:val="20"/>
              </w:rPr>
            </w:pPr>
            <w:r w:rsidRPr="002A063A">
              <w:rPr>
                <w:b/>
                <w:bCs/>
                <w:i/>
                <w:iCs/>
                <w:color w:val="000000"/>
                <w:sz w:val="20"/>
                <w:szCs w:val="20"/>
              </w:rPr>
              <w:t>Author</w:t>
            </w:r>
          </w:p>
        </w:tc>
        <w:tc>
          <w:tcPr>
            <w:tcW w:w="3690" w:type="dxa"/>
            <w:tcBorders>
              <w:top w:val="single" w:sz="4" w:space="0" w:color="auto"/>
            </w:tcBorders>
            <w:shd w:val="clear" w:color="auto" w:fill="auto"/>
            <w:hideMark/>
          </w:tcPr>
          <w:p w14:paraId="79FC9928" w14:textId="77777777" w:rsidR="006E5834" w:rsidRPr="002A063A" w:rsidRDefault="006E5834" w:rsidP="006D3132">
            <w:pPr>
              <w:jc w:val="center"/>
              <w:rPr>
                <w:b/>
                <w:bCs/>
                <w:i/>
                <w:iCs/>
                <w:color w:val="000000"/>
                <w:sz w:val="20"/>
                <w:szCs w:val="20"/>
              </w:rPr>
            </w:pPr>
            <w:r w:rsidRPr="002A063A">
              <w:rPr>
                <w:b/>
                <w:bCs/>
                <w:i/>
                <w:iCs/>
                <w:color w:val="000000"/>
                <w:sz w:val="20"/>
                <w:szCs w:val="20"/>
              </w:rPr>
              <w:t>Title</w:t>
            </w:r>
          </w:p>
        </w:tc>
        <w:tc>
          <w:tcPr>
            <w:tcW w:w="1440" w:type="dxa"/>
            <w:tcBorders>
              <w:top w:val="single" w:sz="4" w:space="0" w:color="auto"/>
            </w:tcBorders>
            <w:shd w:val="clear" w:color="auto" w:fill="auto"/>
            <w:noWrap/>
            <w:hideMark/>
          </w:tcPr>
          <w:p w14:paraId="6A8C9EF8" w14:textId="77777777" w:rsidR="006E5834" w:rsidRPr="002A063A" w:rsidRDefault="006E5834" w:rsidP="006D3132">
            <w:pPr>
              <w:jc w:val="center"/>
              <w:rPr>
                <w:b/>
                <w:bCs/>
                <w:i/>
                <w:iCs/>
                <w:color w:val="000000"/>
                <w:sz w:val="20"/>
                <w:szCs w:val="20"/>
              </w:rPr>
            </w:pPr>
            <w:r w:rsidRPr="002A063A">
              <w:rPr>
                <w:b/>
                <w:bCs/>
                <w:i/>
                <w:iCs/>
                <w:color w:val="000000"/>
                <w:sz w:val="20"/>
                <w:szCs w:val="20"/>
              </w:rPr>
              <w:t>Impact</w:t>
            </w:r>
          </w:p>
        </w:tc>
      </w:tr>
      <w:tr w:rsidR="006E5834" w:rsidRPr="00C6712B" w14:paraId="42D10FAE" w14:textId="77777777" w:rsidTr="006D3132">
        <w:trPr>
          <w:trHeight w:val="1360"/>
          <w:jc w:val="center"/>
        </w:trPr>
        <w:tc>
          <w:tcPr>
            <w:tcW w:w="720" w:type="dxa"/>
            <w:shd w:val="clear" w:color="auto" w:fill="auto"/>
            <w:noWrap/>
            <w:hideMark/>
          </w:tcPr>
          <w:p w14:paraId="49CF42F4" w14:textId="77777777" w:rsidR="006E5834" w:rsidRPr="002A063A" w:rsidRDefault="006E5834" w:rsidP="006D3132">
            <w:pPr>
              <w:jc w:val="right"/>
              <w:rPr>
                <w:color w:val="000000"/>
                <w:sz w:val="20"/>
                <w:szCs w:val="20"/>
              </w:rPr>
            </w:pPr>
            <w:r w:rsidRPr="002A063A">
              <w:rPr>
                <w:color w:val="000000"/>
                <w:sz w:val="20"/>
                <w:szCs w:val="20"/>
              </w:rPr>
              <w:t>2014</w:t>
            </w:r>
          </w:p>
        </w:tc>
        <w:tc>
          <w:tcPr>
            <w:tcW w:w="3420" w:type="dxa"/>
            <w:shd w:val="clear" w:color="auto" w:fill="auto"/>
            <w:hideMark/>
          </w:tcPr>
          <w:p w14:paraId="2F486694" w14:textId="77777777" w:rsidR="006E5834" w:rsidRPr="002A063A" w:rsidRDefault="006E5834" w:rsidP="006D3132">
            <w:pPr>
              <w:rPr>
                <w:color w:val="000000"/>
                <w:sz w:val="20"/>
                <w:szCs w:val="20"/>
              </w:rPr>
            </w:pPr>
            <w:r w:rsidRPr="002A063A">
              <w:rPr>
                <w:color w:val="000000"/>
                <w:sz w:val="20"/>
                <w:szCs w:val="20"/>
              </w:rPr>
              <w:t>Abdool Karim, Quarraisha; Kharsany, Ayesha B. M.; Leask, Kerry; Ntombela, Fanelisibonge; Humphries, Hilton; Frohlich, Janet A.; Samsunder, Natasha; Grobler, Anneke; Dellar, Rachael; Abdool Karim, Salim S.</w:t>
            </w:r>
          </w:p>
        </w:tc>
        <w:tc>
          <w:tcPr>
            <w:tcW w:w="3690" w:type="dxa"/>
            <w:shd w:val="clear" w:color="auto" w:fill="auto"/>
            <w:hideMark/>
          </w:tcPr>
          <w:p w14:paraId="079410BD" w14:textId="77777777" w:rsidR="006E5834" w:rsidRPr="002A063A" w:rsidRDefault="006E5834" w:rsidP="006D3132">
            <w:pPr>
              <w:rPr>
                <w:color w:val="000000"/>
                <w:sz w:val="20"/>
                <w:szCs w:val="20"/>
              </w:rPr>
            </w:pPr>
            <w:r w:rsidRPr="002A063A">
              <w:rPr>
                <w:color w:val="000000"/>
                <w:sz w:val="20"/>
                <w:szCs w:val="20"/>
              </w:rPr>
              <w:t>Prevalence of HIV, HSV-2 and pregnancy among high school students in rural KwaZulu-Natal, South Africa: a bio-behavioural cross-sectional survey</w:t>
            </w:r>
          </w:p>
        </w:tc>
        <w:tc>
          <w:tcPr>
            <w:tcW w:w="1440" w:type="dxa"/>
            <w:shd w:val="clear" w:color="auto" w:fill="auto"/>
            <w:noWrap/>
            <w:hideMark/>
          </w:tcPr>
          <w:p w14:paraId="5652D563" w14:textId="77777777" w:rsidR="006E5834" w:rsidRPr="002A063A" w:rsidRDefault="006E5834" w:rsidP="006D3132">
            <w:pPr>
              <w:rPr>
                <w:color w:val="000000"/>
                <w:sz w:val="20"/>
                <w:szCs w:val="20"/>
              </w:rPr>
            </w:pPr>
            <w:r w:rsidRPr="002A063A">
              <w:rPr>
                <w:color w:val="000000"/>
                <w:sz w:val="20"/>
                <w:szCs w:val="20"/>
              </w:rPr>
              <w:t>Schooling</w:t>
            </w:r>
          </w:p>
        </w:tc>
      </w:tr>
      <w:tr w:rsidR="006E5834" w:rsidRPr="00C6712B" w14:paraId="3D45E01F" w14:textId="77777777" w:rsidTr="006D3132">
        <w:trPr>
          <w:trHeight w:val="680"/>
          <w:jc w:val="center"/>
        </w:trPr>
        <w:tc>
          <w:tcPr>
            <w:tcW w:w="720" w:type="dxa"/>
            <w:shd w:val="clear" w:color="auto" w:fill="auto"/>
            <w:noWrap/>
            <w:hideMark/>
          </w:tcPr>
          <w:p w14:paraId="69536272" w14:textId="77777777" w:rsidR="006E5834" w:rsidRPr="002A063A" w:rsidRDefault="006E5834" w:rsidP="006D3132">
            <w:pPr>
              <w:jc w:val="right"/>
              <w:rPr>
                <w:color w:val="000000"/>
                <w:sz w:val="20"/>
                <w:szCs w:val="20"/>
              </w:rPr>
            </w:pPr>
            <w:r w:rsidRPr="002A063A">
              <w:rPr>
                <w:color w:val="000000"/>
                <w:sz w:val="20"/>
                <w:szCs w:val="20"/>
              </w:rPr>
              <w:t>2007</w:t>
            </w:r>
          </w:p>
        </w:tc>
        <w:tc>
          <w:tcPr>
            <w:tcW w:w="3420" w:type="dxa"/>
            <w:shd w:val="clear" w:color="auto" w:fill="auto"/>
            <w:hideMark/>
          </w:tcPr>
          <w:p w14:paraId="3EF4A042" w14:textId="77777777" w:rsidR="006E5834" w:rsidRPr="002A063A" w:rsidRDefault="006E5834" w:rsidP="006D3132">
            <w:pPr>
              <w:rPr>
                <w:color w:val="000000"/>
                <w:sz w:val="20"/>
                <w:szCs w:val="20"/>
              </w:rPr>
            </w:pPr>
            <w:r w:rsidRPr="002A063A">
              <w:rPr>
                <w:color w:val="000000"/>
                <w:sz w:val="20"/>
                <w:szCs w:val="20"/>
              </w:rPr>
              <w:t>Abdulmedzhidova, A. G.; Kurilo, L. F.; Shileĭko, L. V.; Makarova, N. P.; Klimova, R. R.; Kushch, A. A.</w:t>
            </w:r>
          </w:p>
        </w:tc>
        <w:tc>
          <w:tcPr>
            <w:tcW w:w="3690" w:type="dxa"/>
            <w:shd w:val="clear" w:color="auto" w:fill="auto"/>
            <w:hideMark/>
          </w:tcPr>
          <w:p w14:paraId="49B4CC95" w14:textId="77777777" w:rsidR="006E5834" w:rsidRPr="002A063A" w:rsidRDefault="006E5834" w:rsidP="006D3132">
            <w:pPr>
              <w:rPr>
                <w:color w:val="000000"/>
                <w:sz w:val="20"/>
                <w:szCs w:val="20"/>
              </w:rPr>
            </w:pPr>
            <w:r w:rsidRPr="002A063A">
              <w:rPr>
                <w:color w:val="000000"/>
                <w:sz w:val="20"/>
                <w:szCs w:val="20"/>
              </w:rPr>
              <w:t>[Asymptomatic genital herpes infection and infertility in males]</w:t>
            </w:r>
          </w:p>
        </w:tc>
        <w:tc>
          <w:tcPr>
            <w:tcW w:w="1440" w:type="dxa"/>
            <w:shd w:val="clear" w:color="auto" w:fill="auto"/>
            <w:noWrap/>
            <w:hideMark/>
          </w:tcPr>
          <w:p w14:paraId="38194A58" w14:textId="77777777" w:rsidR="006E5834" w:rsidRPr="002A063A" w:rsidRDefault="006E5834" w:rsidP="006D3132">
            <w:pPr>
              <w:rPr>
                <w:color w:val="000000"/>
                <w:sz w:val="20"/>
                <w:szCs w:val="20"/>
              </w:rPr>
            </w:pPr>
            <w:r w:rsidRPr="002A063A">
              <w:rPr>
                <w:color w:val="000000"/>
                <w:sz w:val="20"/>
                <w:szCs w:val="20"/>
              </w:rPr>
              <w:t>Infertility</w:t>
            </w:r>
          </w:p>
        </w:tc>
      </w:tr>
      <w:tr w:rsidR="006E5834" w:rsidRPr="00C6712B" w14:paraId="27A4823D" w14:textId="77777777" w:rsidTr="006D3132">
        <w:trPr>
          <w:trHeight w:val="340"/>
          <w:jc w:val="center"/>
        </w:trPr>
        <w:tc>
          <w:tcPr>
            <w:tcW w:w="720" w:type="dxa"/>
            <w:shd w:val="clear" w:color="auto" w:fill="auto"/>
            <w:noWrap/>
            <w:hideMark/>
          </w:tcPr>
          <w:p w14:paraId="3CB3CA0C" w14:textId="77777777" w:rsidR="006E5834" w:rsidRPr="002A063A" w:rsidRDefault="006E5834" w:rsidP="006D3132">
            <w:pPr>
              <w:jc w:val="right"/>
              <w:rPr>
                <w:color w:val="000000"/>
                <w:sz w:val="20"/>
                <w:szCs w:val="20"/>
              </w:rPr>
            </w:pPr>
            <w:r w:rsidRPr="002A063A">
              <w:rPr>
                <w:color w:val="000000"/>
                <w:sz w:val="20"/>
                <w:szCs w:val="20"/>
              </w:rPr>
              <w:t>2013</w:t>
            </w:r>
          </w:p>
        </w:tc>
        <w:tc>
          <w:tcPr>
            <w:tcW w:w="3420" w:type="dxa"/>
            <w:shd w:val="clear" w:color="auto" w:fill="auto"/>
            <w:hideMark/>
          </w:tcPr>
          <w:p w14:paraId="585AFE75" w14:textId="77777777" w:rsidR="006E5834" w:rsidRPr="002A063A" w:rsidRDefault="006E5834" w:rsidP="006D3132">
            <w:pPr>
              <w:rPr>
                <w:color w:val="000000"/>
                <w:sz w:val="20"/>
                <w:szCs w:val="20"/>
              </w:rPr>
            </w:pPr>
            <w:r w:rsidRPr="002A063A">
              <w:rPr>
                <w:color w:val="000000"/>
                <w:sz w:val="20"/>
                <w:szCs w:val="20"/>
              </w:rPr>
              <w:t>Andrei, Graciela; Snoeck, Robert</w:t>
            </w:r>
          </w:p>
        </w:tc>
        <w:tc>
          <w:tcPr>
            <w:tcW w:w="3690" w:type="dxa"/>
            <w:shd w:val="clear" w:color="auto" w:fill="auto"/>
            <w:hideMark/>
          </w:tcPr>
          <w:p w14:paraId="35E0AF03" w14:textId="77777777" w:rsidR="006E5834" w:rsidRPr="002A063A" w:rsidRDefault="006E5834" w:rsidP="006D3132">
            <w:pPr>
              <w:rPr>
                <w:color w:val="000000"/>
                <w:sz w:val="20"/>
                <w:szCs w:val="20"/>
              </w:rPr>
            </w:pPr>
            <w:r w:rsidRPr="002A063A">
              <w:rPr>
                <w:color w:val="000000"/>
                <w:sz w:val="20"/>
                <w:szCs w:val="20"/>
              </w:rPr>
              <w:t>Herpes simplex virus drug-resistance: new mutations and insights</w:t>
            </w:r>
          </w:p>
        </w:tc>
        <w:tc>
          <w:tcPr>
            <w:tcW w:w="1440" w:type="dxa"/>
            <w:shd w:val="clear" w:color="auto" w:fill="auto"/>
            <w:noWrap/>
            <w:hideMark/>
          </w:tcPr>
          <w:p w14:paraId="07A6DE22" w14:textId="77777777" w:rsidR="006E5834" w:rsidRPr="002A063A" w:rsidRDefault="006E5834" w:rsidP="006D3132">
            <w:pPr>
              <w:rPr>
                <w:color w:val="000000"/>
                <w:sz w:val="20"/>
                <w:szCs w:val="20"/>
              </w:rPr>
            </w:pPr>
            <w:r w:rsidRPr="002A063A">
              <w:rPr>
                <w:color w:val="000000"/>
                <w:sz w:val="20"/>
                <w:szCs w:val="20"/>
              </w:rPr>
              <w:t>AMR</w:t>
            </w:r>
          </w:p>
        </w:tc>
      </w:tr>
      <w:tr w:rsidR="006E5834" w:rsidRPr="00C6712B" w14:paraId="75C442C7" w14:textId="77777777" w:rsidTr="006D3132">
        <w:trPr>
          <w:trHeight w:val="680"/>
          <w:jc w:val="center"/>
        </w:trPr>
        <w:tc>
          <w:tcPr>
            <w:tcW w:w="720" w:type="dxa"/>
            <w:shd w:val="clear" w:color="auto" w:fill="auto"/>
            <w:noWrap/>
            <w:hideMark/>
          </w:tcPr>
          <w:p w14:paraId="6D25275D" w14:textId="77777777" w:rsidR="006E5834" w:rsidRPr="002A063A" w:rsidRDefault="006E5834" w:rsidP="006D3132">
            <w:pPr>
              <w:jc w:val="right"/>
              <w:rPr>
                <w:color w:val="000000"/>
                <w:sz w:val="20"/>
                <w:szCs w:val="20"/>
              </w:rPr>
            </w:pPr>
            <w:r w:rsidRPr="002A063A">
              <w:rPr>
                <w:color w:val="000000"/>
                <w:sz w:val="20"/>
                <w:szCs w:val="20"/>
              </w:rPr>
              <w:t>2012</w:t>
            </w:r>
          </w:p>
        </w:tc>
        <w:tc>
          <w:tcPr>
            <w:tcW w:w="3420" w:type="dxa"/>
            <w:shd w:val="clear" w:color="auto" w:fill="auto"/>
            <w:hideMark/>
          </w:tcPr>
          <w:p w14:paraId="45640662" w14:textId="77777777" w:rsidR="006E5834" w:rsidRPr="002A063A" w:rsidRDefault="006E5834" w:rsidP="006D3132">
            <w:pPr>
              <w:rPr>
                <w:color w:val="000000"/>
                <w:sz w:val="20"/>
                <w:szCs w:val="20"/>
              </w:rPr>
            </w:pPr>
            <w:r w:rsidRPr="002A063A">
              <w:rPr>
                <w:color w:val="000000"/>
                <w:sz w:val="20"/>
                <w:szCs w:val="20"/>
              </w:rPr>
              <w:t>Baird, Sarah J.; Garfein, Richard S.; McIntosh, Craig T.; Ozler, Berk</w:t>
            </w:r>
          </w:p>
        </w:tc>
        <w:tc>
          <w:tcPr>
            <w:tcW w:w="3690" w:type="dxa"/>
            <w:shd w:val="clear" w:color="auto" w:fill="auto"/>
            <w:hideMark/>
          </w:tcPr>
          <w:p w14:paraId="2955B126" w14:textId="77777777" w:rsidR="006E5834" w:rsidRPr="002A063A" w:rsidRDefault="006E5834" w:rsidP="006D3132">
            <w:pPr>
              <w:rPr>
                <w:color w:val="000000"/>
                <w:sz w:val="20"/>
                <w:szCs w:val="20"/>
              </w:rPr>
            </w:pPr>
            <w:r w:rsidRPr="002A063A">
              <w:rPr>
                <w:color w:val="000000"/>
                <w:sz w:val="20"/>
                <w:szCs w:val="20"/>
              </w:rPr>
              <w:t>Effect of a cash transfer programme for schooling on prevalence of HIV and herpes simplex type 2 in Malawi: a cluster randomised trial</w:t>
            </w:r>
          </w:p>
        </w:tc>
        <w:tc>
          <w:tcPr>
            <w:tcW w:w="1440" w:type="dxa"/>
            <w:shd w:val="clear" w:color="auto" w:fill="auto"/>
            <w:noWrap/>
            <w:hideMark/>
          </w:tcPr>
          <w:p w14:paraId="5779C696" w14:textId="77777777" w:rsidR="006E5834" w:rsidRPr="002A063A" w:rsidRDefault="006E5834" w:rsidP="006D3132">
            <w:pPr>
              <w:rPr>
                <w:color w:val="000000"/>
                <w:sz w:val="20"/>
                <w:szCs w:val="20"/>
              </w:rPr>
            </w:pPr>
            <w:r w:rsidRPr="002A063A">
              <w:rPr>
                <w:color w:val="000000"/>
                <w:sz w:val="20"/>
                <w:szCs w:val="20"/>
              </w:rPr>
              <w:t>Schooling</w:t>
            </w:r>
          </w:p>
        </w:tc>
      </w:tr>
      <w:tr w:rsidR="006E5834" w:rsidRPr="00C6712B" w14:paraId="61F51AE0" w14:textId="77777777" w:rsidTr="006D3132">
        <w:trPr>
          <w:trHeight w:val="340"/>
          <w:jc w:val="center"/>
        </w:trPr>
        <w:tc>
          <w:tcPr>
            <w:tcW w:w="720" w:type="dxa"/>
            <w:shd w:val="clear" w:color="auto" w:fill="auto"/>
            <w:noWrap/>
            <w:hideMark/>
          </w:tcPr>
          <w:p w14:paraId="0542C7C7" w14:textId="77777777" w:rsidR="006E5834" w:rsidRPr="002A063A" w:rsidRDefault="006E5834" w:rsidP="006D3132">
            <w:pPr>
              <w:jc w:val="right"/>
              <w:rPr>
                <w:color w:val="000000"/>
                <w:sz w:val="20"/>
                <w:szCs w:val="20"/>
              </w:rPr>
            </w:pPr>
            <w:r w:rsidRPr="002A063A">
              <w:rPr>
                <w:color w:val="000000"/>
                <w:sz w:val="20"/>
                <w:szCs w:val="20"/>
              </w:rPr>
              <w:t>2007</w:t>
            </w:r>
          </w:p>
        </w:tc>
        <w:tc>
          <w:tcPr>
            <w:tcW w:w="3420" w:type="dxa"/>
            <w:shd w:val="clear" w:color="auto" w:fill="auto"/>
            <w:hideMark/>
          </w:tcPr>
          <w:p w14:paraId="6DF6DDF4" w14:textId="77777777" w:rsidR="006E5834" w:rsidRPr="002A063A" w:rsidRDefault="006E5834" w:rsidP="006D3132">
            <w:pPr>
              <w:rPr>
                <w:color w:val="000000"/>
                <w:sz w:val="20"/>
                <w:szCs w:val="20"/>
              </w:rPr>
            </w:pPr>
            <w:r w:rsidRPr="002A063A">
              <w:rPr>
                <w:color w:val="000000"/>
                <w:sz w:val="20"/>
                <w:szCs w:val="20"/>
              </w:rPr>
              <w:t>Bickford, J.; Barton, S. E.; Mandalia, S.</w:t>
            </w:r>
          </w:p>
        </w:tc>
        <w:tc>
          <w:tcPr>
            <w:tcW w:w="3690" w:type="dxa"/>
            <w:shd w:val="clear" w:color="auto" w:fill="auto"/>
            <w:hideMark/>
          </w:tcPr>
          <w:p w14:paraId="32ADD07A" w14:textId="77777777" w:rsidR="006E5834" w:rsidRPr="002A063A" w:rsidRDefault="006E5834" w:rsidP="006D3132">
            <w:pPr>
              <w:rPr>
                <w:color w:val="000000"/>
                <w:sz w:val="20"/>
                <w:szCs w:val="20"/>
              </w:rPr>
            </w:pPr>
            <w:r w:rsidRPr="002A063A">
              <w:rPr>
                <w:color w:val="000000"/>
                <w:sz w:val="20"/>
                <w:szCs w:val="20"/>
              </w:rPr>
              <w:t>Chronic genital herpes and disclosure.... The influence of stigma</w:t>
            </w:r>
          </w:p>
        </w:tc>
        <w:tc>
          <w:tcPr>
            <w:tcW w:w="1440" w:type="dxa"/>
            <w:shd w:val="clear" w:color="auto" w:fill="auto"/>
            <w:noWrap/>
            <w:hideMark/>
          </w:tcPr>
          <w:p w14:paraId="5123B575" w14:textId="77777777" w:rsidR="006E5834" w:rsidRPr="002A063A" w:rsidRDefault="006E5834" w:rsidP="006D3132">
            <w:pPr>
              <w:rPr>
                <w:color w:val="000000"/>
                <w:sz w:val="20"/>
                <w:szCs w:val="20"/>
              </w:rPr>
            </w:pPr>
            <w:r w:rsidRPr="002A063A">
              <w:rPr>
                <w:color w:val="000000"/>
                <w:sz w:val="20"/>
                <w:szCs w:val="20"/>
              </w:rPr>
              <w:t>Stigma</w:t>
            </w:r>
          </w:p>
        </w:tc>
      </w:tr>
      <w:tr w:rsidR="006E5834" w:rsidRPr="00C6712B" w14:paraId="7BEEC50B" w14:textId="77777777" w:rsidTr="006D3132">
        <w:trPr>
          <w:trHeight w:val="680"/>
          <w:jc w:val="center"/>
        </w:trPr>
        <w:tc>
          <w:tcPr>
            <w:tcW w:w="720" w:type="dxa"/>
            <w:shd w:val="clear" w:color="auto" w:fill="auto"/>
            <w:noWrap/>
            <w:hideMark/>
          </w:tcPr>
          <w:p w14:paraId="1314E742" w14:textId="77777777" w:rsidR="006E5834" w:rsidRPr="002A063A" w:rsidRDefault="006E5834" w:rsidP="006D3132">
            <w:pPr>
              <w:jc w:val="right"/>
              <w:rPr>
                <w:color w:val="000000"/>
                <w:sz w:val="20"/>
                <w:szCs w:val="20"/>
              </w:rPr>
            </w:pPr>
            <w:r w:rsidRPr="002A063A">
              <w:rPr>
                <w:color w:val="000000"/>
                <w:sz w:val="20"/>
                <w:szCs w:val="20"/>
              </w:rPr>
              <w:t>2009</w:t>
            </w:r>
          </w:p>
        </w:tc>
        <w:tc>
          <w:tcPr>
            <w:tcW w:w="3420" w:type="dxa"/>
            <w:shd w:val="clear" w:color="auto" w:fill="auto"/>
            <w:hideMark/>
          </w:tcPr>
          <w:p w14:paraId="23F88753" w14:textId="77777777" w:rsidR="006E5834" w:rsidRPr="002A063A" w:rsidRDefault="006E5834" w:rsidP="006D3132">
            <w:pPr>
              <w:rPr>
                <w:color w:val="000000"/>
                <w:sz w:val="20"/>
                <w:szCs w:val="20"/>
              </w:rPr>
            </w:pPr>
            <w:r w:rsidRPr="002A063A">
              <w:rPr>
                <w:color w:val="000000"/>
                <w:sz w:val="20"/>
                <w:szCs w:val="20"/>
              </w:rPr>
              <w:t>Birdthistle, Isolde; Floyd, Sian; Nyagadza, Auxillia; Mudziwapasi, Netsai; Gregson, Simon; Glynn, Judith R.</w:t>
            </w:r>
          </w:p>
        </w:tc>
        <w:tc>
          <w:tcPr>
            <w:tcW w:w="3690" w:type="dxa"/>
            <w:shd w:val="clear" w:color="auto" w:fill="auto"/>
            <w:hideMark/>
          </w:tcPr>
          <w:p w14:paraId="106C4569" w14:textId="77777777" w:rsidR="006E5834" w:rsidRPr="002A063A" w:rsidRDefault="006E5834" w:rsidP="006D3132">
            <w:pPr>
              <w:rPr>
                <w:color w:val="000000"/>
                <w:sz w:val="20"/>
                <w:szCs w:val="20"/>
              </w:rPr>
            </w:pPr>
            <w:r w:rsidRPr="002A063A">
              <w:rPr>
                <w:color w:val="000000"/>
                <w:sz w:val="20"/>
                <w:szCs w:val="20"/>
              </w:rPr>
              <w:t>Is education the link between orphanhood and HIV/HSV-2 risk among female adolescents in urban Zimbabwe?</w:t>
            </w:r>
          </w:p>
        </w:tc>
        <w:tc>
          <w:tcPr>
            <w:tcW w:w="1440" w:type="dxa"/>
            <w:shd w:val="clear" w:color="auto" w:fill="auto"/>
            <w:noWrap/>
            <w:hideMark/>
          </w:tcPr>
          <w:p w14:paraId="24AF80D9" w14:textId="77777777" w:rsidR="006E5834" w:rsidRPr="002A063A" w:rsidRDefault="006E5834" w:rsidP="006D3132">
            <w:pPr>
              <w:rPr>
                <w:color w:val="000000"/>
                <w:sz w:val="20"/>
                <w:szCs w:val="20"/>
              </w:rPr>
            </w:pPr>
            <w:r w:rsidRPr="002A063A">
              <w:rPr>
                <w:color w:val="000000"/>
                <w:sz w:val="20"/>
                <w:szCs w:val="20"/>
              </w:rPr>
              <w:t>Schooling</w:t>
            </w:r>
          </w:p>
        </w:tc>
      </w:tr>
      <w:tr w:rsidR="006E5834" w:rsidRPr="00C6712B" w14:paraId="5151083C" w14:textId="77777777" w:rsidTr="006D3132">
        <w:trPr>
          <w:trHeight w:val="1020"/>
          <w:jc w:val="center"/>
        </w:trPr>
        <w:tc>
          <w:tcPr>
            <w:tcW w:w="720" w:type="dxa"/>
            <w:tcBorders>
              <w:bottom w:val="nil"/>
            </w:tcBorders>
            <w:shd w:val="clear" w:color="auto" w:fill="auto"/>
            <w:noWrap/>
            <w:hideMark/>
          </w:tcPr>
          <w:p w14:paraId="120A2A64" w14:textId="77777777" w:rsidR="006E5834" w:rsidRPr="002A063A" w:rsidRDefault="006E5834" w:rsidP="006D3132">
            <w:pPr>
              <w:jc w:val="right"/>
              <w:rPr>
                <w:color w:val="000000"/>
                <w:sz w:val="20"/>
                <w:szCs w:val="20"/>
              </w:rPr>
            </w:pPr>
            <w:r w:rsidRPr="002A063A">
              <w:rPr>
                <w:color w:val="000000"/>
                <w:sz w:val="20"/>
                <w:szCs w:val="20"/>
              </w:rPr>
              <w:t>2007</w:t>
            </w:r>
          </w:p>
        </w:tc>
        <w:tc>
          <w:tcPr>
            <w:tcW w:w="3420" w:type="dxa"/>
            <w:tcBorders>
              <w:bottom w:val="nil"/>
            </w:tcBorders>
            <w:shd w:val="clear" w:color="auto" w:fill="auto"/>
            <w:hideMark/>
          </w:tcPr>
          <w:p w14:paraId="2B08E751" w14:textId="77777777" w:rsidR="006E5834" w:rsidRPr="002A063A" w:rsidRDefault="006E5834" w:rsidP="006D3132">
            <w:pPr>
              <w:rPr>
                <w:color w:val="000000"/>
                <w:sz w:val="20"/>
                <w:szCs w:val="20"/>
              </w:rPr>
            </w:pPr>
            <w:r w:rsidRPr="002A063A">
              <w:rPr>
                <w:color w:val="000000"/>
                <w:sz w:val="20"/>
                <w:szCs w:val="20"/>
              </w:rPr>
              <w:t>Bocharova, E. N.; Zavalishina, L. E.; Bragina, E. E.; Klimova, R. R.; Gusak, Yu K.; Kurilo, L. F.; Shileiko, L. V.; Petrov, A. N.; Frank, G. A.; Kushch, A. A.</w:t>
            </w:r>
          </w:p>
        </w:tc>
        <w:tc>
          <w:tcPr>
            <w:tcW w:w="3690" w:type="dxa"/>
            <w:tcBorders>
              <w:bottom w:val="nil"/>
            </w:tcBorders>
            <w:shd w:val="clear" w:color="auto" w:fill="auto"/>
            <w:hideMark/>
          </w:tcPr>
          <w:p w14:paraId="0F9ECF9E" w14:textId="77777777" w:rsidR="006E5834" w:rsidRPr="002A063A" w:rsidRDefault="006E5834" w:rsidP="006D3132">
            <w:pPr>
              <w:rPr>
                <w:color w:val="000000"/>
                <w:sz w:val="20"/>
                <w:szCs w:val="20"/>
              </w:rPr>
            </w:pPr>
            <w:r w:rsidRPr="002A063A">
              <w:rPr>
                <w:color w:val="000000"/>
                <w:sz w:val="20"/>
                <w:szCs w:val="20"/>
              </w:rPr>
              <w:t>Detection of herpes simplex virus genomic DNA in spermatozoa of patients with fertility disorders by in situ hybridization</w:t>
            </w:r>
          </w:p>
        </w:tc>
        <w:tc>
          <w:tcPr>
            <w:tcW w:w="1440" w:type="dxa"/>
            <w:tcBorders>
              <w:bottom w:val="nil"/>
            </w:tcBorders>
            <w:shd w:val="clear" w:color="auto" w:fill="auto"/>
            <w:noWrap/>
            <w:hideMark/>
          </w:tcPr>
          <w:p w14:paraId="5A8F94EC" w14:textId="77777777" w:rsidR="006E5834" w:rsidRPr="002A063A" w:rsidRDefault="006E5834" w:rsidP="006D3132">
            <w:pPr>
              <w:rPr>
                <w:color w:val="000000"/>
                <w:sz w:val="20"/>
                <w:szCs w:val="20"/>
              </w:rPr>
            </w:pPr>
            <w:r w:rsidRPr="002A063A">
              <w:rPr>
                <w:color w:val="000000"/>
                <w:sz w:val="20"/>
                <w:szCs w:val="20"/>
              </w:rPr>
              <w:t>Infertility</w:t>
            </w:r>
          </w:p>
        </w:tc>
      </w:tr>
      <w:tr w:rsidR="006E5834" w:rsidRPr="00C6712B" w14:paraId="3A80FB49" w14:textId="77777777" w:rsidTr="006D3132">
        <w:trPr>
          <w:trHeight w:val="340"/>
          <w:jc w:val="center"/>
        </w:trPr>
        <w:tc>
          <w:tcPr>
            <w:tcW w:w="720" w:type="dxa"/>
            <w:shd w:val="clear" w:color="auto" w:fill="auto"/>
            <w:noWrap/>
            <w:hideMark/>
          </w:tcPr>
          <w:p w14:paraId="2CB5D238" w14:textId="77777777" w:rsidR="006E5834" w:rsidRPr="002A063A" w:rsidRDefault="006E5834" w:rsidP="006D3132">
            <w:pPr>
              <w:jc w:val="right"/>
              <w:rPr>
                <w:color w:val="000000"/>
                <w:sz w:val="20"/>
                <w:szCs w:val="20"/>
              </w:rPr>
            </w:pPr>
            <w:r w:rsidRPr="002A063A">
              <w:rPr>
                <w:color w:val="000000"/>
                <w:sz w:val="20"/>
                <w:szCs w:val="20"/>
              </w:rPr>
              <w:t>2004</w:t>
            </w:r>
          </w:p>
        </w:tc>
        <w:tc>
          <w:tcPr>
            <w:tcW w:w="3420" w:type="dxa"/>
            <w:shd w:val="clear" w:color="auto" w:fill="auto"/>
            <w:hideMark/>
          </w:tcPr>
          <w:p w14:paraId="564E81D0" w14:textId="77777777" w:rsidR="006E5834" w:rsidRPr="002A063A" w:rsidRDefault="006E5834" w:rsidP="006D3132">
            <w:pPr>
              <w:rPr>
                <w:color w:val="000000"/>
                <w:sz w:val="20"/>
                <w:szCs w:val="20"/>
              </w:rPr>
            </w:pPr>
            <w:r w:rsidRPr="002A063A">
              <w:rPr>
                <w:color w:val="000000"/>
                <w:sz w:val="20"/>
                <w:szCs w:val="20"/>
              </w:rPr>
              <w:t>Breitkopf, Carmen Radecki</w:t>
            </w:r>
          </w:p>
        </w:tc>
        <w:tc>
          <w:tcPr>
            <w:tcW w:w="3690" w:type="dxa"/>
            <w:shd w:val="clear" w:color="auto" w:fill="auto"/>
            <w:hideMark/>
          </w:tcPr>
          <w:p w14:paraId="1CD6EFBE" w14:textId="77777777" w:rsidR="006E5834" w:rsidRPr="002A063A" w:rsidRDefault="006E5834" w:rsidP="006D3132">
            <w:pPr>
              <w:rPr>
                <w:color w:val="000000"/>
                <w:sz w:val="20"/>
                <w:szCs w:val="20"/>
              </w:rPr>
            </w:pPr>
            <w:r w:rsidRPr="002A063A">
              <w:rPr>
                <w:color w:val="000000"/>
                <w:sz w:val="20"/>
                <w:szCs w:val="20"/>
              </w:rPr>
              <w:t>The theoretical basis of stigma as applied to genital herpes</w:t>
            </w:r>
          </w:p>
        </w:tc>
        <w:tc>
          <w:tcPr>
            <w:tcW w:w="1440" w:type="dxa"/>
            <w:shd w:val="clear" w:color="auto" w:fill="auto"/>
            <w:noWrap/>
            <w:hideMark/>
          </w:tcPr>
          <w:p w14:paraId="7CB80411" w14:textId="77777777" w:rsidR="006E5834" w:rsidRPr="002A063A" w:rsidRDefault="006E5834" w:rsidP="006D3132">
            <w:pPr>
              <w:rPr>
                <w:color w:val="000000"/>
                <w:sz w:val="20"/>
                <w:szCs w:val="20"/>
              </w:rPr>
            </w:pPr>
            <w:r w:rsidRPr="002A063A">
              <w:rPr>
                <w:color w:val="000000"/>
                <w:sz w:val="20"/>
                <w:szCs w:val="20"/>
              </w:rPr>
              <w:t>Stigma</w:t>
            </w:r>
          </w:p>
        </w:tc>
      </w:tr>
      <w:tr w:rsidR="006E5834" w:rsidRPr="00C6712B" w14:paraId="732D68BF" w14:textId="77777777" w:rsidTr="006D3132">
        <w:trPr>
          <w:trHeight w:val="340"/>
          <w:jc w:val="center"/>
        </w:trPr>
        <w:tc>
          <w:tcPr>
            <w:tcW w:w="720" w:type="dxa"/>
            <w:tcBorders>
              <w:bottom w:val="nil"/>
            </w:tcBorders>
            <w:shd w:val="clear" w:color="auto" w:fill="auto"/>
            <w:noWrap/>
            <w:hideMark/>
          </w:tcPr>
          <w:p w14:paraId="0134E3C9" w14:textId="77777777" w:rsidR="006E5834" w:rsidRPr="002A063A" w:rsidRDefault="006E5834" w:rsidP="006D3132">
            <w:pPr>
              <w:jc w:val="right"/>
              <w:rPr>
                <w:color w:val="000000"/>
                <w:sz w:val="20"/>
                <w:szCs w:val="20"/>
              </w:rPr>
            </w:pPr>
            <w:r w:rsidRPr="002A063A">
              <w:rPr>
                <w:color w:val="000000"/>
                <w:sz w:val="20"/>
                <w:szCs w:val="20"/>
              </w:rPr>
              <w:lastRenderedPageBreak/>
              <w:t>1994</w:t>
            </w:r>
          </w:p>
        </w:tc>
        <w:tc>
          <w:tcPr>
            <w:tcW w:w="3420" w:type="dxa"/>
            <w:tcBorders>
              <w:bottom w:val="nil"/>
            </w:tcBorders>
            <w:shd w:val="clear" w:color="auto" w:fill="auto"/>
            <w:hideMark/>
          </w:tcPr>
          <w:p w14:paraId="65133556" w14:textId="77777777" w:rsidR="006E5834" w:rsidRPr="002A063A" w:rsidRDefault="006E5834" w:rsidP="006D3132">
            <w:pPr>
              <w:rPr>
                <w:color w:val="000000"/>
                <w:sz w:val="20"/>
                <w:szCs w:val="20"/>
              </w:rPr>
            </w:pPr>
            <w:r w:rsidRPr="002A063A">
              <w:rPr>
                <w:color w:val="000000"/>
                <w:sz w:val="20"/>
                <w:szCs w:val="20"/>
              </w:rPr>
              <w:t>Carney, O.; Ross, E.; Bunker, C.; Ikkos, G.; Mindel, A.</w:t>
            </w:r>
          </w:p>
        </w:tc>
        <w:tc>
          <w:tcPr>
            <w:tcW w:w="3690" w:type="dxa"/>
            <w:tcBorders>
              <w:bottom w:val="nil"/>
            </w:tcBorders>
            <w:shd w:val="clear" w:color="auto" w:fill="auto"/>
            <w:hideMark/>
          </w:tcPr>
          <w:p w14:paraId="2CF2219A" w14:textId="77777777" w:rsidR="006E5834" w:rsidRPr="002A063A" w:rsidRDefault="006E5834" w:rsidP="006D3132">
            <w:pPr>
              <w:rPr>
                <w:color w:val="000000"/>
                <w:sz w:val="20"/>
                <w:szCs w:val="20"/>
              </w:rPr>
            </w:pPr>
            <w:r w:rsidRPr="002A063A">
              <w:rPr>
                <w:color w:val="000000"/>
                <w:sz w:val="20"/>
                <w:szCs w:val="20"/>
              </w:rPr>
              <w:t>A prospective study of the psychological impact on patients with a first episode of genital herpes</w:t>
            </w:r>
          </w:p>
        </w:tc>
        <w:tc>
          <w:tcPr>
            <w:tcW w:w="1440" w:type="dxa"/>
            <w:tcBorders>
              <w:bottom w:val="nil"/>
            </w:tcBorders>
            <w:shd w:val="clear" w:color="auto" w:fill="auto"/>
            <w:noWrap/>
            <w:hideMark/>
          </w:tcPr>
          <w:p w14:paraId="5FFFCB76" w14:textId="77777777" w:rsidR="006E5834" w:rsidRPr="002A063A" w:rsidRDefault="006E5834" w:rsidP="006D3132">
            <w:pPr>
              <w:rPr>
                <w:color w:val="000000"/>
                <w:sz w:val="20"/>
                <w:szCs w:val="20"/>
              </w:rPr>
            </w:pPr>
            <w:r w:rsidRPr="002A063A">
              <w:rPr>
                <w:color w:val="000000"/>
                <w:sz w:val="20"/>
                <w:szCs w:val="20"/>
              </w:rPr>
              <w:t>Psychological</w:t>
            </w:r>
          </w:p>
        </w:tc>
      </w:tr>
      <w:tr w:rsidR="006E5834" w:rsidRPr="00C6712B" w14:paraId="2C6BD584" w14:textId="77777777" w:rsidTr="006D3132">
        <w:trPr>
          <w:trHeight w:val="340"/>
          <w:jc w:val="center"/>
        </w:trPr>
        <w:tc>
          <w:tcPr>
            <w:tcW w:w="720" w:type="dxa"/>
            <w:shd w:val="clear" w:color="auto" w:fill="auto"/>
            <w:noWrap/>
            <w:hideMark/>
          </w:tcPr>
          <w:p w14:paraId="30186365" w14:textId="77777777" w:rsidR="006E5834" w:rsidRPr="002A063A" w:rsidRDefault="006E5834" w:rsidP="006D3132">
            <w:pPr>
              <w:jc w:val="right"/>
              <w:rPr>
                <w:color w:val="000000"/>
                <w:sz w:val="20"/>
                <w:szCs w:val="20"/>
              </w:rPr>
            </w:pPr>
            <w:r w:rsidRPr="002A063A">
              <w:rPr>
                <w:color w:val="000000"/>
                <w:sz w:val="20"/>
                <w:szCs w:val="20"/>
              </w:rPr>
              <w:t>2004</w:t>
            </w:r>
          </w:p>
        </w:tc>
        <w:tc>
          <w:tcPr>
            <w:tcW w:w="3420" w:type="dxa"/>
            <w:shd w:val="clear" w:color="auto" w:fill="auto"/>
            <w:hideMark/>
          </w:tcPr>
          <w:p w14:paraId="32A9E4D8" w14:textId="77777777" w:rsidR="006E5834" w:rsidRPr="002A063A" w:rsidRDefault="006E5834" w:rsidP="006D3132">
            <w:pPr>
              <w:rPr>
                <w:color w:val="000000"/>
                <w:sz w:val="20"/>
                <w:szCs w:val="20"/>
              </w:rPr>
            </w:pPr>
            <w:r w:rsidRPr="002A063A">
              <w:rPr>
                <w:color w:val="000000"/>
                <w:sz w:val="20"/>
                <w:szCs w:val="20"/>
              </w:rPr>
              <w:t>Fortenberry, J. Dennis</w:t>
            </w:r>
          </w:p>
        </w:tc>
        <w:tc>
          <w:tcPr>
            <w:tcW w:w="3690" w:type="dxa"/>
            <w:shd w:val="clear" w:color="auto" w:fill="auto"/>
            <w:hideMark/>
          </w:tcPr>
          <w:p w14:paraId="3ABD136D" w14:textId="77777777" w:rsidR="006E5834" w:rsidRPr="002A063A" w:rsidRDefault="006E5834" w:rsidP="006D3132">
            <w:pPr>
              <w:rPr>
                <w:color w:val="000000"/>
                <w:sz w:val="20"/>
                <w:szCs w:val="20"/>
              </w:rPr>
            </w:pPr>
            <w:r w:rsidRPr="002A063A">
              <w:rPr>
                <w:color w:val="000000"/>
                <w:sz w:val="20"/>
                <w:szCs w:val="20"/>
              </w:rPr>
              <w:t>The effects of stigma on genital herpes care-seeking behaviours</w:t>
            </w:r>
          </w:p>
        </w:tc>
        <w:tc>
          <w:tcPr>
            <w:tcW w:w="1440" w:type="dxa"/>
            <w:shd w:val="clear" w:color="auto" w:fill="auto"/>
            <w:noWrap/>
            <w:hideMark/>
          </w:tcPr>
          <w:p w14:paraId="029F1817" w14:textId="77777777" w:rsidR="006E5834" w:rsidRPr="002A063A" w:rsidRDefault="006E5834" w:rsidP="006D3132">
            <w:pPr>
              <w:rPr>
                <w:color w:val="000000"/>
                <w:sz w:val="20"/>
                <w:szCs w:val="20"/>
              </w:rPr>
            </w:pPr>
            <w:r w:rsidRPr="002A063A">
              <w:rPr>
                <w:color w:val="000000"/>
                <w:sz w:val="20"/>
                <w:szCs w:val="20"/>
              </w:rPr>
              <w:t>Stigma</w:t>
            </w:r>
          </w:p>
        </w:tc>
      </w:tr>
      <w:tr w:rsidR="006E5834" w:rsidRPr="00C6712B" w14:paraId="2013EAD5" w14:textId="77777777" w:rsidTr="006D3132">
        <w:trPr>
          <w:trHeight w:val="680"/>
          <w:jc w:val="center"/>
        </w:trPr>
        <w:tc>
          <w:tcPr>
            <w:tcW w:w="720" w:type="dxa"/>
            <w:shd w:val="clear" w:color="auto" w:fill="auto"/>
            <w:noWrap/>
            <w:hideMark/>
          </w:tcPr>
          <w:p w14:paraId="3FEAF469" w14:textId="77777777" w:rsidR="006E5834" w:rsidRPr="002A063A" w:rsidRDefault="006E5834" w:rsidP="006D3132">
            <w:pPr>
              <w:jc w:val="right"/>
              <w:rPr>
                <w:color w:val="000000"/>
                <w:sz w:val="20"/>
                <w:szCs w:val="20"/>
              </w:rPr>
            </w:pPr>
            <w:r w:rsidRPr="002A063A">
              <w:rPr>
                <w:color w:val="000000"/>
                <w:sz w:val="20"/>
                <w:szCs w:val="20"/>
              </w:rPr>
              <w:t>2014</w:t>
            </w:r>
          </w:p>
        </w:tc>
        <w:tc>
          <w:tcPr>
            <w:tcW w:w="3420" w:type="dxa"/>
            <w:shd w:val="clear" w:color="auto" w:fill="auto"/>
            <w:hideMark/>
          </w:tcPr>
          <w:p w14:paraId="33AF2741" w14:textId="77777777" w:rsidR="006E5834" w:rsidRPr="002A063A" w:rsidRDefault="006E5834" w:rsidP="006D3132">
            <w:pPr>
              <w:rPr>
                <w:color w:val="000000"/>
                <w:sz w:val="20"/>
                <w:szCs w:val="20"/>
              </w:rPr>
            </w:pPr>
            <w:r w:rsidRPr="002A063A">
              <w:rPr>
                <w:color w:val="000000"/>
                <w:sz w:val="20"/>
                <w:szCs w:val="20"/>
              </w:rPr>
              <w:t>Glynn, Judith R.; Kayuni, Ndoliwe; Gondwe, Levie; Price, Alison J.; Crampin, Amelia C.</w:t>
            </w:r>
          </w:p>
        </w:tc>
        <w:tc>
          <w:tcPr>
            <w:tcW w:w="3690" w:type="dxa"/>
            <w:shd w:val="clear" w:color="auto" w:fill="auto"/>
            <w:hideMark/>
          </w:tcPr>
          <w:p w14:paraId="6181AA8C" w14:textId="77777777" w:rsidR="006E5834" w:rsidRPr="002A063A" w:rsidRDefault="006E5834" w:rsidP="006D3132">
            <w:pPr>
              <w:rPr>
                <w:color w:val="000000"/>
                <w:sz w:val="20"/>
                <w:szCs w:val="20"/>
              </w:rPr>
            </w:pPr>
            <w:r w:rsidRPr="002A063A">
              <w:rPr>
                <w:color w:val="000000"/>
                <w:sz w:val="20"/>
                <w:szCs w:val="20"/>
              </w:rPr>
              <w:t>Earlier menarche is associated with a higher prevalence of Herpes simplex type-2 (HSV-2) in young women in rural Malawi</w:t>
            </w:r>
          </w:p>
        </w:tc>
        <w:tc>
          <w:tcPr>
            <w:tcW w:w="1440" w:type="dxa"/>
            <w:shd w:val="clear" w:color="auto" w:fill="auto"/>
            <w:noWrap/>
            <w:hideMark/>
          </w:tcPr>
          <w:p w14:paraId="4678B711" w14:textId="77777777" w:rsidR="006E5834" w:rsidRPr="002A063A" w:rsidRDefault="006E5834" w:rsidP="006D3132">
            <w:pPr>
              <w:rPr>
                <w:color w:val="000000"/>
                <w:sz w:val="20"/>
                <w:szCs w:val="20"/>
              </w:rPr>
            </w:pPr>
            <w:r w:rsidRPr="002A063A">
              <w:rPr>
                <w:color w:val="000000"/>
                <w:sz w:val="20"/>
                <w:szCs w:val="20"/>
              </w:rPr>
              <w:t>Early menarche</w:t>
            </w:r>
          </w:p>
        </w:tc>
      </w:tr>
      <w:tr w:rsidR="006E5834" w:rsidRPr="00C6712B" w14:paraId="2A0E7274" w14:textId="77777777" w:rsidTr="006D3132">
        <w:trPr>
          <w:trHeight w:val="680"/>
          <w:jc w:val="center"/>
        </w:trPr>
        <w:tc>
          <w:tcPr>
            <w:tcW w:w="720" w:type="dxa"/>
            <w:shd w:val="clear" w:color="auto" w:fill="auto"/>
            <w:noWrap/>
            <w:hideMark/>
          </w:tcPr>
          <w:p w14:paraId="3724B72F" w14:textId="77777777" w:rsidR="006E5834" w:rsidRPr="002A063A" w:rsidRDefault="006E5834" w:rsidP="006D3132">
            <w:pPr>
              <w:jc w:val="right"/>
              <w:rPr>
                <w:color w:val="000000"/>
                <w:sz w:val="20"/>
                <w:szCs w:val="20"/>
              </w:rPr>
            </w:pPr>
            <w:r w:rsidRPr="002A063A">
              <w:rPr>
                <w:color w:val="000000"/>
                <w:sz w:val="20"/>
                <w:szCs w:val="20"/>
              </w:rPr>
              <w:t>2003</w:t>
            </w:r>
          </w:p>
        </w:tc>
        <w:tc>
          <w:tcPr>
            <w:tcW w:w="3420" w:type="dxa"/>
            <w:shd w:val="clear" w:color="auto" w:fill="auto"/>
            <w:hideMark/>
          </w:tcPr>
          <w:p w14:paraId="16945CB2" w14:textId="77777777" w:rsidR="006E5834" w:rsidRPr="002A063A" w:rsidRDefault="006E5834" w:rsidP="006D3132">
            <w:pPr>
              <w:rPr>
                <w:color w:val="000000"/>
                <w:sz w:val="20"/>
                <w:szCs w:val="20"/>
              </w:rPr>
            </w:pPr>
            <w:r w:rsidRPr="002A063A">
              <w:rPr>
                <w:color w:val="000000"/>
                <w:sz w:val="20"/>
                <w:szCs w:val="20"/>
              </w:rPr>
              <w:t>Halton, Kate; Ratcliffe, Amy A.; Morison, Linda; West, Beryl; Shaw, Matthew; Bailey, Robin; Walraven, Gijs</w:t>
            </w:r>
          </w:p>
        </w:tc>
        <w:tc>
          <w:tcPr>
            <w:tcW w:w="3690" w:type="dxa"/>
            <w:shd w:val="clear" w:color="auto" w:fill="auto"/>
            <w:hideMark/>
          </w:tcPr>
          <w:p w14:paraId="54B4CB3D" w14:textId="77777777" w:rsidR="006E5834" w:rsidRPr="002A063A" w:rsidRDefault="006E5834" w:rsidP="006D3132">
            <w:pPr>
              <w:rPr>
                <w:color w:val="000000"/>
                <w:sz w:val="20"/>
                <w:szCs w:val="20"/>
              </w:rPr>
            </w:pPr>
            <w:r w:rsidRPr="002A063A">
              <w:rPr>
                <w:color w:val="000000"/>
                <w:sz w:val="20"/>
                <w:szCs w:val="20"/>
              </w:rPr>
              <w:t>Herpes simplex 2 risk among women in a polygynous setting in rural West Africa</w:t>
            </w:r>
          </w:p>
        </w:tc>
        <w:tc>
          <w:tcPr>
            <w:tcW w:w="1440" w:type="dxa"/>
            <w:shd w:val="clear" w:color="auto" w:fill="auto"/>
            <w:noWrap/>
            <w:hideMark/>
          </w:tcPr>
          <w:p w14:paraId="36E5D44E" w14:textId="77777777" w:rsidR="006E5834" w:rsidRPr="002A063A" w:rsidRDefault="006E5834" w:rsidP="006D3132">
            <w:pPr>
              <w:rPr>
                <w:color w:val="000000"/>
                <w:sz w:val="20"/>
                <w:szCs w:val="20"/>
              </w:rPr>
            </w:pPr>
            <w:r w:rsidRPr="002A063A">
              <w:rPr>
                <w:color w:val="000000"/>
                <w:sz w:val="20"/>
                <w:szCs w:val="20"/>
              </w:rPr>
              <w:t>Depression</w:t>
            </w:r>
          </w:p>
        </w:tc>
      </w:tr>
      <w:tr w:rsidR="006E5834" w:rsidRPr="00C6712B" w14:paraId="6907ED48" w14:textId="77777777" w:rsidTr="006D3132">
        <w:trPr>
          <w:trHeight w:val="680"/>
          <w:jc w:val="center"/>
        </w:trPr>
        <w:tc>
          <w:tcPr>
            <w:tcW w:w="720" w:type="dxa"/>
            <w:shd w:val="clear" w:color="auto" w:fill="auto"/>
            <w:noWrap/>
            <w:hideMark/>
          </w:tcPr>
          <w:p w14:paraId="074995E0" w14:textId="77777777" w:rsidR="006E5834" w:rsidRPr="002A063A" w:rsidRDefault="006E5834" w:rsidP="006D3132">
            <w:pPr>
              <w:jc w:val="right"/>
              <w:rPr>
                <w:color w:val="000000"/>
                <w:sz w:val="20"/>
                <w:szCs w:val="20"/>
              </w:rPr>
            </w:pPr>
            <w:r w:rsidRPr="002A063A">
              <w:rPr>
                <w:color w:val="000000"/>
                <w:sz w:val="20"/>
                <w:szCs w:val="20"/>
              </w:rPr>
              <w:t>2016</w:t>
            </w:r>
          </w:p>
        </w:tc>
        <w:tc>
          <w:tcPr>
            <w:tcW w:w="3420" w:type="dxa"/>
            <w:shd w:val="clear" w:color="auto" w:fill="auto"/>
            <w:hideMark/>
          </w:tcPr>
          <w:p w14:paraId="2D075BA9" w14:textId="77777777" w:rsidR="006E5834" w:rsidRPr="002A063A" w:rsidRDefault="006E5834" w:rsidP="006D3132">
            <w:pPr>
              <w:rPr>
                <w:color w:val="000000"/>
                <w:sz w:val="20"/>
                <w:szCs w:val="20"/>
              </w:rPr>
            </w:pPr>
            <w:r w:rsidRPr="002A063A">
              <w:rPr>
                <w:color w:val="000000"/>
                <w:sz w:val="20"/>
                <w:szCs w:val="20"/>
              </w:rPr>
              <w:t>Hsu, Pao-Chu; Yolken, Robert H.; Postolache, Teodor T.; Beckie, Theresa M.; Munro, Cindy L.; Groer, Maureen W.</w:t>
            </w:r>
          </w:p>
        </w:tc>
        <w:tc>
          <w:tcPr>
            <w:tcW w:w="3690" w:type="dxa"/>
            <w:shd w:val="clear" w:color="auto" w:fill="auto"/>
            <w:hideMark/>
          </w:tcPr>
          <w:p w14:paraId="0E543F75" w14:textId="77777777" w:rsidR="006E5834" w:rsidRPr="002A063A" w:rsidRDefault="006E5834" w:rsidP="006D3132">
            <w:pPr>
              <w:rPr>
                <w:color w:val="000000"/>
                <w:sz w:val="20"/>
                <w:szCs w:val="20"/>
              </w:rPr>
            </w:pPr>
            <w:r w:rsidRPr="002A063A">
              <w:rPr>
                <w:color w:val="000000"/>
                <w:sz w:val="20"/>
                <w:szCs w:val="20"/>
              </w:rPr>
              <w:t>Association of Depressed Mood With Herpes Simplex Virus-2 Immunoglobulin-G Levels in Pregnancy</w:t>
            </w:r>
          </w:p>
        </w:tc>
        <w:tc>
          <w:tcPr>
            <w:tcW w:w="1440" w:type="dxa"/>
            <w:shd w:val="clear" w:color="auto" w:fill="auto"/>
            <w:noWrap/>
            <w:hideMark/>
          </w:tcPr>
          <w:p w14:paraId="511335E8" w14:textId="77777777" w:rsidR="006E5834" w:rsidRPr="002A063A" w:rsidRDefault="006E5834" w:rsidP="006D3132">
            <w:pPr>
              <w:rPr>
                <w:color w:val="000000"/>
                <w:sz w:val="20"/>
                <w:szCs w:val="20"/>
              </w:rPr>
            </w:pPr>
            <w:r w:rsidRPr="002A063A">
              <w:rPr>
                <w:color w:val="000000"/>
                <w:sz w:val="20"/>
                <w:szCs w:val="20"/>
              </w:rPr>
              <w:t>Depression</w:t>
            </w:r>
          </w:p>
        </w:tc>
      </w:tr>
      <w:tr w:rsidR="006E5834" w:rsidRPr="00C6712B" w14:paraId="379E81CE" w14:textId="77777777" w:rsidTr="006D3132">
        <w:trPr>
          <w:trHeight w:val="340"/>
          <w:jc w:val="center"/>
        </w:trPr>
        <w:tc>
          <w:tcPr>
            <w:tcW w:w="720" w:type="dxa"/>
            <w:shd w:val="clear" w:color="auto" w:fill="auto"/>
            <w:noWrap/>
            <w:hideMark/>
          </w:tcPr>
          <w:p w14:paraId="7026C17D" w14:textId="77777777" w:rsidR="006E5834" w:rsidRPr="002A063A" w:rsidRDefault="006E5834" w:rsidP="006D3132">
            <w:pPr>
              <w:jc w:val="right"/>
              <w:rPr>
                <w:color w:val="000000"/>
                <w:sz w:val="20"/>
                <w:szCs w:val="20"/>
              </w:rPr>
            </w:pPr>
            <w:r w:rsidRPr="002A063A">
              <w:rPr>
                <w:color w:val="000000"/>
                <w:sz w:val="20"/>
                <w:szCs w:val="20"/>
              </w:rPr>
              <w:t>1988</w:t>
            </w:r>
          </w:p>
        </w:tc>
        <w:tc>
          <w:tcPr>
            <w:tcW w:w="3420" w:type="dxa"/>
            <w:shd w:val="clear" w:color="auto" w:fill="auto"/>
            <w:hideMark/>
          </w:tcPr>
          <w:p w14:paraId="19D9CC8D" w14:textId="77777777" w:rsidR="006E5834" w:rsidRPr="002A063A" w:rsidRDefault="006E5834" w:rsidP="006D3132">
            <w:pPr>
              <w:rPr>
                <w:color w:val="000000"/>
                <w:sz w:val="20"/>
                <w:szCs w:val="20"/>
              </w:rPr>
            </w:pPr>
            <w:r w:rsidRPr="002A063A">
              <w:rPr>
                <w:color w:val="000000"/>
                <w:sz w:val="20"/>
                <w:szCs w:val="20"/>
              </w:rPr>
              <w:t>Jacob, Mary; Mathai, Rache</w:t>
            </w:r>
          </w:p>
        </w:tc>
        <w:tc>
          <w:tcPr>
            <w:tcW w:w="3690" w:type="dxa"/>
            <w:shd w:val="clear" w:color="auto" w:fill="auto"/>
            <w:hideMark/>
          </w:tcPr>
          <w:p w14:paraId="538905AD" w14:textId="77777777" w:rsidR="006E5834" w:rsidRPr="002A063A" w:rsidRDefault="006E5834" w:rsidP="006D3132">
            <w:pPr>
              <w:rPr>
                <w:color w:val="000000"/>
                <w:sz w:val="20"/>
                <w:szCs w:val="20"/>
              </w:rPr>
            </w:pPr>
            <w:r w:rsidRPr="002A063A">
              <w:rPr>
                <w:color w:val="000000"/>
                <w:sz w:val="20"/>
                <w:szCs w:val="20"/>
              </w:rPr>
              <w:t>Genital Herpes in Marital Partners</w:t>
            </w:r>
          </w:p>
        </w:tc>
        <w:tc>
          <w:tcPr>
            <w:tcW w:w="1440" w:type="dxa"/>
            <w:shd w:val="clear" w:color="auto" w:fill="auto"/>
            <w:noWrap/>
            <w:hideMark/>
          </w:tcPr>
          <w:p w14:paraId="4AABB07D" w14:textId="77777777" w:rsidR="006E5834" w:rsidRPr="002A063A" w:rsidRDefault="006E5834" w:rsidP="006D3132">
            <w:pPr>
              <w:rPr>
                <w:color w:val="000000"/>
                <w:sz w:val="20"/>
                <w:szCs w:val="20"/>
              </w:rPr>
            </w:pPr>
            <w:r w:rsidRPr="002A063A">
              <w:rPr>
                <w:color w:val="000000"/>
                <w:sz w:val="20"/>
                <w:szCs w:val="20"/>
              </w:rPr>
              <w:t>HIV</w:t>
            </w:r>
          </w:p>
        </w:tc>
      </w:tr>
      <w:tr w:rsidR="006E5834" w:rsidRPr="00C6712B" w14:paraId="14184B90" w14:textId="77777777" w:rsidTr="006D3132">
        <w:trPr>
          <w:trHeight w:val="680"/>
          <w:jc w:val="center"/>
        </w:trPr>
        <w:tc>
          <w:tcPr>
            <w:tcW w:w="720" w:type="dxa"/>
            <w:tcBorders>
              <w:bottom w:val="nil"/>
            </w:tcBorders>
            <w:shd w:val="clear" w:color="auto" w:fill="auto"/>
            <w:noWrap/>
            <w:hideMark/>
          </w:tcPr>
          <w:p w14:paraId="56E67FDF" w14:textId="77777777" w:rsidR="006E5834" w:rsidRPr="002A063A" w:rsidRDefault="006E5834" w:rsidP="006D3132">
            <w:pPr>
              <w:jc w:val="right"/>
              <w:rPr>
                <w:color w:val="000000"/>
                <w:sz w:val="20"/>
                <w:szCs w:val="20"/>
              </w:rPr>
            </w:pPr>
            <w:r w:rsidRPr="002A063A">
              <w:rPr>
                <w:color w:val="000000"/>
                <w:sz w:val="20"/>
                <w:szCs w:val="20"/>
              </w:rPr>
              <w:t>2015</w:t>
            </w:r>
          </w:p>
        </w:tc>
        <w:tc>
          <w:tcPr>
            <w:tcW w:w="3420" w:type="dxa"/>
            <w:tcBorders>
              <w:bottom w:val="nil"/>
            </w:tcBorders>
            <w:shd w:val="clear" w:color="auto" w:fill="auto"/>
            <w:hideMark/>
          </w:tcPr>
          <w:p w14:paraId="63C46527" w14:textId="77777777" w:rsidR="006E5834" w:rsidRPr="002A063A" w:rsidRDefault="006E5834" w:rsidP="006D3132">
            <w:pPr>
              <w:rPr>
                <w:color w:val="000000"/>
                <w:sz w:val="20"/>
                <w:szCs w:val="20"/>
              </w:rPr>
            </w:pPr>
            <w:r w:rsidRPr="002A063A">
              <w:rPr>
                <w:color w:val="000000"/>
                <w:sz w:val="20"/>
                <w:szCs w:val="20"/>
              </w:rPr>
              <w:t>Jena, Anupam B.; Goldman, Dana P.; Seabury, Seth A.</w:t>
            </w:r>
          </w:p>
        </w:tc>
        <w:tc>
          <w:tcPr>
            <w:tcW w:w="3690" w:type="dxa"/>
            <w:tcBorders>
              <w:bottom w:val="nil"/>
            </w:tcBorders>
            <w:shd w:val="clear" w:color="auto" w:fill="auto"/>
            <w:hideMark/>
          </w:tcPr>
          <w:p w14:paraId="00696C87" w14:textId="77777777" w:rsidR="006E5834" w:rsidRPr="002A063A" w:rsidRDefault="006E5834" w:rsidP="006D3132">
            <w:pPr>
              <w:rPr>
                <w:color w:val="000000"/>
                <w:sz w:val="20"/>
                <w:szCs w:val="20"/>
              </w:rPr>
            </w:pPr>
            <w:r w:rsidRPr="002A063A">
              <w:rPr>
                <w:color w:val="000000"/>
                <w:sz w:val="20"/>
                <w:szCs w:val="20"/>
              </w:rPr>
              <w:t>Incidence of sexually transmitted infections after human papillomavirus vaccination among adolescent females</w:t>
            </w:r>
          </w:p>
        </w:tc>
        <w:tc>
          <w:tcPr>
            <w:tcW w:w="1440" w:type="dxa"/>
            <w:tcBorders>
              <w:bottom w:val="nil"/>
            </w:tcBorders>
            <w:shd w:val="clear" w:color="auto" w:fill="auto"/>
            <w:noWrap/>
            <w:hideMark/>
          </w:tcPr>
          <w:p w14:paraId="677524F9" w14:textId="77777777" w:rsidR="006E5834" w:rsidRPr="002A063A" w:rsidRDefault="006E5834" w:rsidP="006D3132">
            <w:pPr>
              <w:rPr>
                <w:color w:val="000000"/>
                <w:sz w:val="20"/>
                <w:szCs w:val="20"/>
              </w:rPr>
            </w:pPr>
            <w:r w:rsidRPr="002A063A">
              <w:rPr>
                <w:color w:val="000000"/>
                <w:sz w:val="20"/>
                <w:szCs w:val="20"/>
              </w:rPr>
              <w:t>HPV</w:t>
            </w:r>
          </w:p>
        </w:tc>
      </w:tr>
      <w:tr w:rsidR="006E5834" w:rsidRPr="00C6712B" w14:paraId="7927CBD2" w14:textId="77777777" w:rsidTr="006D3132">
        <w:trPr>
          <w:trHeight w:val="680"/>
          <w:jc w:val="center"/>
        </w:trPr>
        <w:tc>
          <w:tcPr>
            <w:tcW w:w="720" w:type="dxa"/>
            <w:shd w:val="clear" w:color="auto" w:fill="auto"/>
            <w:noWrap/>
            <w:hideMark/>
          </w:tcPr>
          <w:p w14:paraId="6720E4FD" w14:textId="77777777" w:rsidR="006E5834" w:rsidRPr="002A063A" w:rsidRDefault="006E5834" w:rsidP="006D3132">
            <w:pPr>
              <w:jc w:val="right"/>
              <w:rPr>
                <w:color w:val="000000"/>
                <w:sz w:val="20"/>
                <w:szCs w:val="20"/>
              </w:rPr>
            </w:pPr>
            <w:r w:rsidRPr="002A063A">
              <w:rPr>
                <w:color w:val="000000"/>
                <w:sz w:val="20"/>
                <w:szCs w:val="20"/>
              </w:rPr>
              <w:t>2014</w:t>
            </w:r>
          </w:p>
        </w:tc>
        <w:tc>
          <w:tcPr>
            <w:tcW w:w="3420" w:type="dxa"/>
            <w:shd w:val="clear" w:color="auto" w:fill="auto"/>
            <w:hideMark/>
          </w:tcPr>
          <w:p w14:paraId="73FDB2F2" w14:textId="77777777" w:rsidR="006E5834" w:rsidRPr="00124033" w:rsidRDefault="006E5834" w:rsidP="006D3132">
            <w:pPr>
              <w:rPr>
                <w:color w:val="000000"/>
                <w:sz w:val="20"/>
                <w:szCs w:val="20"/>
                <w:lang w:val="fr-FR"/>
              </w:rPr>
            </w:pPr>
            <w:r w:rsidRPr="00124033">
              <w:rPr>
                <w:color w:val="000000"/>
                <w:sz w:val="20"/>
                <w:szCs w:val="20"/>
                <w:lang w:val="fr-FR"/>
              </w:rPr>
              <w:t>Kayibanda, Jeanne Françoise; Bitera, Raphaël; Demers, Eric; Moisan, Jocelyne; Alary, Michel</w:t>
            </w:r>
          </w:p>
        </w:tc>
        <w:tc>
          <w:tcPr>
            <w:tcW w:w="3690" w:type="dxa"/>
            <w:shd w:val="clear" w:color="auto" w:fill="auto"/>
            <w:hideMark/>
          </w:tcPr>
          <w:p w14:paraId="66C6E379" w14:textId="77777777" w:rsidR="006E5834" w:rsidRPr="002A063A" w:rsidRDefault="006E5834" w:rsidP="006D3132">
            <w:pPr>
              <w:rPr>
                <w:color w:val="000000"/>
                <w:sz w:val="20"/>
                <w:szCs w:val="20"/>
              </w:rPr>
            </w:pPr>
            <w:r w:rsidRPr="002A063A">
              <w:rPr>
                <w:color w:val="000000"/>
                <w:sz w:val="20"/>
                <w:szCs w:val="20"/>
              </w:rPr>
              <w:t>Sexual risk factors associated with intimate partner violence against women in Rwanda: a couples-based analysis</w:t>
            </w:r>
          </w:p>
        </w:tc>
        <w:tc>
          <w:tcPr>
            <w:tcW w:w="1440" w:type="dxa"/>
            <w:shd w:val="clear" w:color="auto" w:fill="auto"/>
            <w:noWrap/>
            <w:hideMark/>
          </w:tcPr>
          <w:p w14:paraId="77119902" w14:textId="77777777" w:rsidR="006E5834" w:rsidRPr="002A063A" w:rsidRDefault="006E5834" w:rsidP="006D3132">
            <w:pPr>
              <w:rPr>
                <w:color w:val="000000"/>
                <w:sz w:val="20"/>
                <w:szCs w:val="20"/>
              </w:rPr>
            </w:pPr>
            <w:r w:rsidRPr="002A063A">
              <w:rPr>
                <w:color w:val="000000"/>
                <w:sz w:val="20"/>
                <w:szCs w:val="20"/>
              </w:rPr>
              <w:t>Intimate partner violence</w:t>
            </w:r>
          </w:p>
        </w:tc>
      </w:tr>
      <w:tr w:rsidR="006E5834" w:rsidRPr="00C6712B" w14:paraId="646C1D37" w14:textId="77777777" w:rsidTr="006D3132">
        <w:trPr>
          <w:trHeight w:val="680"/>
          <w:jc w:val="center"/>
        </w:trPr>
        <w:tc>
          <w:tcPr>
            <w:tcW w:w="720" w:type="dxa"/>
            <w:shd w:val="clear" w:color="auto" w:fill="auto"/>
            <w:noWrap/>
            <w:hideMark/>
          </w:tcPr>
          <w:p w14:paraId="06C33F4A" w14:textId="77777777" w:rsidR="006E5834" w:rsidRPr="002A063A" w:rsidRDefault="006E5834" w:rsidP="006D3132">
            <w:pPr>
              <w:jc w:val="right"/>
              <w:rPr>
                <w:color w:val="000000"/>
                <w:sz w:val="20"/>
                <w:szCs w:val="20"/>
              </w:rPr>
            </w:pPr>
            <w:r w:rsidRPr="002A063A">
              <w:rPr>
                <w:color w:val="000000"/>
                <w:sz w:val="20"/>
                <w:szCs w:val="20"/>
              </w:rPr>
              <w:t>2002</w:t>
            </w:r>
          </w:p>
        </w:tc>
        <w:tc>
          <w:tcPr>
            <w:tcW w:w="3420" w:type="dxa"/>
            <w:shd w:val="clear" w:color="auto" w:fill="auto"/>
            <w:hideMark/>
          </w:tcPr>
          <w:p w14:paraId="0B5FA113" w14:textId="77777777" w:rsidR="006E5834" w:rsidRPr="002A063A" w:rsidRDefault="006E5834" w:rsidP="006D3132">
            <w:pPr>
              <w:rPr>
                <w:color w:val="000000"/>
                <w:sz w:val="20"/>
                <w:szCs w:val="20"/>
              </w:rPr>
            </w:pPr>
            <w:r w:rsidRPr="002A063A">
              <w:rPr>
                <w:color w:val="000000"/>
                <w:sz w:val="20"/>
                <w:szCs w:val="20"/>
              </w:rPr>
              <w:t>Korenromp, Eline L.; Bakker, Roel; De Vlas, Sake J.; Robinson, N. Jamie; Hayes, Richard; Habbema, J. Dik F.</w:t>
            </w:r>
          </w:p>
        </w:tc>
        <w:tc>
          <w:tcPr>
            <w:tcW w:w="3690" w:type="dxa"/>
            <w:shd w:val="clear" w:color="auto" w:fill="auto"/>
            <w:hideMark/>
          </w:tcPr>
          <w:p w14:paraId="6EB3094D" w14:textId="77777777" w:rsidR="006E5834" w:rsidRPr="002A063A" w:rsidRDefault="006E5834" w:rsidP="006D3132">
            <w:pPr>
              <w:rPr>
                <w:color w:val="000000"/>
                <w:sz w:val="20"/>
                <w:szCs w:val="20"/>
              </w:rPr>
            </w:pPr>
            <w:r w:rsidRPr="002A063A">
              <w:rPr>
                <w:color w:val="000000"/>
                <w:sz w:val="20"/>
                <w:szCs w:val="20"/>
              </w:rPr>
              <w:t>Can behavior change explain increases in the proportion of genital ulcers attributable to herpes in sub-Saharan Africa? A simulation modeling study</w:t>
            </w:r>
          </w:p>
        </w:tc>
        <w:tc>
          <w:tcPr>
            <w:tcW w:w="1440" w:type="dxa"/>
            <w:shd w:val="clear" w:color="auto" w:fill="auto"/>
            <w:noWrap/>
            <w:hideMark/>
          </w:tcPr>
          <w:p w14:paraId="6578C00A"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655B7758" w14:textId="77777777" w:rsidTr="006D3132">
        <w:trPr>
          <w:trHeight w:val="1020"/>
          <w:jc w:val="center"/>
        </w:trPr>
        <w:tc>
          <w:tcPr>
            <w:tcW w:w="720" w:type="dxa"/>
            <w:shd w:val="clear" w:color="auto" w:fill="auto"/>
            <w:noWrap/>
            <w:hideMark/>
          </w:tcPr>
          <w:p w14:paraId="22A9C22A" w14:textId="77777777" w:rsidR="006E5834" w:rsidRPr="002A063A" w:rsidRDefault="006E5834" w:rsidP="006D3132">
            <w:pPr>
              <w:jc w:val="right"/>
              <w:rPr>
                <w:color w:val="000000"/>
                <w:sz w:val="20"/>
                <w:szCs w:val="20"/>
              </w:rPr>
            </w:pPr>
            <w:r w:rsidRPr="002A063A">
              <w:rPr>
                <w:color w:val="000000"/>
                <w:sz w:val="20"/>
                <w:szCs w:val="20"/>
              </w:rPr>
              <w:t>2018</w:t>
            </w:r>
          </w:p>
        </w:tc>
        <w:tc>
          <w:tcPr>
            <w:tcW w:w="3420" w:type="dxa"/>
            <w:shd w:val="clear" w:color="auto" w:fill="auto"/>
            <w:hideMark/>
          </w:tcPr>
          <w:p w14:paraId="658A9069" w14:textId="77777777" w:rsidR="006E5834" w:rsidRPr="002A063A" w:rsidRDefault="006E5834" w:rsidP="006D3132">
            <w:pPr>
              <w:rPr>
                <w:color w:val="000000"/>
                <w:sz w:val="20"/>
                <w:szCs w:val="20"/>
              </w:rPr>
            </w:pPr>
            <w:r w:rsidRPr="002A063A">
              <w:rPr>
                <w:color w:val="000000"/>
                <w:sz w:val="20"/>
                <w:szCs w:val="20"/>
              </w:rPr>
              <w:t>Kurscheidt, Fábio A.; Damke, Edilson; Bento, Jaqueline C.; Balani, Valério A.; Takeda, Karen I.; Piva, Sérgio; Piva, João P.; Irie, Mary M. T.; Gimenes, Fabrícia; Consolaro, Marcia E. L.</w:t>
            </w:r>
          </w:p>
        </w:tc>
        <w:tc>
          <w:tcPr>
            <w:tcW w:w="3690" w:type="dxa"/>
            <w:shd w:val="clear" w:color="auto" w:fill="auto"/>
            <w:hideMark/>
          </w:tcPr>
          <w:p w14:paraId="0FD2ED1B" w14:textId="77777777" w:rsidR="006E5834" w:rsidRPr="002A063A" w:rsidRDefault="006E5834" w:rsidP="006D3132">
            <w:pPr>
              <w:rPr>
                <w:color w:val="000000"/>
                <w:sz w:val="20"/>
                <w:szCs w:val="20"/>
              </w:rPr>
            </w:pPr>
            <w:r w:rsidRPr="002A063A">
              <w:rPr>
                <w:color w:val="000000"/>
                <w:sz w:val="20"/>
                <w:szCs w:val="20"/>
              </w:rPr>
              <w:t>Effects of Herpes Simplex Virus Infections on Seminal Parameters in Male Partners of Infertile Couples</w:t>
            </w:r>
          </w:p>
        </w:tc>
        <w:tc>
          <w:tcPr>
            <w:tcW w:w="1440" w:type="dxa"/>
            <w:shd w:val="clear" w:color="auto" w:fill="auto"/>
            <w:noWrap/>
            <w:hideMark/>
          </w:tcPr>
          <w:p w14:paraId="29DED9EF" w14:textId="77777777" w:rsidR="006E5834" w:rsidRPr="002A063A" w:rsidRDefault="006E5834" w:rsidP="006D3132">
            <w:pPr>
              <w:rPr>
                <w:color w:val="000000"/>
                <w:sz w:val="20"/>
                <w:szCs w:val="20"/>
              </w:rPr>
            </w:pPr>
            <w:r w:rsidRPr="002A063A">
              <w:rPr>
                <w:color w:val="000000"/>
                <w:sz w:val="20"/>
                <w:szCs w:val="20"/>
              </w:rPr>
              <w:t>Infertility</w:t>
            </w:r>
          </w:p>
        </w:tc>
      </w:tr>
      <w:tr w:rsidR="006E5834" w:rsidRPr="00C6712B" w14:paraId="71BEC6FC" w14:textId="77777777" w:rsidTr="006D3132">
        <w:trPr>
          <w:trHeight w:val="340"/>
          <w:jc w:val="center"/>
        </w:trPr>
        <w:tc>
          <w:tcPr>
            <w:tcW w:w="720" w:type="dxa"/>
            <w:tcBorders>
              <w:bottom w:val="nil"/>
            </w:tcBorders>
            <w:shd w:val="clear" w:color="auto" w:fill="auto"/>
            <w:noWrap/>
            <w:hideMark/>
          </w:tcPr>
          <w:p w14:paraId="00FE5CCA" w14:textId="77777777" w:rsidR="006E5834" w:rsidRPr="002A063A" w:rsidRDefault="006E5834" w:rsidP="006D3132">
            <w:pPr>
              <w:jc w:val="right"/>
              <w:rPr>
                <w:color w:val="000000"/>
                <w:sz w:val="20"/>
                <w:szCs w:val="20"/>
              </w:rPr>
            </w:pPr>
            <w:r w:rsidRPr="002A063A">
              <w:rPr>
                <w:color w:val="000000"/>
                <w:sz w:val="20"/>
                <w:szCs w:val="20"/>
              </w:rPr>
              <w:t>1993</w:t>
            </w:r>
          </w:p>
        </w:tc>
        <w:tc>
          <w:tcPr>
            <w:tcW w:w="3420" w:type="dxa"/>
            <w:tcBorders>
              <w:bottom w:val="nil"/>
            </w:tcBorders>
            <w:shd w:val="clear" w:color="auto" w:fill="auto"/>
            <w:hideMark/>
          </w:tcPr>
          <w:p w14:paraId="393A617D" w14:textId="77777777" w:rsidR="006E5834" w:rsidRPr="002A063A" w:rsidRDefault="006E5834" w:rsidP="006D3132">
            <w:pPr>
              <w:rPr>
                <w:color w:val="000000"/>
                <w:sz w:val="20"/>
                <w:szCs w:val="20"/>
              </w:rPr>
            </w:pPr>
            <w:r w:rsidRPr="002A063A">
              <w:rPr>
                <w:color w:val="000000"/>
                <w:sz w:val="20"/>
                <w:szCs w:val="20"/>
              </w:rPr>
              <w:t>Leenaars, P. E. M.; Rombouts, R.; Kok, G.</w:t>
            </w:r>
          </w:p>
        </w:tc>
        <w:tc>
          <w:tcPr>
            <w:tcW w:w="3690" w:type="dxa"/>
            <w:tcBorders>
              <w:bottom w:val="nil"/>
            </w:tcBorders>
            <w:shd w:val="clear" w:color="auto" w:fill="auto"/>
            <w:hideMark/>
          </w:tcPr>
          <w:p w14:paraId="0FBAC36B" w14:textId="77777777" w:rsidR="006E5834" w:rsidRPr="002A063A" w:rsidRDefault="006E5834" w:rsidP="006D3132">
            <w:pPr>
              <w:rPr>
                <w:color w:val="000000"/>
                <w:sz w:val="20"/>
                <w:szCs w:val="20"/>
              </w:rPr>
            </w:pPr>
            <w:r w:rsidRPr="002A063A">
              <w:rPr>
                <w:color w:val="000000"/>
                <w:sz w:val="20"/>
                <w:szCs w:val="20"/>
              </w:rPr>
              <w:t>Seeking medical care for a Sexually Transmitted Disease: Determinants of delay-behavior</w:t>
            </w:r>
          </w:p>
        </w:tc>
        <w:tc>
          <w:tcPr>
            <w:tcW w:w="1440" w:type="dxa"/>
            <w:tcBorders>
              <w:bottom w:val="nil"/>
            </w:tcBorders>
            <w:shd w:val="clear" w:color="auto" w:fill="auto"/>
            <w:noWrap/>
            <w:hideMark/>
          </w:tcPr>
          <w:p w14:paraId="0AE797FF"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2FB895B8" w14:textId="77777777" w:rsidTr="006D3132">
        <w:trPr>
          <w:trHeight w:val="1020"/>
          <w:jc w:val="center"/>
        </w:trPr>
        <w:tc>
          <w:tcPr>
            <w:tcW w:w="720" w:type="dxa"/>
            <w:shd w:val="clear" w:color="auto" w:fill="auto"/>
            <w:noWrap/>
            <w:hideMark/>
          </w:tcPr>
          <w:p w14:paraId="3EE497F9" w14:textId="77777777" w:rsidR="006E5834" w:rsidRPr="002A063A" w:rsidRDefault="006E5834" w:rsidP="006D3132">
            <w:pPr>
              <w:jc w:val="right"/>
              <w:rPr>
                <w:color w:val="000000"/>
                <w:sz w:val="20"/>
                <w:szCs w:val="20"/>
              </w:rPr>
            </w:pPr>
            <w:r w:rsidRPr="002A063A">
              <w:rPr>
                <w:color w:val="000000"/>
                <w:sz w:val="20"/>
                <w:szCs w:val="20"/>
              </w:rPr>
              <w:t>2011</w:t>
            </w:r>
          </w:p>
        </w:tc>
        <w:tc>
          <w:tcPr>
            <w:tcW w:w="3420" w:type="dxa"/>
            <w:shd w:val="clear" w:color="auto" w:fill="auto"/>
            <w:hideMark/>
          </w:tcPr>
          <w:p w14:paraId="62A710FC" w14:textId="77777777" w:rsidR="006E5834" w:rsidRPr="002A063A" w:rsidRDefault="006E5834" w:rsidP="006D3132">
            <w:pPr>
              <w:rPr>
                <w:color w:val="000000"/>
                <w:sz w:val="20"/>
                <w:szCs w:val="20"/>
              </w:rPr>
            </w:pPr>
            <w:r w:rsidRPr="002A063A">
              <w:rPr>
                <w:color w:val="000000"/>
                <w:sz w:val="20"/>
                <w:szCs w:val="20"/>
              </w:rPr>
              <w:t>Leichliter, Jami S.; Lewis, David A.; Sternberg, Maya; Habel, Melissa A.; Paz-Bailey, Gabriela</w:t>
            </w:r>
          </w:p>
        </w:tc>
        <w:tc>
          <w:tcPr>
            <w:tcW w:w="3690" w:type="dxa"/>
            <w:shd w:val="clear" w:color="auto" w:fill="auto"/>
            <w:hideMark/>
          </w:tcPr>
          <w:p w14:paraId="3E43721B" w14:textId="77777777" w:rsidR="006E5834" w:rsidRPr="002A063A" w:rsidRDefault="006E5834" w:rsidP="006D3132">
            <w:pPr>
              <w:rPr>
                <w:color w:val="000000"/>
                <w:sz w:val="20"/>
                <w:szCs w:val="20"/>
              </w:rPr>
            </w:pPr>
            <w:r w:rsidRPr="002A063A">
              <w:rPr>
                <w:color w:val="000000"/>
                <w:sz w:val="20"/>
                <w:szCs w:val="20"/>
              </w:rPr>
              <w:t>Health Care Seeking Among Men With Genital Ulcer Disease in South Africa: Correlates and Relationship to Human Immunodeficiency Virus-1 and Herpes Simplex Virus Type 2 Detection and Shedding:</w:t>
            </w:r>
          </w:p>
        </w:tc>
        <w:tc>
          <w:tcPr>
            <w:tcW w:w="1440" w:type="dxa"/>
            <w:shd w:val="clear" w:color="auto" w:fill="auto"/>
            <w:noWrap/>
            <w:hideMark/>
          </w:tcPr>
          <w:p w14:paraId="3C7D587D" w14:textId="77777777" w:rsidR="006E5834" w:rsidRPr="002A063A" w:rsidRDefault="006E5834" w:rsidP="006D3132">
            <w:pPr>
              <w:rPr>
                <w:color w:val="000000"/>
                <w:sz w:val="20"/>
                <w:szCs w:val="20"/>
              </w:rPr>
            </w:pPr>
            <w:r w:rsidRPr="002A063A">
              <w:rPr>
                <w:color w:val="000000"/>
                <w:sz w:val="20"/>
                <w:szCs w:val="20"/>
              </w:rPr>
              <w:t>HIV</w:t>
            </w:r>
          </w:p>
        </w:tc>
      </w:tr>
      <w:tr w:rsidR="006E5834" w:rsidRPr="00C6712B" w14:paraId="499541AF" w14:textId="77777777" w:rsidTr="006D3132">
        <w:trPr>
          <w:trHeight w:val="1020"/>
          <w:jc w:val="center"/>
        </w:trPr>
        <w:tc>
          <w:tcPr>
            <w:tcW w:w="720" w:type="dxa"/>
            <w:shd w:val="clear" w:color="auto" w:fill="auto"/>
            <w:noWrap/>
            <w:hideMark/>
          </w:tcPr>
          <w:p w14:paraId="5754734F" w14:textId="77777777" w:rsidR="006E5834" w:rsidRPr="002A063A" w:rsidRDefault="006E5834" w:rsidP="006D3132">
            <w:pPr>
              <w:jc w:val="right"/>
              <w:rPr>
                <w:color w:val="000000"/>
                <w:sz w:val="20"/>
                <w:szCs w:val="20"/>
              </w:rPr>
            </w:pPr>
            <w:r w:rsidRPr="002A063A">
              <w:rPr>
                <w:color w:val="000000"/>
                <w:sz w:val="20"/>
                <w:szCs w:val="20"/>
              </w:rPr>
              <w:t>2011</w:t>
            </w:r>
          </w:p>
        </w:tc>
        <w:tc>
          <w:tcPr>
            <w:tcW w:w="3420" w:type="dxa"/>
            <w:shd w:val="clear" w:color="auto" w:fill="auto"/>
            <w:hideMark/>
          </w:tcPr>
          <w:p w14:paraId="5DD871C4" w14:textId="77777777" w:rsidR="006E5834" w:rsidRPr="002A063A" w:rsidRDefault="006E5834" w:rsidP="006D3132">
            <w:pPr>
              <w:rPr>
                <w:color w:val="000000"/>
                <w:sz w:val="20"/>
                <w:szCs w:val="20"/>
              </w:rPr>
            </w:pPr>
            <w:r w:rsidRPr="002A063A">
              <w:rPr>
                <w:color w:val="000000"/>
                <w:sz w:val="20"/>
                <w:szCs w:val="20"/>
              </w:rPr>
              <w:t>Leichliter, Jami S.; Lewis, David A.; Sternberg, Maya; Habel, Melissa A.; Paz-Bailey, Gabriela</w:t>
            </w:r>
          </w:p>
        </w:tc>
        <w:tc>
          <w:tcPr>
            <w:tcW w:w="3690" w:type="dxa"/>
            <w:shd w:val="clear" w:color="auto" w:fill="auto"/>
            <w:hideMark/>
          </w:tcPr>
          <w:p w14:paraId="539164C3" w14:textId="77777777" w:rsidR="006E5834" w:rsidRPr="002A063A" w:rsidRDefault="006E5834" w:rsidP="006D3132">
            <w:pPr>
              <w:rPr>
                <w:color w:val="000000"/>
                <w:sz w:val="20"/>
                <w:szCs w:val="20"/>
              </w:rPr>
            </w:pPr>
            <w:r w:rsidRPr="002A063A">
              <w:rPr>
                <w:color w:val="000000"/>
                <w:sz w:val="20"/>
                <w:szCs w:val="20"/>
              </w:rPr>
              <w:t>Health Care Seeking Among Men With Genital Ulcer Disease in South Africa: Correlates and Relationship to Human Immunodeficiency Virus-1 and Herpes Simplex Virus Type 2 Detection and Shedding:</w:t>
            </w:r>
          </w:p>
        </w:tc>
        <w:tc>
          <w:tcPr>
            <w:tcW w:w="1440" w:type="dxa"/>
            <w:shd w:val="clear" w:color="auto" w:fill="auto"/>
            <w:noWrap/>
            <w:hideMark/>
          </w:tcPr>
          <w:p w14:paraId="0BD370A6"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7759ADAB" w14:textId="77777777" w:rsidTr="006D3132">
        <w:trPr>
          <w:trHeight w:val="680"/>
          <w:jc w:val="center"/>
        </w:trPr>
        <w:tc>
          <w:tcPr>
            <w:tcW w:w="720" w:type="dxa"/>
            <w:shd w:val="clear" w:color="auto" w:fill="auto"/>
            <w:noWrap/>
            <w:hideMark/>
          </w:tcPr>
          <w:p w14:paraId="7E05A4F2" w14:textId="77777777" w:rsidR="006E5834" w:rsidRPr="002A063A" w:rsidRDefault="006E5834" w:rsidP="006D3132">
            <w:pPr>
              <w:jc w:val="right"/>
              <w:rPr>
                <w:color w:val="000000"/>
                <w:sz w:val="20"/>
                <w:szCs w:val="20"/>
              </w:rPr>
            </w:pPr>
            <w:r w:rsidRPr="002A063A">
              <w:rPr>
                <w:color w:val="000000"/>
                <w:sz w:val="20"/>
                <w:szCs w:val="20"/>
              </w:rPr>
              <w:t>2012</w:t>
            </w:r>
          </w:p>
        </w:tc>
        <w:tc>
          <w:tcPr>
            <w:tcW w:w="3420" w:type="dxa"/>
            <w:shd w:val="clear" w:color="auto" w:fill="auto"/>
            <w:hideMark/>
          </w:tcPr>
          <w:p w14:paraId="3995D7F8" w14:textId="77777777" w:rsidR="006E5834" w:rsidRPr="002A063A" w:rsidRDefault="006E5834" w:rsidP="006D3132">
            <w:pPr>
              <w:rPr>
                <w:color w:val="000000"/>
                <w:sz w:val="20"/>
                <w:szCs w:val="20"/>
              </w:rPr>
            </w:pPr>
            <w:r w:rsidRPr="002A063A">
              <w:rPr>
                <w:color w:val="000000"/>
                <w:sz w:val="20"/>
                <w:szCs w:val="20"/>
              </w:rPr>
              <w:t>Makasa, Mpundu; Fylkesnes, Knut; Sandøy, Ingvild F.</w:t>
            </w:r>
          </w:p>
        </w:tc>
        <w:tc>
          <w:tcPr>
            <w:tcW w:w="3690" w:type="dxa"/>
            <w:shd w:val="clear" w:color="auto" w:fill="auto"/>
            <w:hideMark/>
          </w:tcPr>
          <w:p w14:paraId="448B08E7" w14:textId="77777777" w:rsidR="006E5834" w:rsidRPr="002A063A" w:rsidRDefault="006E5834" w:rsidP="006D3132">
            <w:pPr>
              <w:rPr>
                <w:color w:val="000000"/>
                <w:sz w:val="20"/>
                <w:szCs w:val="20"/>
              </w:rPr>
            </w:pPr>
            <w:r w:rsidRPr="002A063A">
              <w:rPr>
                <w:color w:val="000000"/>
                <w:sz w:val="20"/>
                <w:szCs w:val="20"/>
              </w:rPr>
              <w:t>Risk factors, healthcare-seeking and sexual behaviour among patients with genital ulcers in Zambia</w:t>
            </w:r>
          </w:p>
        </w:tc>
        <w:tc>
          <w:tcPr>
            <w:tcW w:w="1440" w:type="dxa"/>
            <w:shd w:val="clear" w:color="auto" w:fill="auto"/>
            <w:noWrap/>
            <w:hideMark/>
          </w:tcPr>
          <w:p w14:paraId="24E16E85"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78FD8105" w14:textId="77777777" w:rsidTr="006D3132">
        <w:trPr>
          <w:trHeight w:val="340"/>
          <w:jc w:val="center"/>
        </w:trPr>
        <w:tc>
          <w:tcPr>
            <w:tcW w:w="720" w:type="dxa"/>
            <w:shd w:val="clear" w:color="auto" w:fill="auto"/>
            <w:noWrap/>
            <w:hideMark/>
          </w:tcPr>
          <w:p w14:paraId="466872A8" w14:textId="77777777" w:rsidR="006E5834" w:rsidRPr="002A063A" w:rsidRDefault="006E5834" w:rsidP="006D3132">
            <w:pPr>
              <w:jc w:val="right"/>
              <w:rPr>
                <w:color w:val="000000"/>
                <w:sz w:val="20"/>
                <w:szCs w:val="20"/>
              </w:rPr>
            </w:pPr>
            <w:r w:rsidRPr="002A063A">
              <w:rPr>
                <w:color w:val="000000"/>
                <w:sz w:val="20"/>
                <w:szCs w:val="20"/>
              </w:rPr>
              <w:t>2011</w:t>
            </w:r>
          </w:p>
        </w:tc>
        <w:tc>
          <w:tcPr>
            <w:tcW w:w="3420" w:type="dxa"/>
            <w:shd w:val="clear" w:color="auto" w:fill="auto"/>
            <w:hideMark/>
          </w:tcPr>
          <w:p w14:paraId="3003627C" w14:textId="77777777" w:rsidR="006E5834" w:rsidRPr="002A063A" w:rsidRDefault="006E5834" w:rsidP="006D3132">
            <w:pPr>
              <w:rPr>
                <w:color w:val="000000"/>
                <w:sz w:val="20"/>
                <w:szCs w:val="20"/>
              </w:rPr>
            </w:pPr>
            <w:r w:rsidRPr="002A063A">
              <w:rPr>
                <w:color w:val="000000"/>
                <w:sz w:val="20"/>
                <w:szCs w:val="20"/>
              </w:rPr>
              <w:t>Merin, Abigail; Pachankis, John E.</w:t>
            </w:r>
          </w:p>
        </w:tc>
        <w:tc>
          <w:tcPr>
            <w:tcW w:w="3690" w:type="dxa"/>
            <w:shd w:val="clear" w:color="auto" w:fill="auto"/>
            <w:hideMark/>
          </w:tcPr>
          <w:p w14:paraId="0CE60584" w14:textId="77777777" w:rsidR="006E5834" w:rsidRPr="002A063A" w:rsidRDefault="006E5834" w:rsidP="006D3132">
            <w:pPr>
              <w:rPr>
                <w:color w:val="000000"/>
                <w:sz w:val="20"/>
                <w:szCs w:val="20"/>
              </w:rPr>
            </w:pPr>
            <w:r w:rsidRPr="002A063A">
              <w:rPr>
                <w:color w:val="000000"/>
                <w:sz w:val="20"/>
                <w:szCs w:val="20"/>
              </w:rPr>
              <w:t>The psychological impact of genital herpes stigma</w:t>
            </w:r>
          </w:p>
        </w:tc>
        <w:tc>
          <w:tcPr>
            <w:tcW w:w="1440" w:type="dxa"/>
            <w:shd w:val="clear" w:color="auto" w:fill="auto"/>
            <w:noWrap/>
            <w:hideMark/>
          </w:tcPr>
          <w:p w14:paraId="6F6E63F4" w14:textId="77777777" w:rsidR="006E5834" w:rsidRPr="002A063A" w:rsidRDefault="006E5834" w:rsidP="006D3132">
            <w:pPr>
              <w:rPr>
                <w:color w:val="000000"/>
                <w:sz w:val="20"/>
                <w:szCs w:val="20"/>
              </w:rPr>
            </w:pPr>
            <w:r w:rsidRPr="002A063A">
              <w:rPr>
                <w:color w:val="000000"/>
                <w:sz w:val="20"/>
                <w:szCs w:val="20"/>
              </w:rPr>
              <w:t>Psychological</w:t>
            </w:r>
          </w:p>
        </w:tc>
      </w:tr>
      <w:tr w:rsidR="006E5834" w:rsidRPr="00C6712B" w14:paraId="0397DFB2" w14:textId="77777777" w:rsidTr="006D3132">
        <w:trPr>
          <w:trHeight w:val="680"/>
          <w:jc w:val="center"/>
        </w:trPr>
        <w:tc>
          <w:tcPr>
            <w:tcW w:w="720" w:type="dxa"/>
            <w:shd w:val="clear" w:color="auto" w:fill="auto"/>
            <w:noWrap/>
            <w:hideMark/>
          </w:tcPr>
          <w:p w14:paraId="304BA6E9" w14:textId="77777777" w:rsidR="006E5834" w:rsidRPr="002A063A" w:rsidRDefault="006E5834" w:rsidP="006D3132">
            <w:pPr>
              <w:jc w:val="right"/>
              <w:rPr>
                <w:color w:val="000000"/>
                <w:sz w:val="20"/>
                <w:szCs w:val="20"/>
              </w:rPr>
            </w:pPr>
            <w:r w:rsidRPr="002A063A">
              <w:rPr>
                <w:color w:val="000000"/>
                <w:sz w:val="20"/>
                <w:szCs w:val="20"/>
              </w:rPr>
              <w:lastRenderedPageBreak/>
              <w:t>2000</w:t>
            </w:r>
          </w:p>
        </w:tc>
        <w:tc>
          <w:tcPr>
            <w:tcW w:w="3420" w:type="dxa"/>
            <w:shd w:val="clear" w:color="auto" w:fill="auto"/>
            <w:hideMark/>
          </w:tcPr>
          <w:p w14:paraId="614F097E" w14:textId="77777777" w:rsidR="006E5834" w:rsidRPr="002A063A" w:rsidRDefault="006E5834" w:rsidP="006D3132">
            <w:pPr>
              <w:rPr>
                <w:color w:val="000000"/>
                <w:sz w:val="20"/>
                <w:szCs w:val="20"/>
              </w:rPr>
            </w:pPr>
            <w:r w:rsidRPr="002A063A">
              <w:rPr>
                <w:color w:val="000000"/>
                <w:sz w:val="20"/>
                <w:szCs w:val="20"/>
              </w:rPr>
              <w:t>Meyer-Weitz, A.; Reddy, P.; Van den Borne, H. W.; Kok, G.; Pietersen, J.</w:t>
            </w:r>
          </w:p>
        </w:tc>
        <w:tc>
          <w:tcPr>
            <w:tcW w:w="3690" w:type="dxa"/>
            <w:shd w:val="clear" w:color="auto" w:fill="auto"/>
            <w:hideMark/>
          </w:tcPr>
          <w:p w14:paraId="302C003D" w14:textId="77777777" w:rsidR="006E5834" w:rsidRPr="002A063A" w:rsidRDefault="006E5834" w:rsidP="006D3132">
            <w:pPr>
              <w:rPr>
                <w:color w:val="000000"/>
                <w:sz w:val="20"/>
                <w:szCs w:val="20"/>
              </w:rPr>
            </w:pPr>
            <w:r w:rsidRPr="002A063A">
              <w:rPr>
                <w:color w:val="000000"/>
                <w:sz w:val="20"/>
                <w:szCs w:val="20"/>
              </w:rPr>
              <w:t>Health care seeking behaviour of patients with sexually transmitted diseases: determinants of delay behaviour</w:t>
            </w:r>
          </w:p>
        </w:tc>
        <w:tc>
          <w:tcPr>
            <w:tcW w:w="1440" w:type="dxa"/>
            <w:shd w:val="clear" w:color="auto" w:fill="auto"/>
            <w:noWrap/>
            <w:hideMark/>
          </w:tcPr>
          <w:p w14:paraId="2311F95B"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3A7B2074" w14:textId="77777777" w:rsidTr="006D3132">
        <w:trPr>
          <w:trHeight w:val="680"/>
          <w:jc w:val="center"/>
        </w:trPr>
        <w:tc>
          <w:tcPr>
            <w:tcW w:w="720" w:type="dxa"/>
            <w:shd w:val="clear" w:color="auto" w:fill="auto"/>
            <w:noWrap/>
            <w:hideMark/>
          </w:tcPr>
          <w:p w14:paraId="746D55A6" w14:textId="77777777" w:rsidR="006E5834" w:rsidRPr="002A063A" w:rsidRDefault="006E5834" w:rsidP="006D3132">
            <w:pPr>
              <w:jc w:val="right"/>
              <w:rPr>
                <w:color w:val="000000"/>
                <w:sz w:val="20"/>
                <w:szCs w:val="20"/>
              </w:rPr>
            </w:pPr>
            <w:r w:rsidRPr="002A063A">
              <w:rPr>
                <w:color w:val="000000"/>
                <w:sz w:val="20"/>
                <w:szCs w:val="20"/>
              </w:rPr>
              <w:t>2001</w:t>
            </w:r>
          </w:p>
        </w:tc>
        <w:tc>
          <w:tcPr>
            <w:tcW w:w="3420" w:type="dxa"/>
            <w:shd w:val="clear" w:color="auto" w:fill="auto"/>
            <w:hideMark/>
          </w:tcPr>
          <w:p w14:paraId="217BC508" w14:textId="77777777" w:rsidR="006E5834" w:rsidRPr="002A063A" w:rsidRDefault="006E5834" w:rsidP="006D3132">
            <w:pPr>
              <w:rPr>
                <w:color w:val="000000"/>
                <w:sz w:val="20"/>
                <w:szCs w:val="20"/>
              </w:rPr>
            </w:pPr>
            <w:r w:rsidRPr="002A063A">
              <w:rPr>
                <w:color w:val="000000"/>
                <w:sz w:val="20"/>
                <w:szCs w:val="20"/>
              </w:rPr>
              <w:t>Morgan, D.; Mahe, C.; Okongo, J. M.; Mayanja, B.; Whitworth, J. A.</w:t>
            </w:r>
          </w:p>
        </w:tc>
        <w:tc>
          <w:tcPr>
            <w:tcW w:w="3690" w:type="dxa"/>
            <w:shd w:val="clear" w:color="auto" w:fill="auto"/>
            <w:hideMark/>
          </w:tcPr>
          <w:p w14:paraId="244283F9" w14:textId="77777777" w:rsidR="006E5834" w:rsidRPr="002A063A" w:rsidRDefault="006E5834" w:rsidP="006D3132">
            <w:pPr>
              <w:rPr>
                <w:color w:val="000000"/>
                <w:sz w:val="20"/>
                <w:szCs w:val="20"/>
              </w:rPr>
            </w:pPr>
            <w:r w:rsidRPr="002A063A">
              <w:rPr>
                <w:color w:val="000000"/>
                <w:sz w:val="20"/>
                <w:szCs w:val="20"/>
              </w:rPr>
              <w:t>Genital ulceration in rural Uganda: sexual activity, treatment-seeking behavior, and the implications for HIV control</w:t>
            </w:r>
          </w:p>
        </w:tc>
        <w:tc>
          <w:tcPr>
            <w:tcW w:w="1440" w:type="dxa"/>
            <w:shd w:val="clear" w:color="auto" w:fill="auto"/>
            <w:noWrap/>
            <w:hideMark/>
          </w:tcPr>
          <w:p w14:paraId="26CDA68C"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7B84B186" w14:textId="77777777" w:rsidTr="006D3132">
        <w:trPr>
          <w:trHeight w:val="680"/>
          <w:jc w:val="center"/>
        </w:trPr>
        <w:tc>
          <w:tcPr>
            <w:tcW w:w="720" w:type="dxa"/>
            <w:shd w:val="clear" w:color="auto" w:fill="auto"/>
            <w:noWrap/>
            <w:hideMark/>
          </w:tcPr>
          <w:p w14:paraId="2098C295" w14:textId="77777777" w:rsidR="006E5834" w:rsidRPr="002A063A" w:rsidRDefault="006E5834" w:rsidP="006D3132">
            <w:pPr>
              <w:jc w:val="right"/>
              <w:rPr>
                <w:color w:val="000000"/>
                <w:sz w:val="20"/>
                <w:szCs w:val="20"/>
              </w:rPr>
            </w:pPr>
            <w:r w:rsidRPr="002A063A">
              <w:rPr>
                <w:color w:val="000000"/>
                <w:sz w:val="20"/>
                <w:szCs w:val="20"/>
              </w:rPr>
              <w:t>2007</w:t>
            </w:r>
          </w:p>
        </w:tc>
        <w:tc>
          <w:tcPr>
            <w:tcW w:w="3420" w:type="dxa"/>
            <w:shd w:val="clear" w:color="auto" w:fill="auto"/>
            <w:hideMark/>
          </w:tcPr>
          <w:p w14:paraId="1F6D89B3" w14:textId="77777777" w:rsidR="006E5834" w:rsidRPr="002A063A" w:rsidRDefault="006E5834" w:rsidP="006D3132">
            <w:pPr>
              <w:rPr>
                <w:color w:val="000000"/>
                <w:sz w:val="20"/>
                <w:szCs w:val="20"/>
              </w:rPr>
            </w:pPr>
            <w:r w:rsidRPr="002A063A">
              <w:rPr>
                <w:color w:val="000000"/>
                <w:sz w:val="20"/>
                <w:szCs w:val="20"/>
              </w:rPr>
              <w:t>Morris, Chester N; Ferguson, Alan G</w:t>
            </w:r>
          </w:p>
        </w:tc>
        <w:tc>
          <w:tcPr>
            <w:tcW w:w="3690" w:type="dxa"/>
            <w:shd w:val="clear" w:color="auto" w:fill="auto"/>
            <w:hideMark/>
          </w:tcPr>
          <w:p w14:paraId="48485B03" w14:textId="77777777" w:rsidR="006E5834" w:rsidRPr="002A063A" w:rsidRDefault="006E5834" w:rsidP="006D3132">
            <w:pPr>
              <w:rPr>
                <w:color w:val="000000"/>
                <w:sz w:val="20"/>
                <w:szCs w:val="20"/>
              </w:rPr>
            </w:pPr>
            <w:r w:rsidRPr="002A063A">
              <w:rPr>
                <w:color w:val="000000"/>
                <w:sz w:val="20"/>
                <w:szCs w:val="20"/>
              </w:rPr>
              <w:t>Sexual and treatment</w:t>
            </w:r>
            <w:r w:rsidRPr="002A063A">
              <w:rPr>
                <w:rFonts w:ascii="Cambria Math" w:hAnsi="Cambria Math" w:cs="Cambria Math"/>
                <w:color w:val="000000"/>
                <w:sz w:val="20"/>
                <w:szCs w:val="20"/>
              </w:rPr>
              <w:t>‐</w:t>
            </w:r>
            <w:r w:rsidRPr="002A063A">
              <w:rPr>
                <w:color w:val="000000"/>
                <w:sz w:val="20"/>
                <w:szCs w:val="20"/>
              </w:rPr>
              <w:t>seeking behaviour for sexually transmitted infection in long</w:t>
            </w:r>
            <w:r w:rsidRPr="002A063A">
              <w:rPr>
                <w:rFonts w:ascii="Cambria Math" w:hAnsi="Cambria Math" w:cs="Cambria Math"/>
                <w:color w:val="000000"/>
                <w:sz w:val="20"/>
                <w:szCs w:val="20"/>
              </w:rPr>
              <w:t>‐</w:t>
            </w:r>
            <w:r w:rsidRPr="002A063A">
              <w:rPr>
                <w:color w:val="000000"/>
                <w:sz w:val="20"/>
                <w:szCs w:val="20"/>
              </w:rPr>
              <w:t>distance transport workers of East Africa</w:t>
            </w:r>
          </w:p>
        </w:tc>
        <w:tc>
          <w:tcPr>
            <w:tcW w:w="1440" w:type="dxa"/>
            <w:shd w:val="clear" w:color="auto" w:fill="auto"/>
            <w:noWrap/>
            <w:hideMark/>
          </w:tcPr>
          <w:p w14:paraId="1AD86AC4"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35A45159" w14:textId="77777777" w:rsidTr="006D3132">
        <w:trPr>
          <w:trHeight w:val="680"/>
          <w:jc w:val="center"/>
        </w:trPr>
        <w:tc>
          <w:tcPr>
            <w:tcW w:w="720" w:type="dxa"/>
            <w:shd w:val="clear" w:color="auto" w:fill="auto"/>
            <w:noWrap/>
            <w:hideMark/>
          </w:tcPr>
          <w:p w14:paraId="2C9B5718" w14:textId="77777777" w:rsidR="006E5834" w:rsidRPr="002A063A" w:rsidRDefault="006E5834" w:rsidP="006D3132">
            <w:pPr>
              <w:jc w:val="right"/>
              <w:rPr>
                <w:color w:val="000000"/>
                <w:sz w:val="20"/>
                <w:szCs w:val="20"/>
              </w:rPr>
            </w:pPr>
            <w:r w:rsidRPr="002A063A">
              <w:rPr>
                <w:color w:val="000000"/>
                <w:sz w:val="20"/>
                <w:szCs w:val="20"/>
              </w:rPr>
              <w:t>1994</w:t>
            </w:r>
          </w:p>
        </w:tc>
        <w:tc>
          <w:tcPr>
            <w:tcW w:w="3420" w:type="dxa"/>
            <w:shd w:val="clear" w:color="auto" w:fill="auto"/>
            <w:hideMark/>
          </w:tcPr>
          <w:p w14:paraId="5E68FF78" w14:textId="77777777" w:rsidR="006E5834" w:rsidRPr="002A063A" w:rsidRDefault="006E5834" w:rsidP="006D3132">
            <w:pPr>
              <w:rPr>
                <w:color w:val="000000"/>
                <w:sz w:val="20"/>
                <w:szCs w:val="20"/>
              </w:rPr>
            </w:pPr>
            <w:r w:rsidRPr="002A063A">
              <w:rPr>
                <w:color w:val="000000"/>
                <w:sz w:val="20"/>
                <w:szCs w:val="20"/>
              </w:rPr>
              <w:t>Moses, S.; Ngugi, E. N.; Bradley, J. E.; Njeru, E. K.; Eldridge, G.; Muia, E.; Olenja, J.; Plummer, F. A.</w:t>
            </w:r>
          </w:p>
        </w:tc>
        <w:tc>
          <w:tcPr>
            <w:tcW w:w="3690" w:type="dxa"/>
            <w:shd w:val="clear" w:color="auto" w:fill="auto"/>
            <w:hideMark/>
          </w:tcPr>
          <w:p w14:paraId="7D1D90EE" w14:textId="77777777" w:rsidR="006E5834" w:rsidRPr="002A063A" w:rsidRDefault="006E5834" w:rsidP="006D3132">
            <w:pPr>
              <w:rPr>
                <w:color w:val="000000"/>
                <w:sz w:val="20"/>
                <w:szCs w:val="20"/>
              </w:rPr>
            </w:pPr>
            <w:r w:rsidRPr="002A063A">
              <w:rPr>
                <w:color w:val="000000"/>
                <w:sz w:val="20"/>
                <w:szCs w:val="20"/>
              </w:rPr>
              <w:t>Health care-seeking behavior related to the transmission of sexually transmitted diseases in Kenya</w:t>
            </w:r>
          </w:p>
        </w:tc>
        <w:tc>
          <w:tcPr>
            <w:tcW w:w="1440" w:type="dxa"/>
            <w:shd w:val="clear" w:color="auto" w:fill="auto"/>
            <w:noWrap/>
            <w:hideMark/>
          </w:tcPr>
          <w:p w14:paraId="724E01B4"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64124BA4" w14:textId="77777777" w:rsidTr="006D3132">
        <w:trPr>
          <w:trHeight w:val="1020"/>
          <w:jc w:val="center"/>
        </w:trPr>
        <w:tc>
          <w:tcPr>
            <w:tcW w:w="720" w:type="dxa"/>
            <w:tcBorders>
              <w:bottom w:val="nil"/>
            </w:tcBorders>
            <w:shd w:val="clear" w:color="auto" w:fill="auto"/>
            <w:noWrap/>
            <w:hideMark/>
          </w:tcPr>
          <w:p w14:paraId="7BD1A004" w14:textId="77777777" w:rsidR="006E5834" w:rsidRPr="002A063A" w:rsidRDefault="006E5834" w:rsidP="006D3132">
            <w:pPr>
              <w:jc w:val="right"/>
              <w:rPr>
                <w:color w:val="000000"/>
                <w:sz w:val="20"/>
                <w:szCs w:val="20"/>
              </w:rPr>
            </w:pPr>
            <w:r w:rsidRPr="002A063A">
              <w:rPr>
                <w:color w:val="000000"/>
                <w:sz w:val="20"/>
                <w:szCs w:val="20"/>
              </w:rPr>
              <w:t>2011</w:t>
            </w:r>
          </w:p>
        </w:tc>
        <w:tc>
          <w:tcPr>
            <w:tcW w:w="3420" w:type="dxa"/>
            <w:tcBorders>
              <w:bottom w:val="nil"/>
            </w:tcBorders>
            <w:shd w:val="clear" w:color="auto" w:fill="auto"/>
            <w:hideMark/>
          </w:tcPr>
          <w:p w14:paraId="33F4ADBE" w14:textId="77777777" w:rsidR="006E5834" w:rsidRPr="002A063A" w:rsidRDefault="006E5834" w:rsidP="006D3132">
            <w:pPr>
              <w:rPr>
                <w:color w:val="000000"/>
                <w:sz w:val="20"/>
                <w:szCs w:val="20"/>
              </w:rPr>
            </w:pPr>
            <w:r w:rsidRPr="002A063A">
              <w:rPr>
                <w:color w:val="000000"/>
                <w:sz w:val="20"/>
                <w:szCs w:val="20"/>
              </w:rPr>
              <w:t>Naumenko, V. A.; Tiulenev, Iu A.; Pushkar', D. Iu; Segal, A. S.; Kovalev, V. A.; Kurilo, L. F.; Shileĭko, L. V.; Klimova, R. R.; Al'khovskiĭ, S. V.; Kushch, A. A.</w:t>
            </w:r>
          </w:p>
        </w:tc>
        <w:tc>
          <w:tcPr>
            <w:tcW w:w="3690" w:type="dxa"/>
            <w:tcBorders>
              <w:bottom w:val="nil"/>
            </w:tcBorders>
            <w:shd w:val="clear" w:color="auto" w:fill="auto"/>
            <w:hideMark/>
          </w:tcPr>
          <w:p w14:paraId="4CBA2844" w14:textId="77777777" w:rsidR="006E5834" w:rsidRPr="002A063A" w:rsidRDefault="006E5834" w:rsidP="006D3132">
            <w:pPr>
              <w:rPr>
                <w:color w:val="000000"/>
                <w:sz w:val="20"/>
                <w:szCs w:val="20"/>
              </w:rPr>
            </w:pPr>
            <w:r w:rsidRPr="002A063A">
              <w:rPr>
                <w:color w:val="000000"/>
                <w:sz w:val="20"/>
                <w:szCs w:val="20"/>
              </w:rPr>
              <w:t>[Effect of herpes simplex virus on spermatogenesis]</w:t>
            </w:r>
          </w:p>
        </w:tc>
        <w:tc>
          <w:tcPr>
            <w:tcW w:w="1440" w:type="dxa"/>
            <w:tcBorders>
              <w:bottom w:val="nil"/>
            </w:tcBorders>
            <w:shd w:val="clear" w:color="auto" w:fill="auto"/>
            <w:noWrap/>
            <w:hideMark/>
          </w:tcPr>
          <w:p w14:paraId="1CA7952B" w14:textId="77777777" w:rsidR="006E5834" w:rsidRPr="002A063A" w:rsidRDefault="006E5834" w:rsidP="006D3132">
            <w:pPr>
              <w:rPr>
                <w:color w:val="000000"/>
                <w:sz w:val="20"/>
                <w:szCs w:val="20"/>
              </w:rPr>
            </w:pPr>
            <w:r w:rsidRPr="002A063A">
              <w:rPr>
                <w:color w:val="000000"/>
                <w:sz w:val="20"/>
                <w:szCs w:val="20"/>
              </w:rPr>
              <w:t>Infertility</w:t>
            </w:r>
          </w:p>
        </w:tc>
      </w:tr>
      <w:tr w:rsidR="006E5834" w:rsidRPr="00C6712B" w14:paraId="33740199" w14:textId="77777777" w:rsidTr="006D3132">
        <w:trPr>
          <w:trHeight w:val="680"/>
          <w:jc w:val="center"/>
        </w:trPr>
        <w:tc>
          <w:tcPr>
            <w:tcW w:w="720" w:type="dxa"/>
            <w:tcBorders>
              <w:bottom w:val="nil"/>
            </w:tcBorders>
            <w:shd w:val="clear" w:color="auto" w:fill="auto"/>
            <w:noWrap/>
            <w:hideMark/>
          </w:tcPr>
          <w:p w14:paraId="61600AA8" w14:textId="77777777" w:rsidR="006E5834" w:rsidRPr="002A063A" w:rsidRDefault="006E5834" w:rsidP="006D3132">
            <w:pPr>
              <w:jc w:val="right"/>
              <w:rPr>
                <w:color w:val="000000"/>
                <w:sz w:val="20"/>
                <w:szCs w:val="20"/>
              </w:rPr>
            </w:pPr>
            <w:r w:rsidRPr="002A063A">
              <w:rPr>
                <w:color w:val="000000"/>
                <w:sz w:val="20"/>
                <w:szCs w:val="20"/>
              </w:rPr>
              <w:t>2008</w:t>
            </w:r>
          </w:p>
        </w:tc>
        <w:tc>
          <w:tcPr>
            <w:tcW w:w="3420" w:type="dxa"/>
            <w:tcBorders>
              <w:bottom w:val="nil"/>
            </w:tcBorders>
            <w:shd w:val="clear" w:color="auto" w:fill="auto"/>
            <w:hideMark/>
          </w:tcPr>
          <w:p w14:paraId="3C85AF64" w14:textId="77777777" w:rsidR="006E5834" w:rsidRPr="002A063A" w:rsidRDefault="006E5834" w:rsidP="006D3132">
            <w:pPr>
              <w:rPr>
                <w:color w:val="000000"/>
                <w:sz w:val="20"/>
                <w:szCs w:val="20"/>
              </w:rPr>
            </w:pPr>
            <w:r w:rsidRPr="002A063A">
              <w:rPr>
                <w:color w:val="000000"/>
                <w:sz w:val="20"/>
                <w:szCs w:val="20"/>
              </w:rPr>
              <w:t>O'Farrell, Nigel; Morison, Linda; Moodley, Prashini; Pillay, Keshree; Vanmali, Trusha; Quigley, Maria; Sturm, A. Wim</w:t>
            </w:r>
          </w:p>
        </w:tc>
        <w:tc>
          <w:tcPr>
            <w:tcW w:w="3690" w:type="dxa"/>
            <w:tcBorders>
              <w:bottom w:val="nil"/>
            </w:tcBorders>
            <w:shd w:val="clear" w:color="auto" w:fill="auto"/>
            <w:hideMark/>
          </w:tcPr>
          <w:p w14:paraId="6FA6596E" w14:textId="77777777" w:rsidR="006E5834" w:rsidRPr="002A063A" w:rsidRDefault="006E5834" w:rsidP="006D3132">
            <w:pPr>
              <w:rPr>
                <w:color w:val="000000"/>
                <w:sz w:val="20"/>
                <w:szCs w:val="20"/>
              </w:rPr>
            </w:pPr>
            <w:r w:rsidRPr="002A063A">
              <w:rPr>
                <w:color w:val="000000"/>
                <w:sz w:val="20"/>
                <w:szCs w:val="20"/>
              </w:rPr>
              <w:t>Genital ulcers and concomitant complaints in men attending a sexually transmitted infections clinic: implications for sexually transmitted infections management</w:t>
            </w:r>
          </w:p>
        </w:tc>
        <w:tc>
          <w:tcPr>
            <w:tcW w:w="1440" w:type="dxa"/>
            <w:tcBorders>
              <w:bottom w:val="nil"/>
            </w:tcBorders>
            <w:shd w:val="clear" w:color="auto" w:fill="auto"/>
            <w:noWrap/>
            <w:hideMark/>
          </w:tcPr>
          <w:p w14:paraId="5BC1C373" w14:textId="77777777" w:rsidR="006E5834" w:rsidRPr="002A063A" w:rsidRDefault="006E5834" w:rsidP="006D3132">
            <w:pPr>
              <w:rPr>
                <w:color w:val="000000"/>
                <w:sz w:val="20"/>
                <w:szCs w:val="20"/>
              </w:rPr>
            </w:pPr>
            <w:r w:rsidRPr="002A063A">
              <w:rPr>
                <w:color w:val="000000"/>
                <w:sz w:val="20"/>
                <w:szCs w:val="20"/>
              </w:rPr>
              <w:t>Infertility</w:t>
            </w:r>
          </w:p>
        </w:tc>
      </w:tr>
      <w:tr w:rsidR="006E5834" w:rsidRPr="00C6712B" w14:paraId="42AF3928" w14:textId="77777777" w:rsidTr="006D3132">
        <w:trPr>
          <w:trHeight w:val="340"/>
          <w:jc w:val="center"/>
        </w:trPr>
        <w:tc>
          <w:tcPr>
            <w:tcW w:w="720" w:type="dxa"/>
            <w:shd w:val="clear" w:color="auto" w:fill="auto"/>
            <w:noWrap/>
            <w:hideMark/>
          </w:tcPr>
          <w:p w14:paraId="046E16DD" w14:textId="77777777" w:rsidR="006E5834" w:rsidRPr="002A063A" w:rsidRDefault="006E5834" w:rsidP="006D3132">
            <w:pPr>
              <w:jc w:val="right"/>
              <w:rPr>
                <w:color w:val="000000"/>
                <w:sz w:val="20"/>
                <w:szCs w:val="20"/>
              </w:rPr>
            </w:pPr>
            <w:r w:rsidRPr="002A063A">
              <w:rPr>
                <w:color w:val="000000"/>
                <w:sz w:val="20"/>
                <w:szCs w:val="20"/>
              </w:rPr>
              <w:t>1993</w:t>
            </w:r>
          </w:p>
        </w:tc>
        <w:tc>
          <w:tcPr>
            <w:tcW w:w="3420" w:type="dxa"/>
            <w:shd w:val="clear" w:color="auto" w:fill="auto"/>
            <w:hideMark/>
          </w:tcPr>
          <w:p w14:paraId="0E6FCC51" w14:textId="77777777" w:rsidR="006E5834" w:rsidRPr="002A063A" w:rsidRDefault="006E5834" w:rsidP="006D3132">
            <w:pPr>
              <w:rPr>
                <w:color w:val="000000"/>
                <w:sz w:val="20"/>
                <w:szCs w:val="20"/>
              </w:rPr>
            </w:pPr>
            <w:r w:rsidRPr="002A063A">
              <w:rPr>
                <w:color w:val="000000"/>
                <w:sz w:val="20"/>
                <w:szCs w:val="20"/>
              </w:rPr>
              <w:t>Randolph, A. G.; Washington, A. E.; Prober, C. G.</w:t>
            </w:r>
          </w:p>
        </w:tc>
        <w:tc>
          <w:tcPr>
            <w:tcW w:w="3690" w:type="dxa"/>
            <w:shd w:val="clear" w:color="auto" w:fill="auto"/>
            <w:hideMark/>
          </w:tcPr>
          <w:p w14:paraId="71FE0375" w14:textId="77777777" w:rsidR="006E5834" w:rsidRPr="002A063A" w:rsidRDefault="006E5834" w:rsidP="006D3132">
            <w:pPr>
              <w:rPr>
                <w:color w:val="000000"/>
                <w:sz w:val="20"/>
                <w:szCs w:val="20"/>
              </w:rPr>
            </w:pPr>
            <w:r w:rsidRPr="002A063A">
              <w:rPr>
                <w:color w:val="000000"/>
                <w:sz w:val="20"/>
                <w:szCs w:val="20"/>
              </w:rPr>
              <w:t>Cesarean delivery for women presenting with genital herpes lesions. Efficacy, risks, and costs</w:t>
            </w:r>
          </w:p>
        </w:tc>
        <w:tc>
          <w:tcPr>
            <w:tcW w:w="1440" w:type="dxa"/>
            <w:shd w:val="clear" w:color="auto" w:fill="auto"/>
            <w:noWrap/>
            <w:hideMark/>
          </w:tcPr>
          <w:p w14:paraId="38D79D02" w14:textId="77777777" w:rsidR="006E5834" w:rsidRPr="002A063A" w:rsidRDefault="006E5834" w:rsidP="006D3132">
            <w:pPr>
              <w:rPr>
                <w:color w:val="000000"/>
                <w:sz w:val="20"/>
                <w:szCs w:val="20"/>
              </w:rPr>
            </w:pPr>
            <w:r w:rsidRPr="002A063A">
              <w:rPr>
                <w:color w:val="000000"/>
                <w:sz w:val="20"/>
                <w:szCs w:val="20"/>
              </w:rPr>
              <w:t>Cesarean delivery</w:t>
            </w:r>
          </w:p>
        </w:tc>
      </w:tr>
      <w:tr w:rsidR="006E5834" w:rsidRPr="00C6712B" w14:paraId="1928EE45" w14:textId="77777777" w:rsidTr="006D3132">
        <w:trPr>
          <w:trHeight w:val="680"/>
          <w:jc w:val="center"/>
        </w:trPr>
        <w:tc>
          <w:tcPr>
            <w:tcW w:w="720" w:type="dxa"/>
            <w:shd w:val="clear" w:color="auto" w:fill="auto"/>
            <w:noWrap/>
            <w:hideMark/>
          </w:tcPr>
          <w:p w14:paraId="57308ECB" w14:textId="77777777" w:rsidR="006E5834" w:rsidRPr="002A063A" w:rsidRDefault="006E5834" w:rsidP="006D3132">
            <w:pPr>
              <w:jc w:val="right"/>
              <w:rPr>
                <w:color w:val="000000"/>
                <w:sz w:val="20"/>
                <w:szCs w:val="20"/>
              </w:rPr>
            </w:pPr>
            <w:r w:rsidRPr="002A063A">
              <w:rPr>
                <w:color w:val="000000"/>
                <w:sz w:val="20"/>
                <w:szCs w:val="20"/>
              </w:rPr>
              <w:t>2008</w:t>
            </w:r>
          </w:p>
        </w:tc>
        <w:tc>
          <w:tcPr>
            <w:tcW w:w="3420" w:type="dxa"/>
            <w:shd w:val="clear" w:color="auto" w:fill="auto"/>
            <w:hideMark/>
          </w:tcPr>
          <w:p w14:paraId="7CE2E4B9" w14:textId="77777777" w:rsidR="006E5834" w:rsidRPr="002A063A" w:rsidRDefault="006E5834" w:rsidP="006D3132">
            <w:pPr>
              <w:rPr>
                <w:color w:val="000000"/>
                <w:sz w:val="20"/>
                <w:szCs w:val="20"/>
              </w:rPr>
            </w:pPr>
            <w:r w:rsidRPr="002A063A">
              <w:rPr>
                <w:color w:val="000000"/>
                <w:sz w:val="20"/>
                <w:szCs w:val="20"/>
              </w:rPr>
              <w:t>Richards, Julie; Krantz, Elizabeth; Selke, Stacy; Wald, Anna</w:t>
            </w:r>
          </w:p>
        </w:tc>
        <w:tc>
          <w:tcPr>
            <w:tcW w:w="3690" w:type="dxa"/>
            <w:shd w:val="clear" w:color="auto" w:fill="auto"/>
            <w:hideMark/>
          </w:tcPr>
          <w:p w14:paraId="276D8B63" w14:textId="77777777" w:rsidR="006E5834" w:rsidRPr="002A063A" w:rsidRDefault="006E5834" w:rsidP="006D3132">
            <w:pPr>
              <w:rPr>
                <w:color w:val="000000"/>
                <w:sz w:val="20"/>
                <w:szCs w:val="20"/>
              </w:rPr>
            </w:pPr>
            <w:r w:rsidRPr="002A063A">
              <w:rPr>
                <w:color w:val="000000"/>
                <w:sz w:val="20"/>
                <w:szCs w:val="20"/>
              </w:rPr>
              <w:t>Healthcare seeking and sexual behavior among patients with symptomatic newly acquired genital herpes</w:t>
            </w:r>
          </w:p>
        </w:tc>
        <w:tc>
          <w:tcPr>
            <w:tcW w:w="1440" w:type="dxa"/>
            <w:shd w:val="clear" w:color="auto" w:fill="auto"/>
            <w:noWrap/>
            <w:hideMark/>
          </w:tcPr>
          <w:p w14:paraId="30892A4F" w14:textId="77777777" w:rsidR="006E5834" w:rsidRPr="002A063A" w:rsidRDefault="006E5834" w:rsidP="006D3132">
            <w:pPr>
              <w:rPr>
                <w:color w:val="000000"/>
                <w:sz w:val="20"/>
                <w:szCs w:val="20"/>
              </w:rPr>
            </w:pPr>
            <w:r w:rsidRPr="002A063A">
              <w:rPr>
                <w:color w:val="000000"/>
                <w:sz w:val="20"/>
                <w:szCs w:val="20"/>
              </w:rPr>
              <w:t>Sexual behavior</w:t>
            </w:r>
          </w:p>
        </w:tc>
      </w:tr>
      <w:tr w:rsidR="006E5834" w:rsidRPr="00C6712B" w14:paraId="7F6BD10A" w14:textId="77777777" w:rsidTr="006D3132">
        <w:trPr>
          <w:trHeight w:val="680"/>
          <w:jc w:val="center"/>
        </w:trPr>
        <w:tc>
          <w:tcPr>
            <w:tcW w:w="720" w:type="dxa"/>
            <w:shd w:val="clear" w:color="auto" w:fill="auto"/>
            <w:noWrap/>
            <w:hideMark/>
          </w:tcPr>
          <w:p w14:paraId="5249912D" w14:textId="77777777" w:rsidR="006E5834" w:rsidRPr="002A063A" w:rsidRDefault="006E5834" w:rsidP="006D3132">
            <w:pPr>
              <w:jc w:val="right"/>
              <w:rPr>
                <w:color w:val="000000"/>
                <w:sz w:val="20"/>
                <w:szCs w:val="20"/>
              </w:rPr>
            </w:pPr>
            <w:r w:rsidRPr="002A063A">
              <w:rPr>
                <w:color w:val="000000"/>
                <w:sz w:val="20"/>
                <w:szCs w:val="20"/>
              </w:rPr>
              <w:t>2008</w:t>
            </w:r>
          </w:p>
        </w:tc>
        <w:tc>
          <w:tcPr>
            <w:tcW w:w="3420" w:type="dxa"/>
            <w:shd w:val="clear" w:color="auto" w:fill="auto"/>
            <w:hideMark/>
          </w:tcPr>
          <w:p w14:paraId="6B534975" w14:textId="77777777" w:rsidR="006E5834" w:rsidRPr="002A063A" w:rsidRDefault="006E5834" w:rsidP="006D3132">
            <w:pPr>
              <w:rPr>
                <w:color w:val="000000"/>
                <w:sz w:val="20"/>
                <w:szCs w:val="20"/>
              </w:rPr>
            </w:pPr>
            <w:r w:rsidRPr="002A063A">
              <w:rPr>
                <w:color w:val="000000"/>
                <w:sz w:val="20"/>
                <w:szCs w:val="20"/>
              </w:rPr>
              <w:t>Richards, Julie; Krantz, Elizabeth; Selke, Stacy; Wald, Anna</w:t>
            </w:r>
          </w:p>
        </w:tc>
        <w:tc>
          <w:tcPr>
            <w:tcW w:w="3690" w:type="dxa"/>
            <w:shd w:val="clear" w:color="auto" w:fill="auto"/>
            <w:hideMark/>
          </w:tcPr>
          <w:p w14:paraId="7535ECBC" w14:textId="77777777" w:rsidR="006E5834" w:rsidRPr="002A063A" w:rsidRDefault="006E5834" w:rsidP="006D3132">
            <w:pPr>
              <w:rPr>
                <w:color w:val="000000"/>
                <w:sz w:val="20"/>
                <w:szCs w:val="20"/>
              </w:rPr>
            </w:pPr>
            <w:r w:rsidRPr="002A063A">
              <w:rPr>
                <w:color w:val="000000"/>
                <w:sz w:val="20"/>
                <w:szCs w:val="20"/>
              </w:rPr>
              <w:t>Healthcare seeking and sexual behavior among patients with symptomatic newly acquired genital herpes</w:t>
            </w:r>
          </w:p>
        </w:tc>
        <w:tc>
          <w:tcPr>
            <w:tcW w:w="1440" w:type="dxa"/>
            <w:shd w:val="clear" w:color="auto" w:fill="auto"/>
            <w:noWrap/>
            <w:hideMark/>
          </w:tcPr>
          <w:p w14:paraId="30C7E368"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443C95A1" w14:textId="77777777" w:rsidTr="006D3132">
        <w:trPr>
          <w:trHeight w:val="680"/>
          <w:jc w:val="center"/>
        </w:trPr>
        <w:tc>
          <w:tcPr>
            <w:tcW w:w="720" w:type="dxa"/>
            <w:shd w:val="clear" w:color="auto" w:fill="auto"/>
            <w:noWrap/>
            <w:hideMark/>
          </w:tcPr>
          <w:p w14:paraId="663F58AD" w14:textId="77777777" w:rsidR="006E5834" w:rsidRPr="002A063A" w:rsidRDefault="006E5834" w:rsidP="006D3132">
            <w:pPr>
              <w:jc w:val="right"/>
              <w:rPr>
                <w:color w:val="000000"/>
                <w:sz w:val="20"/>
                <w:szCs w:val="20"/>
              </w:rPr>
            </w:pPr>
            <w:r w:rsidRPr="002A063A">
              <w:rPr>
                <w:color w:val="000000"/>
                <w:sz w:val="20"/>
                <w:szCs w:val="20"/>
              </w:rPr>
              <w:t>2008</w:t>
            </w:r>
          </w:p>
        </w:tc>
        <w:tc>
          <w:tcPr>
            <w:tcW w:w="3420" w:type="dxa"/>
            <w:shd w:val="clear" w:color="auto" w:fill="auto"/>
            <w:hideMark/>
          </w:tcPr>
          <w:p w14:paraId="2739E25B" w14:textId="77777777" w:rsidR="006E5834" w:rsidRPr="002A063A" w:rsidRDefault="006E5834" w:rsidP="006D3132">
            <w:pPr>
              <w:rPr>
                <w:color w:val="000000"/>
                <w:sz w:val="20"/>
                <w:szCs w:val="20"/>
              </w:rPr>
            </w:pPr>
            <w:r w:rsidRPr="002A063A">
              <w:rPr>
                <w:color w:val="000000"/>
                <w:sz w:val="20"/>
                <w:szCs w:val="20"/>
              </w:rPr>
              <w:t>Richards, Julie; Krantz, Elizabeth; Selke, Stacy; Wald, Anna</w:t>
            </w:r>
          </w:p>
        </w:tc>
        <w:tc>
          <w:tcPr>
            <w:tcW w:w="3690" w:type="dxa"/>
            <w:shd w:val="clear" w:color="auto" w:fill="auto"/>
            <w:hideMark/>
          </w:tcPr>
          <w:p w14:paraId="72AD7A0C" w14:textId="77777777" w:rsidR="006E5834" w:rsidRPr="002A063A" w:rsidRDefault="006E5834" w:rsidP="006D3132">
            <w:pPr>
              <w:rPr>
                <w:color w:val="000000"/>
                <w:sz w:val="20"/>
                <w:szCs w:val="20"/>
              </w:rPr>
            </w:pPr>
            <w:r w:rsidRPr="002A063A">
              <w:rPr>
                <w:color w:val="000000"/>
                <w:sz w:val="20"/>
                <w:szCs w:val="20"/>
              </w:rPr>
              <w:t>Healthcare seeking and sexual behavior among patients with symptomatic newly acquired genital herpes</w:t>
            </w:r>
          </w:p>
        </w:tc>
        <w:tc>
          <w:tcPr>
            <w:tcW w:w="1440" w:type="dxa"/>
            <w:shd w:val="clear" w:color="auto" w:fill="auto"/>
            <w:noWrap/>
            <w:hideMark/>
          </w:tcPr>
          <w:p w14:paraId="04301905"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02977B88" w14:textId="77777777" w:rsidTr="006D3132">
        <w:trPr>
          <w:trHeight w:val="680"/>
          <w:jc w:val="center"/>
        </w:trPr>
        <w:tc>
          <w:tcPr>
            <w:tcW w:w="720" w:type="dxa"/>
            <w:shd w:val="clear" w:color="auto" w:fill="auto"/>
            <w:noWrap/>
            <w:hideMark/>
          </w:tcPr>
          <w:p w14:paraId="63451FE5" w14:textId="77777777" w:rsidR="006E5834" w:rsidRPr="002A063A" w:rsidRDefault="006E5834" w:rsidP="006D3132">
            <w:pPr>
              <w:jc w:val="right"/>
              <w:rPr>
                <w:color w:val="000000"/>
                <w:sz w:val="20"/>
                <w:szCs w:val="20"/>
              </w:rPr>
            </w:pPr>
            <w:r w:rsidRPr="002A063A">
              <w:rPr>
                <w:color w:val="000000"/>
                <w:sz w:val="20"/>
                <w:szCs w:val="20"/>
              </w:rPr>
              <w:t>2010</w:t>
            </w:r>
          </w:p>
        </w:tc>
        <w:tc>
          <w:tcPr>
            <w:tcW w:w="3420" w:type="dxa"/>
            <w:shd w:val="clear" w:color="auto" w:fill="auto"/>
            <w:hideMark/>
          </w:tcPr>
          <w:p w14:paraId="6DE58F4C" w14:textId="77777777" w:rsidR="006E5834" w:rsidRPr="00124033" w:rsidRDefault="006E5834" w:rsidP="006D3132">
            <w:pPr>
              <w:rPr>
                <w:color w:val="000000"/>
                <w:sz w:val="20"/>
                <w:szCs w:val="20"/>
                <w:lang w:val="fr-FR"/>
              </w:rPr>
            </w:pPr>
            <w:r w:rsidRPr="00124033">
              <w:rPr>
                <w:color w:val="000000"/>
                <w:sz w:val="20"/>
                <w:szCs w:val="20"/>
                <w:lang w:val="fr-FR"/>
              </w:rPr>
              <w:t>Sanchez-Lorente, Segunda; Blasco-Ros, Concepcion; Coe, Christopher L.; Martinez, Manuela</w:t>
            </w:r>
          </w:p>
        </w:tc>
        <w:tc>
          <w:tcPr>
            <w:tcW w:w="3690" w:type="dxa"/>
            <w:shd w:val="clear" w:color="auto" w:fill="auto"/>
            <w:hideMark/>
          </w:tcPr>
          <w:p w14:paraId="1AB74129" w14:textId="77777777" w:rsidR="006E5834" w:rsidRPr="002A063A" w:rsidRDefault="006E5834" w:rsidP="006D3132">
            <w:pPr>
              <w:rPr>
                <w:color w:val="000000"/>
                <w:sz w:val="20"/>
                <w:szCs w:val="20"/>
              </w:rPr>
            </w:pPr>
            <w:r w:rsidRPr="002A063A">
              <w:rPr>
                <w:color w:val="000000"/>
                <w:sz w:val="20"/>
                <w:szCs w:val="20"/>
              </w:rPr>
              <w:t>Recovery of immune control over herpes simplex virus type 1 in female victims of intimate partner violence</w:t>
            </w:r>
          </w:p>
        </w:tc>
        <w:tc>
          <w:tcPr>
            <w:tcW w:w="1440" w:type="dxa"/>
            <w:shd w:val="clear" w:color="auto" w:fill="auto"/>
            <w:noWrap/>
            <w:hideMark/>
          </w:tcPr>
          <w:p w14:paraId="034B80C3" w14:textId="77777777" w:rsidR="006E5834" w:rsidRPr="002A063A" w:rsidRDefault="006E5834" w:rsidP="006D3132">
            <w:pPr>
              <w:rPr>
                <w:color w:val="000000"/>
                <w:sz w:val="20"/>
                <w:szCs w:val="20"/>
              </w:rPr>
            </w:pPr>
            <w:r w:rsidRPr="002A063A">
              <w:rPr>
                <w:color w:val="000000"/>
                <w:sz w:val="20"/>
                <w:szCs w:val="20"/>
              </w:rPr>
              <w:t>Intimate partner violence</w:t>
            </w:r>
          </w:p>
        </w:tc>
      </w:tr>
      <w:tr w:rsidR="006E5834" w:rsidRPr="00C6712B" w14:paraId="236FA161" w14:textId="77777777" w:rsidTr="006D3132">
        <w:trPr>
          <w:trHeight w:val="1700"/>
          <w:jc w:val="center"/>
        </w:trPr>
        <w:tc>
          <w:tcPr>
            <w:tcW w:w="720" w:type="dxa"/>
            <w:shd w:val="clear" w:color="auto" w:fill="auto"/>
            <w:noWrap/>
            <w:hideMark/>
          </w:tcPr>
          <w:p w14:paraId="086AB6DA" w14:textId="77777777" w:rsidR="006E5834" w:rsidRPr="002A063A" w:rsidRDefault="006E5834" w:rsidP="006D3132">
            <w:pPr>
              <w:jc w:val="right"/>
              <w:rPr>
                <w:color w:val="000000"/>
                <w:sz w:val="20"/>
                <w:szCs w:val="20"/>
              </w:rPr>
            </w:pPr>
            <w:r w:rsidRPr="002A063A">
              <w:rPr>
                <w:color w:val="000000"/>
                <w:sz w:val="20"/>
                <w:szCs w:val="20"/>
              </w:rPr>
              <w:t>2002</w:t>
            </w:r>
          </w:p>
        </w:tc>
        <w:tc>
          <w:tcPr>
            <w:tcW w:w="3420" w:type="dxa"/>
            <w:shd w:val="clear" w:color="auto" w:fill="auto"/>
            <w:hideMark/>
          </w:tcPr>
          <w:p w14:paraId="00F57447" w14:textId="77777777" w:rsidR="006E5834" w:rsidRPr="002A063A" w:rsidRDefault="006E5834" w:rsidP="006D3132">
            <w:pPr>
              <w:rPr>
                <w:color w:val="000000"/>
                <w:sz w:val="20"/>
                <w:szCs w:val="20"/>
              </w:rPr>
            </w:pPr>
            <w:r w:rsidRPr="002A063A">
              <w:rPr>
                <w:color w:val="000000"/>
                <w:sz w:val="20"/>
                <w:szCs w:val="20"/>
              </w:rPr>
              <w:t>Smith, Jennifer S.; Herrero, Rolando; Bosetti, Cristina; Muñoz, Nubia; Bosch, F. Xavier; Eluf-Neto, José; Castellsagué, Xavier; Meijer, Chris J. L. M.; Van den Brule, Adriaan J. C.; Franceschi, Silvia; Ashley, Rhoda; International Agency for Research on Cancer (IARC) Multicentric Cervical Cancer Study Group</w:t>
            </w:r>
          </w:p>
        </w:tc>
        <w:tc>
          <w:tcPr>
            <w:tcW w:w="3690" w:type="dxa"/>
            <w:shd w:val="clear" w:color="auto" w:fill="auto"/>
            <w:hideMark/>
          </w:tcPr>
          <w:p w14:paraId="637A84A7" w14:textId="77777777" w:rsidR="006E5834" w:rsidRPr="002A063A" w:rsidRDefault="006E5834" w:rsidP="006D3132">
            <w:pPr>
              <w:rPr>
                <w:color w:val="000000"/>
                <w:sz w:val="20"/>
                <w:szCs w:val="20"/>
              </w:rPr>
            </w:pPr>
            <w:r w:rsidRPr="002A063A">
              <w:rPr>
                <w:color w:val="000000"/>
                <w:sz w:val="20"/>
                <w:szCs w:val="20"/>
              </w:rPr>
              <w:t>Herpes simplex virus-2 as a human papillomavirus cofactor in the etiology of invasive cervical cancer</w:t>
            </w:r>
          </w:p>
        </w:tc>
        <w:tc>
          <w:tcPr>
            <w:tcW w:w="1440" w:type="dxa"/>
            <w:shd w:val="clear" w:color="auto" w:fill="auto"/>
            <w:noWrap/>
            <w:hideMark/>
          </w:tcPr>
          <w:p w14:paraId="6E3FDF8A" w14:textId="77777777" w:rsidR="006E5834" w:rsidRPr="002A063A" w:rsidRDefault="006E5834" w:rsidP="006D3132">
            <w:pPr>
              <w:rPr>
                <w:color w:val="000000"/>
                <w:sz w:val="20"/>
                <w:szCs w:val="20"/>
              </w:rPr>
            </w:pPr>
            <w:r w:rsidRPr="002A063A">
              <w:rPr>
                <w:color w:val="000000"/>
                <w:sz w:val="20"/>
                <w:szCs w:val="20"/>
              </w:rPr>
              <w:t>HPV</w:t>
            </w:r>
          </w:p>
        </w:tc>
      </w:tr>
      <w:tr w:rsidR="006E5834" w:rsidRPr="00C6712B" w14:paraId="609E4D49" w14:textId="77777777" w:rsidTr="006D3132">
        <w:trPr>
          <w:trHeight w:val="680"/>
          <w:jc w:val="center"/>
        </w:trPr>
        <w:tc>
          <w:tcPr>
            <w:tcW w:w="720" w:type="dxa"/>
            <w:tcBorders>
              <w:bottom w:val="nil"/>
            </w:tcBorders>
            <w:shd w:val="clear" w:color="auto" w:fill="auto"/>
            <w:noWrap/>
            <w:hideMark/>
          </w:tcPr>
          <w:p w14:paraId="0C8EBD9D" w14:textId="77777777" w:rsidR="006E5834" w:rsidRPr="002A063A" w:rsidRDefault="006E5834" w:rsidP="006D3132">
            <w:pPr>
              <w:jc w:val="right"/>
              <w:rPr>
                <w:color w:val="000000"/>
                <w:sz w:val="20"/>
                <w:szCs w:val="20"/>
              </w:rPr>
            </w:pPr>
            <w:r w:rsidRPr="002A063A">
              <w:rPr>
                <w:color w:val="000000"/>
                <w:sz w:val="20"/>
                <w:szCs w:val="20"/>
              </w:rPr>
              <w:t>2014</w:t>
            </w:r>
          </w:p>
        </w:tc>
        <w:tc>
          <w:tcPr>
            <w:tcW w:w="3420" w:type="dxa"/>
            <w:tcBorders>
              <w:bottom w:val="nil"/>
            </w:tcBorders>
            <w:shd w:val="clear" w:color="auto" w:fill="auto"/>
            <w:hideMark/>
          </w:tcPr>
          <w:p w14:paraId="5B0CEC6D" w14:textId="77777777" w:rsidR="006E5834" w:rsidRPr="002A063A" w:rsidRDefault="006E5834" w:rsidP="006D3132">
            <w:pPr>
              <w:rPr>
                <w:color w:val="000000"/>
                <w:sz w:val="20"/>
                <w:szCs w:val="20"/>
              </w:rPr>
            </w:pPr>
            <w:r w:rsidRPr="002A063A">
              <w:rPr>
                <w:color w:val="000000"/>
                <w:sz w:val="20"/>
                <w:szCs w:val="20"/>
              </w:rPr>
              <w:t>Steiner, Riley J.; Michael, Shannon L.; Hall, Jeffrey E.; Barrios, Lisa C.; Robin, Leah</w:t>
            </w:r>
          </w:p>
        </w:tc>
        <w:tc>
          <w:tcPr>
            <w:tcW w:w="3690" w:type="dxa"/>
            <w:tcBorders>
              <w:bottom w:val="nil"/>
            </w:tcBorders>
            <w:shd w:val="clear" w:color="auto" w:fill="auto"/>
            <w:hideMark/>
          </w:tcPr>
          <w:p w14:paraId="19D6FAE0" w14:textId="77777777" w:rsidR="006E5834" w:rsidRPr="002A063A" w:rsidRDefault="006E5834" w:rsidP="006D3132">
            <w:pPr>
              <w:rPr>
                <w:color w:val="000000"/>
                <w:sz w:val="20"/>
                <w:szCs w:val="20"/>
              </w:rPr>
            </w:pPr>
            <w:r w:rsidRPr="002A063A">
              <w:rPr>
                <w:color w:val="000000"/>
                <w:sz w:val="20"/>
                <w:szCs w:val="20"/>
              </w:rPr>
              <w:t>Youth violence and connectedness in adolescence: what are the implications for later sexually transmitted infections?</w:t>
            </w:r>
          </w:p>
        </w:tc>
        <w:tc>
          <w:tcPr>
            <w:tcW w:w="1440" w:type="dxa"/>
            <w:tcBorders>
              <w:bottom w:val="nil"/>
            </w:tcBorders>
            <w:shd w:val="clear" w:color="auto" w:fill="auto"/>
            <w:noWrap/>
            <w:hideMark/>
          </w:tcPr>
          <w:p w14:paraId="67631EB7" w14:textId="77777777" w:rsidR="006E5834" w:rsidRPr="002A063A" w:rsidRDefault="006E5834" w:rsidP="006D3132">
            <w:pPr>
              <w:rPr>
                <w:color w:val="000000"/>
                <w:sz w:val="20"/>
                <w:szCs w:val="20"/>
              </w:rPr>
            </w:pPr>
            <w:r w:rsidRPr="002A063A">
              <w:rPr>
                <w:color w:val="000000"/>
                <w:sz w:val="20"/>
                <w:szCs w:val="20"/>
              </w:rPr>
              <w:t>Intimate partner violence</w:t>
            </w:r>
          </w:p>
        </w:tc>
      </w:tr>
      <w:tr w:rsidR="006E5834" w:rsidRPr="00C6712B" w14:paraId="59D633C0" w14:textId="77777777" w:rsidTr="0030197B">
        <w:trPr>
          <w:trHeight w:val="620"/>
          <w:jc w:val="center"/>
        </w:trPr>
        <w:tc>
          <w:tcPr>
            <w:tcW w:w="720" w:type="dxa"/>
            <w:shd w:val="clear" w:color="auto" w:fill="auto"/>
            <w:noWrap/>
            <w:hideMark/>
          </w:tcPr>
          <w:p w14:paraId="3407DE8F" w14:textId="77777777" w:rsidR="006E5834" w:rsidRPr="002A063A" w:rsidRDefault="006E5834" w:rsidP="006D3132">
            <w:pPr>
              <w:jc w:val="right"/>
              <w:rPr>
                <w:color w:val="000000"/>
                <w:sz w:val="20"/>
                <w:szCs w:val="20"/>
              </w:rPr>
            </w:pPr>
            <w:r w:rsidRPr="002A063A">
              <w:rPr>
                <w:color w:val="000000"/>
                <w:sz w:val="20"/>
                <w:szCs w:val="20"/>
              </w:rPr>
              <w:t>2017</w:t>
            </w:r>
          </w:p>
        </w:tc>
        <w:tc>
          <w:tcPr>
            <w:tcW w:w="3420" w:type="dxa"/>
            <w:shd w:val="clear" w:color="auto" w:fill="auto"/>
            <w:hideMark/>
          </w:tcPr>
          <w:p w14:paraId="2CF1E326" w14:textId="77777777" w:rsidR="006E5834" w:rsidRPr="002A063A" w:rsidRDefault="006E5834" w:rsidP="006D3132">
            <w:pPr>
              <w:rPr>
                <w:color w:val="000000"/>
                <w:sz w:val="20"/>
                <w:szCs w:val="20"/>
              </w:rPr>
            </w:pPr>
            <w:r w:rsidRPr="002A063A">
              <w:rPr>
                <w:color w:val="000000"/>
                <w:sz w:val="20"/>
                <w:szCs w:val="20"/>
              </w:rPr>
              <w:t xml:space="preserve">Stoner, Marie C. D.; Pettifor, Audrey; Edwards, Jessie K.; Aiello, Allison E.; Halpern, Carolyn T.; Julien, Aimée; Selin, Amanda; Twine, Rhian; Hughes, James P.; Wang, Jing; Agyei, Yaw; Gomez-Olive, F. Xavier; Wagner, </w:t>
            </w:r>
            <w:r w:rsidRPr="002A063A">
              <w:rPr>
                <w:color w:val="000000"/>
                <w:sz w:val="20"/>
                <w:szCs w:val="20"/>
              </w:rPr>
              <w:lastRenderedPageBreak/>
              <w:t>Ryan G.; MacPhail, Catherine; Kahn, Kathleen</w:t>
            </w:r>
          </w:p>
        </w:tc>
        <w:tc>
          <w:tcPr>
            <w:tcW w:w="3690" w:type="dxa"/>
            <w:shd w:val="clear" w:color="auto" w:fill="auto"/>
            <w:hideMark/>
          </w:tcPr>
          <w:p w14:paraId="56A4026B" w14:textId="77777777" w:rsidR="006E5834" w:rsidRPr="002A063A" w:rsidRDefault="006E5834" w:rsidP="006D3132">
            <w:pPr>
              <w:rPr>
                <w:color w:val="000000"/>
                <w:sz w:val="20"/>
                <w:szCs w:val="20"/>
              </w:rPr>
            </w:pPr>
            <w:r w:rsidRPr="002A063A">
              <w:rPr>
                <w:color w:val="000000"/>
                <w:sz w:val="20"/>
                <w:szCs w:val="20"/>
              </w:rPr>
              <w:lastRenderedPageBreak/>
              <w:t>The effect of school attendance and school dropout on incident HIV and HSV-2 among young women in rural South Africa enrolled in HPTN 068</w:t>
            </w:r>
          </w:p>
        </w:tc>
        <w:tc>
          <w:tcPr>
            <w:tcW w:w="1440" w:type="dxa"/>
            <w:shd w:val="clear" w:color="auto" w:fill="auto"/>
            <w:noWrap/>
            <w:hideMark/>
          </w:tcPr>
          <w:p w14:paraId="6CFDA600" w14:textId="77777777" w:rsidR="006E5834" w:rsidRPr="002A063A" w:rsidRDefault="006E5834" w:rsidP="006D3132">
            <w:pPr>
              <w:rPr>
                <w:color w:val="000000"/>
                <w:sz w:val="20"/>
                <w:szCs w:val="20"/>
              </w:rPr>
            </w:pPr>
            <w:r w:rsidRPr="002A063A">
              <w:rPr>
                <w:color w:val="000000"/>
                <w:sz w:val="20"/>
                <w:szCs w:val="20"/>
              </w:rPr>
              <w:t>Schooling</w:t>
            </w:r>
          </w:p>
        </w:tc>
      </w:tr>
      <w:tr w:rsidR="006E5834" w:rsidRPr="00C6712B" w14:paraId="7DC7F7E8" w14:textId="77777777" w:rsidTr="006D3132">
        <w:trPr>
          <w:trHeight w:val="340"/>
          <w:jc w:val="center"/>
        </w:trPr>
        <w:tc>
          <w:tcPr>
            <w:tcW w:w="720" w:type="dxa"/>
            <w:tcBorders>
              <w:bottom w:val="nil"/>
            </w:tcBorders>
            <w:shd w:val="clear" w:color="auto" w:fill="auto"/>
            <w:noWrap/>
            <w:hideMark/>
          </w:tcPr>
          <w:p w14:paraId="098C405E" w14:textId="77777777" w:rsidR="006E5834" w:rsidRPr="002A063A" w:rsidRDefault="006E5834" w:rsidP="006D3132">
            <w:pPr>
              <w:jc w:val="right"/>
              <w:rPr>
                <w:color w:val="000000"/>
                <w:sz w:val="20"/>
                <w:szCs w:val="20"/>
              </w:rPr>
            </w:pPr>
            <w:r w:rsidRPr="002A063A">
              <w:rPr>
                <w:color w:val="000000"/>
                <w:sz w:val="20"/>
                <w:szCs w:val="20"/>
              </w:rPr>
              <w:t>1994</w:t>
            </w:r>
          </w:p>
        </w:tc>
        <w:tc>
          <w:tcPr>
            <w:tcW w:w="3420" w:type="dxa"/>
            <w:tcBorders>
              <w:bottom w:val="nil"/>
            </w:tcBorders>
            <w:shd w:val="clear" w:color="auto" w:fill="auto"/>
            <w:hideMark/>
          </w:tcPr>
          <w:p w14:paraId="648E140A" w14:textId="77777777" w:rsidR="006E5834" w:rsidRPr="002A063A" w:rsidRDefault="006E5834" w:rsidP="006D3132">
            <w:pPr>
              <w:rPr>
                <w:color w:val="000000"/>
                <w:sz w:val="20"/>
                <w:szCs w:val="20"/>
              </w:rPr>
            </w:pPr>
            <w:r w:rsidRPr="002A063A">
              <w:rPr>
                <w:color w:val="000000"/>
                <w:sz w:val="20"/>
                <w:szCs w:val="20"/>
              </w:rPr>
              <w:t>Waitzman, N. J.; Romano, P. S.; Scheffler, R. M.</w:t>
            </w:r>
          </w:p>
        </w:tc>
        <w:tc>
          <w:tcPr>
            <w:tcW w:w="3690" w:type="dxa"/>
            <w:tcBorders>
              <w:bottom w:val="nil"/>
            </w:tcBorders>
            <w:shd w:val="clear" w:color="auto" w:fill="auto"/>
            <w:hideMark/>
          </w:tcPr>
          <w:p w14:paraId="39A39ED2" w14:textId="77777777" w:rsidR="006E5834" w:rsidRPr="002A063A" w:rsidRDefault="006E5834" w:rsidP="006D3132">
            <w:pPr>
              <w:rPr>
                <w:color w:val="000000"/>
                <w:sz w:val="20"/>
                <w:szCs w:val="20"/>
              </w:rPr>
            </w:pPr>
            <w:r w:rsidRPr="002A063A">
              <w:rPr>
                <w:color w:val="000000"/>
                <w:sz w:val="20"/>
                <w:szCs w:val="20"/>
              </w:rPr>
              <w:t>Estimates of the economic costs of birth defects</w:t>
            </w:r>
          </w:p>
        </w:tc>
        <w:tc>
          <w:tcPr>
            <w:tcW w:w="1440" w:type="dxa"/>
            <w:tcBorders>
              <w:bottom w:val="nil"/>
            </w:tcBorders>
            <w:shd w:val="clear" w:color="auto" w:fill="auto"/>
            <w:noWrap/>
            <w:hideMark/>
          </w:tcPr>
          <w:p w14:paraId="5510BA4D" w14:textId="77777777" w:rsidR="006E5834" w:rsidRPr="002A063A" w:rsidRDefault="006E5834" w:rsidP="006D3132">
            <w:pPr>
              <w:rPr>
                <w:color w:val="000000"/>
                <w:sz w:val="20"/>
                <w:szCs w:val="20"/>
              </w:rPr>
            </w:pPr>
            <w:r w:rsidRPr="002A063A">
              <w:rPr>
                <w:color w:val="000000"/>
                <w:sz w:val="20"/>
                <w:szCs w:val="20"/>
              </w:rPr>
              <w:t>Birth defects</w:t>
            </w:r>
          </w:p>
        </w:tc>
      </w:tr>
      <w:tr w:rsidR="006E5834" w:rsidRPr="00C6712B" w14:paraId="6B6DA23E" w14:textId="77777777" w:rsidTr="006D3132">
        <w:trPr>
          <w:trHeight w:val="680"/>
          <w:jc w:val="center"/>
        </w:trPr>
        <w:tc>
          <w:tcPr>
            <w:tcW w:w="720" w:type="dxa"/>
            <w:shd w:val="clear" w:color="auto" w:fill="auto"/>
            <w:noWrap/>
            <w:hideMark/>
          </w:tcPr>
          <w:p w14:paraId="7B7E7A9C" w14:textId="77777777" w:rsidR="006E5834" w:rsidRPr="002A063A" w:rsidRDefault="006E5834" w:rsidP="006D3132">
            <w:pPr>
              <w:jc w:val="right"/>
              <w:rPr>
                <w:color w:val="000000"/>
                <w:sz w:val="20"/>
                <w:szCs w:val="20"/>
              </w:rPr>
            </w:pPr>
            <w:r w:rsidRPr="002A063A">
              <w:rPr>
                <w:color w:val="000000"/>
                <w:sz w:val="20"/>
                <w:szCs w:val="20"/>
              </w:rPr>
              <w:t>2002</w:t>
            </w:r>
          </w:p>
        </w:tc>
        <w:tc>
          <w:tcPr>
            <w:tcW w:w="3420" w:type="dxa"/>
            <w:shd w:val="clear" w:color="auto" w:fill="auto"/>
            <w:hideMark/>
          </w:tcPr>
          <w:p w14:paraId="3E32B246" w14:textId="77777777" w:rsidR="006E5834" w:rsidRPr="002A063A" w:rsidRDefault="006E5834" w:rsidP="006D3132">
            <w:pPr>
              <w:rPr>
                <w:color w:val="000000"/>
                <w:sz w:val="20"/>
                <w:szCs w:val="20"/>
              </w:rPr>
            </w:pPr>
            <w:r w:rsidRPr="002A063A">
              <w:rPr>
                <w:color w:val="000000"/>
                <w:sz w:val="20"/>
                <w:szCs w:val="20"/>
              </w:rPr>
              <w:t>Wald, Anna; Link, Katherine</w:t>
            </w:r>
          </w:p>
        </w:tc>
        <w:tc>
          <w:tcPr>
            <w:tcW w:w="3690" w:type="dxa"/>
            <w:shd w:val="clear" w:color="auto" w:fill="auto"/>
            <w:hideMark/>
          </w:tcPr>
          <w:p w14:paraId="39EE0E28" w14:textId="77777777" w:rsidR="006E5834" w:rsidRPr="002A063A" w:rsidRDefault="006E5834" w:rsidP="006D3132">
            <w:pPr>
              <w:rPr>
                <w:color w:val="000000"/>
                <w:sz w:val="20"/>
                <w:szCs w:val="20"/>
              </w:rPr>
            </w:pPr>
            <w:r w:rsidRPr="002A063A">
              <w:rPr>
                <w:color w:val="000000"/>
                <w:sz w:val="20"/>
                <w:szCs w:val="20"/>
              </w:rPr>
              <w:t>Risk of human immunodeficiency virus infection in herpes simplex virus type 2-seropositive persons: a meta-analysis</w:t>
            </w:r>
          </w:p>
        </w:tc>
        <w:tc>
          <w:tcPr>
            <w:tcW w:w="1440" w:type="dxa"/>
            <w:shd w:val="clear" w:color="auto" w:fill="auto"/>
            <w:noWrap/>
            <w:hideMark/>
          </w:tcPr>
          <w:p w14:paraId="7CA1EF7E" w14:textId="77777777" w:rsidR="006E5834" w:rsidRPr="002A063A" w:rsidRDefault="006E5834" w:rsidP="006D3132">
            <w:pPr>
              <w:rPr>
                <w:color w:val="000000"/>
                <w:sz w:val="20"/>
                <w:szCs w:val="20"/>
              </w:rPr>
            </w:pPr>
            <w:r w:rsidRPr="002A063A">
              <w:rPr>
                <w:color w:val="000000"/>
                <w:sz w:val="20"/>
                <w:szCs w:val="20"/>
              </w:rPr>
              <w:t>HIV</w:t>
            </w:r>
          </w:p>
        </w:tc>
      </w:tr>
      <w:tr w:rsidR="006E5834" w:rsidRPr="00C6712B" w14:paraId="34CFE96A" w14:textId="77777777" w:rsidTr="006D3132">
        <w:trPr>
          <w:trHeight w:val="680"/>
          <w:jc w:val="center"/>
        </w:trPr>
        <w:tc>
          <w:tcPr>
            <w:tcW w:w="720" w:type="dxa"/>
            <w:shd w:val="clear" w:color="auto" w:fill="auto"/>
            <w:noWrap/>
            <w:hideMark/>
          </w:tcPr>
          <w:p w14:paraId="67F60CE5" w14:textId="77777777" w:rsidR="006E5834" w:rsidRPr="002A063A" w:rsidRDefault="006E5834" w:rsidP="006D3132">
            <w:pPr>
              <w:jc w:val="right"/>
              <w:rPr>
                <w:color w:val="000000"/>
                <w:sz w:val="20"/>
                <w:szCs w:val="20"/>
              </w:rPr>
            </w:pPr>
            <w:r w:rsidRPr="002A063A">
              <w:rPr>
                <w:color w:val="000000"/>
                <w:sz w:val="20"/>
                <w:szCs w:val="20"/>
              </w:rPr>
              <w:t>2003</w:t>
            </w:r>
          </w:p>
        </w:tc>
        <w:tc>
          <w:tcPr>
            <w:tcW w:w="3420" w:type="dxa"/>
            <w:shd w:val="clear" w:color="auto" w:fill="auto"/>
            <w:hideMark/>
          </w:tcPr>
          <w:p w14:paraId="6559AE71" w14:textId="77777777" w:rsidR="006E5834" w:rsidRPr="002A063A" w:rsidRDefault="006E5834" w:rsidP="006D3132">
            <w:pPr>
              <w:rPr>
                <w:color w:val="000000"/>
                <w:sz w:val="20"/>
                <w:szCs w:val="20"/>
              </w:rPr>
            </w:pPr>
            <w:r w:rsidRPr="002A063A">
              <w:rPr>
                <w:color w:val="000000"/>
                <w:sz w:val="20"/>
                <w:szCs w:val="20"/>
              </w:rPr>
              <w:t>Wollenberg, Andreas; Zoch, Claudia; Wetzel, Stefanie; Plewig, Gerd; Przybilla, Bernhard</w:t>
            </w:r>
          </w:p>
        </w:tc>
        <w:tc>
          <w:tcPr>
            <w:tcW w:w="3690" w:type="dxa"/>
            <w:shd w:val="clear" w:color="auto" w:fill="auto"/>
            <w:hideMark/>
          </w:tcPr>
          <w:p w14:paraId="3C860B8E" w14:textId="77777777" w:rsidR="006E5834" w:rsidRPr="002A063A" w:rsidRDefault="006E5834" w:rsidP="006D3132">
            <w:pPr>
              <w:rPr>
                <w:color w:val="000000"/>
                <w:sz w:val="20"/>
                <w:szCs w:val="20"/>
              </w:rPr>
            </w:pPr>
            <w:r w:rsidRPr="002A063A">
              <w:rPr>
                <w:color w:val="000000"/>
                <w:sz w:val="20"/>
                <w:szCs w:val="20"/>
              </w:rPr>
              <w:t>Predisposing factors and clinical features of eczema herpeticum: a retrospective analysis of 100 cases</w:t>
            </w:r>
          </w:p>
        </w:tc>
        <w:tc>
          <w:tcPr>
            <w:tcW w:w="1440" w:type="dxa"/>
            <w:shd w:val="clear" w:color="auto" w:fill="auto"/>
            <w:noWrap/>
            <w:hideMark/>
          </w:tcPr>
          <w:p w14:paraId="7D760CA4" w14:textId="77777777" w:rsidR="006E5834" w:rsidRPr="002A063A" w:rsidRDefault="006E5834" w:rsidP="006D3132">
            <w:pPr>
              <w:rPr>
                <w:color w:val="000000"/>
                <w:sz w:val="20"/>
                <w:szCs w:val="20"/>
              </w:rPr>
            </w:pPr>
            <w:r w:rsidRPr="002A063A">
              <w:rPr>
                <w:color w:val="000000"/>
                <w:sz w:val="20"/>
                <w:szCs w:val="20"/>
              </w:rPr>
              <w:t>Eczema</w:t>
            </w:r>
          </w:p>
        </w:tc>
      </w:tr>
      <w:tr w:rsidR="006E5834" w:rsidRPr="00C6712B" w14:paraId="3B315FDB" w14:textId="77777777" w:rsidTr="006D3132">
        <w:trPr>
          <w:trHeight w:val="340"/>
          <w:jc w:val="center"/>
        </w:trPr>
        <w:tc>
          <w:tcPr>
            <w:tcW w:w="720" w:type="dxa"/>
            <w:shd w:val="clear" w:color="auto" w:fill="auto"/>
            <w:noWrap/>
            <w:hideMark/>
          </w:tcPr>
          <w:p w14:paraId="273A4879" w14:textId="77777777" w:rsidR="006E5834" w:rsidRPr="002A063A" w:rsidRDefault="006E5834" w:rsidP="006D3132">
            <w:pPr>
              <w:jc w:val="right"/>
              <w:rPr>
                <w:color w:val="000000"/>
                <w:sz w:val="20"/>
                <w:szCs w:val="20"/>
              </w:rPr>
            </w:pPr>
            <w:r w:rsidRPr="002A063A">
              <w:rPr>
                <w:color w:val="000000"/>
                <w:sz w:val="20"/>
                <w:szCs w:val="20"/>
              </w:rPr>
              <w:t>1976</w:t>
            </w:r>
          </w:p>
        </w:tc>
        <w:tc>
          <w:tcPr>
            <w:tcW w:w="3420" w:type="dxa"/>
            <w:shd w:val="clear" w:color="auto" w:fill="auto"/>
            <w:hideMark/>
          </w:tcPr>
          <w:p w14:paraId="01FB0FF2" w14:textId="77777777" w:rsidR="006E5834" w:rsidRPr="002A063A" w:rsidRDefault="006E5834" w:rsidP="006D3132">
            <w:pPr>
              <w:jc w:val="right"/>
              <w:rPr>
                <w:color w:val="000000"/>
                <w:sz w:val="20"/>
                <w:szCs w:val="20"/>
              </w:rPr>
            </w:pPr>
          </w:p>
        </w:tc>
        <w:tc>
          <w:tcPr>
            <w:tcW w:w="3690" w:type="dxa"/>
            <w:shd w:val="clear" w:color="auto" w:fill="auto"/>
            <w:hideMark/>
          </w:tcPr>
          <w:p w14:paraId="179F5D0E" w14:textId="77777777" w:rsidR="006E5834" w:rsidRPr="002A063A" w:rsidRDefault="006E5834" w:rsidP="006D3132">
            <w:pPr>
              <w:rPr>
                <w:color w:val="000000"/>
                <w:sz w:val="20"/>
                <w:szCs w:val="20"/>
              </w:rPr>
            </w:pPr>
            <w:r w:rsidRPr="002A063A">
              <w:rPr>
                <w:color w:val="000000"/>
                <w:sz w:val="20"/>
                <w:szCs w:val="20"/>
              </w:rPr>
              <w:t>Editorial: Herpesvirus and cancer of uterine cervix</w:t>
            </w:r>
          </w:p>
        </w:tc>
        <w:tc>
          <w:tcPr>
            <w:tcW w:w="1440" w:type="dxa"/>
            <w:shd w:val="clear" w:color="auto" w:fill="auto"/>
            <w:noWrap/>
            <w:hideMark/>
          </w:tcPr>
          <w:p w14:paraId="57C1A705" w14:textId="77777777" w:rsidR="006E5834" w:rsidRPr="002A063A" w:rsidRDefault="006E5834" w:rsidP="006D3132">
            <w:pPr>
              <w:rPr>
                <w:color w:val="000000"/>
                <w:sz w:val="20"/>
                <w:szCs w:val="20"/>
              </w:rPr>
            </w:pPr>
            <w:r w:rsidRPr="002A063A">
              <w:rPr>
                <w:color w:val="000000"/>
                <w:sz w:val="20"/>
                <w:szCs w:val="20"/>
              </w:rPr>
              <w:t>Partner violence</w:t>
            </w:r>
          </w:p>
        </w:tc>
      </w:tr>
      <w:tr w:rsidR="006E5834" w:rsidRPr="00C6712B" w14:paraId="5394C393" w14:textId="77777777" w:rsidTr="006D3132">
        <w:trPr>
          <w:trHeight w:val="680"/>
          <w:jc w:val="center"/>
        </w:trPr>
        <w:tc>
          <w:tcPr>
            <w:tcW w:w="720" w:type="dxa"/>
            <w:tcBorders>
              <w:bottom w:val="nil"/>
            </w:tcBorders>
            <w:shd w:val="clear" w:color="auto" w:fill="auto"/>
            <w:noWrap/>
            <w:hideMark/>
          </w:tcPr>
          <w:p w14:paraId="703723C1" w14:textId="77777777" w:rsidR="006E5834" w:rsidRPr="002A063A" w:rsidRDefault="006E5834" w:rsidP="006D3132">
            <w:pPr>
              <w:jc w:val="right"/>
              <w:rPr>
                <w:color w:val="000000"/>
                <w:sz w:val="20"/>
                <w:szCs w:val="20"/>
              </w:rPr>
            </w:pPr>
            <w:r w:rsidRPr="002A063A">
              <w:rPr>
                <w:color w:val="000000"/>
                <w:sz w:val="20"/>
                <w:szCs w:val="20"/>
              </w:rPr>
              <w:t>2013</w:t>
            </w:r>
          </w:p>
        </w:tc>
        <w:tc>
          <w:tcPr>
            <w:tcW w:w="3420" w:type="dxa"/>
            <w:tcBorders>
              <w:bottom w:val="nil"/>
            </w:tcBorders>
            <w:shd w:val="clear" w:color="auto" w:fill="auto"/>
            <w:hideMark/>
          </w:tcPr>
          <w:p w14:paraId="0E63A318" w14:textId="77777777" w:rsidR="006E5834" w:rsidRPr="002A063A" w:rsidRDefault="006E5834" w:rsidP="006D3132">
            <w:pPr>
              <w:rPr>
                <w:color w:val="000000"/>
                <w:sz w:val="20"/>
                <w:szCs w:val="20"/>
              </w:rPr>
            </w:pPr>
            <w:r w:rsidRPr="002A063A">
              <w:rPr>
                <w:color w:val="000000"/>
                <w:sz w:val="20"/>
                <w:szCs w:val="20"/>
              </w:rPr>
              <w:t>Biraro, Samuel; Ruzagira, Eugene; Kamali, Anatoli; Whitworth, James; Grosskurth, Heiner; Weiss, Helen A.</w:t>
            </w:r>
          </w:p>
        </w:tc>
        <w:tc>
          <w:tcPr>
            <w:tcW w:w="3690" w:type="dxa"/>
            <w:tcBorders>
              <w:bottom w:val="nil"/>
            </w:tcBorders>
            <w:shd w:val="clear" w:color="auto" w:fill="auto"/>
            <w:hideMark/>
          </w:tcPr>
          <w:p w14:paraId="1F748C7D" w14:textId="77777777" w:rsidR="006E5834" w:rsidRPr="002A063A" w:rsidRDefault="006E5834" w:rsidP="006D3132">
            <w:pPr>
              <w:rPr>
                <w:color w:val="000000"/>
                <w:sz w:val="20"/>
                <w:szCs w:val="20"/>
              </w:rPr>
            </w:pPr>
            <w:r w:rsidRPr="002A063A">
              <w:rPr>
                <w:color w:val="000000"/>
                <w:sz w:val="20"/>
                <w:szCs w:val="20"/>
              </w:rPr>
              <w:t>HIV-1 transmission within marriage in rural Uganda: a longitudinal study</w:t>
            </w:r>
          </w:p>
        </w:tc>
        <w:tc>
          <w:tcPr>
            <w:tcW w:w="1440" w:type="dxa"/>
            <w:tcBorders>
              <w:bottom w:val="nil"/>
            </w:tcBorders>
            <w:shd w:val="clear" w:color="auto" w:fill="auto"/>
            <w:noWrap/>
            <w:hideMark/>
          </w:tcPr>
          <w:p w14:paraId="553E56CC" w14:textId="77777777" w:rsidR="006E5834" w:rsidRPr="002A063A" w:rsidRDefault="006E5834" w:rsidP="006D3132">
            <w:pPr>
              <w:rPr>
                <w:color w:val="000000"/>
                <w:sz w:val="20"/>
                <w:szCs w:val="20"/>
              </w:rPr>
            </w:pPr>
            <w:r w:rsidRPr="002A063A">
              <w:rPr>
                <w:color w:val="000000"/>
                <w:sz w:val="20"/>
                <w:szCs w:val="20"/>
              </w:rPr>
              <w:t>Duplicate</w:t>
            </w:r>
          </w:p>
        </w:tc>
      </w:tr>
      <w:tr w:rsidR="006E5834" w:rsidRPr="00C6712B" w14:paraId="7FD0FD61" w14:textId="77777777" w:rsidTr="006D3132">
        <w:trPr>
          <w:trHeight w:val="680"/>
          <w:jc w:val="center"/>
        </w:trPr>
        <w:tc>
          <w:tcPr>
            <w:tcW w:w="720" w:type="dxa"/>
            <w:shd w:val="clear" w:color="auto" w:fill="auto"/>
            <w:noWrap/>
            <w:hideMark/>
          </w:tcPr>
          <w:p w14:paraId="07D38B49" w14:textId="77777777" w:rsidR="006E5834" w:rsidRPr="002A063A" w:rsidRDefault="006E5834" w:rsidP="006D3132">
            <w:pPr>
              <w:jc w:val="right"/>
              <w:rPr>
                <w:color w:val="000000"/>
                <w:sz w:val="20"/>
                <w:szCs w:val="20"/>
              </w:rPr>
            </w:pPr>
            <w:r w:rsidRPr="002A063A">
              <w:rPr>
                <w:color w:val="000000"/>
                <w:sz w:val="20"/>
                <w:szCs w:val="20"/>
              </w:rPr>
              <w:t>2001</w:t>
            </w:r>
          </w:p>
        </w:tc>
        <w:tc>
          <w:tcPr>
            <w:tcW w:w="3420" w:type="dxa"/>
            <w:shd w:val="clear" w:color="auto" w:fill="auto"/>
            <w:hideMark/>
          </w:tcPr>
          <w:p w14:paraId="5993210C" w14:textId="77777777" w:rsidR="006E5834" w:rsidRPr="002A063A" w:rsidRDefault="006E5834" w:rsidP="006D3132">
            <w:pPr>
              <w:rPr>
                <w:color w:val="000000"/>
                <w:sz w:val="20"/>
                <w:szCs w:val="20"/>
              </w:rPr>
            </w:pPr>
            <w:r w:rsidRPr="002A063A">
              <w:rPr>
                <w:color w:val="000000"/>
                <w:sz w:val="20"/>
                <w:szCs w:val="20"/>
              </w:rPr>
              <w:t>Bogaerts, J.; Ahmed, J.; Akhter, N.; Begum, N.; Rahman, M.; Nahar, S.; Van Ranst, M.; Verhaegen, J.</w:t>
            </w:r>
          </w:p>
        </w:tc>
        <w:tc>
          <w:tcPr>
            <w:tcW w:w="3690" w:type="dxa"/>
            <w:shd w:val="clear" w:color="auto" w:fill="auto"/>
            <w:hideMark/>
          </w:tcPr>
          <w:p w14:paraId="7C67A5AB" w14:textId="77777777" w:rsidR="006E5834" w:rsidRPr="002A063A" w:rsidRDefault="006E5834" w:rsidP="006D3132">
            <w:pPr>
              <w:rPr>
                <w:color w:val="000000"/>
                <w:sz w:val="20"/>
                <w:szCs w:val="20"/>
              </w:rPr>
            </w:pPr>
            <w:r w:rsidRPr="002A063A">
              <w:rPr>
                <w:color w:val="000000"/>
                <w:sz w:val="20"/>
                <w:szCs w:val="20"/>
              </w:rPr>
              <w:t>Sexually transmitted infections among married women in Dhaka, Bangladesh: unexpected high prevalence of herpes simplex type 2 infection</w:t>
            </w:r>
          </w:p>
        </w:tc>
        <w:tc>
          <w:tcPr>
            <w:tcW w:w="1440" w:type="dxa"/>
            <w:shd w:val="clear" w:color="auto" w:fill="auto"/>
            <w:noWrap/>
            <w:hideMark/>
          </w:tcPr>
          <w:p w14:paraId="2F4B88EF" w14:textId="77777777" w:rsidR="006E5834" w:rsidRPr="002A063A" w:rsidRDefault="006E5834" w:rsidP="006D3132">
            <w:pPr>
              <w:rPr>
                <w:color w:val="000000"/>
                <w:sz w:val="20"/>
                <w:szCs w:val="20"/>
              </w:rPr>
            </w:pPr>
            <w:r w:rsidRPr="002A063A">
              <w:rPr>
                <w:color w:val="000000"/>
                <w:sz w:val="20"/>
                <w:szCs w:val="20"/>
              </w:rPr>
              <w:t>Duplicate</w:t>
            </w:r>
          </w:p>
        </w:tc>
      </w:tr>
      <w:tr w:rsidR="006E5834" w:rsidRPr="00C6712B" w14:paraId="4A573B1B" w14:textId="77777777" w:rsidTr="006D3132">
        <w:trPr>
          <w:trHeight w:val="680"/>
          <w:jc w:val="center"/>
        </w:trPr>
        <w:tc>
          <w:tcPr>
            <w:tcW w:w="720" w:type="dxa"/>
            <w:shd w:val="clear" w:color="auto" w:fill="auto"/>
            <w:noWrap/>
            <w:hideMark/>
          </w:tcPr>
          <w:p w14:paraId="0F957A29" w14:textId="77777777" w:rsidR="006E5834" w:rsidRPr="002A063A" w:rsidRDefault="006E5834" w:rsidP="006D3132">
            <w:pPr>
              <w:jc w:val="right"/>
              <w:rPr>
                <w:color w:val="000000"/>
                <w:sz w:val="20"/>
                <w:szCs w:val="20"/>
              </w:rPr>
            </w:pPr>
            <w:r w:rsidRPr="002A063A">
              <w:rPr>
                <w:color w:val="000000"/>
                <w:sz w:val="20"/>
                <w:szCs w:val="20"/>
              </w:rPr>
              <w:t>2013</w:t>
            </w:r>
          </w:p>
        </w:tc>
        <w:tc>
          <w:tcPr>
            <w:tcW w:w="3420" w:type="dxa"/>
            <w:shd w:val="clear" w:color="auto" w:fill="auto"/>
            <w:hideMark/>
          </w:tcPr>
          <w:p w14:paraId="747C3D8D" w14:textId="77777777" w:rsidR="006E5834" w:rsidRPr="002A063A" w:rsidRDefault="006E5834" w:rsidP="006D3132">
            <w:pPr>
              <w:rPr>
                <w:color w:val="000000"/>
                <w:sz w:val="20"/>
                <w:szCs w:val="20"/>
              </w:rPr>
            </w:pPr>
            <w:r w:rsidRPr="002A063A">
              <w:rPr>
                <w:color w:val="000000"/>
                <w:sz w:val="20"/>
                <w:szCs w:val="20"/>
              </w:rPr>
              <w:t>Burrel, Sonia; Aime, Catherine; Hermet, Laurence; Ait-Arkoub, Zaïna; Agut, Henri; Boutolleau, David</w:t>
            </w:r>
          </w:p>
        </w:tc>
        <w:tc>
          <w:tcPr>
            <w:tcW w:w="3690" w:type="dxa"/>
            <w:shd w:val="clear" w:color="auto" w:fill="auto"/>
            <w:hideMark/>
          </w:tcPr>
          <w:p w14:paraId="5D522F13" w14:textId="77777777" w:rsidR="006E5834" w:rsidRPr="002A063A" w:rsidRDefault="006E5834" w:rsidP="006D3132">
            <w:pPr>
              <w:rPr>
                <w:color w:val="000000"/>
                <w:sz w:val="20"/>
                <w:szCs w:val="20"/>
              </w:rPr>
            </w:pPr>
            <w:r w:rsidRPr="002A063A">
              <w:rPr>
                <w:color w:val="000000"/>
                <w:sz w:val="20"/>
                <w:szCs w:val="20"/>
              </w:rPr>
              <w:t>Surveillance of herpes simplex virus resistance to antivirals: a 4-year survey</w:t>
            </w:r>
          </w:p>
        </w:tc>
        <w:tc>
          <w:tcPr>
            <w:tcW w:w="1440" w:type="dxa"/>
            <w:shd w:val="clear" w:color="auto" w:fill="auto"/>
            <w:noWrap/>
            <w:hideMark/>
          </w:tcPr>
          <w:p w14:paraId="34E4D8A0" w14:textId="77777777" w:rsidR="006E5834" w:rsidRPr="002A063A" w:rsidRDefault="006E5834" w:rsidP="006D3132">
            <w:pPr>
              <w:rPr>
                <w:color w:val="000000"/>
                <w:sz w:val="20"/>
                <w:szCs w:val="20"/>
              </w:rPr>
            </w:pPr>
            <w:r w:rsidRPr="002A063A">
              <w:rPr>
                <w:color w:val="000000"/>
                <w:sz w:val="20"/>
                <w:szCs w:val="20"/>
              </w:rPr>
              <w:t>Duplicate</w:t>
            </w:r>
          </w:p>
        </w:tc>
      </w:tr>
      <w:tr w:rsidR="006E5834" w:rsidRPr="00C6712B" w14:paraId="02F7DEBA" w14:textId="77777777" w:rsidTr="006D3132">
        <w:trPr>
          <w:trHeight w:val="340"/>
          <w:jc w:val="center"/>
        </w:trPr>
        <w:tc>
          <w:tcPr>
            <w:tcW w:w="720" w:type="dxa"/>
            <w:shd w:val="clear" w:color="auto" w:fill="auto"/>
            <w:noWrap/>
            <w:hideMark/>
          </w:tcPr>
          <w:p w14:paraId="0F835181" w14:textId="77777777" w:rsidR="006E5834" w:rsidRPr="002A063A" w:rsidRDefault="006E5834" w:rsidP="006D3132">
            <w:pPr>
              <w:jc w:val="right"/>
              <w:rPr>
                <w:color w:val="000000"/>
                <w:sz w:val="20"/>
                <w:szCs w:val="20"/>
              </w:rPr>
            </w:pPr>
            <w:r w:rsidRPr="002A063A">
              <w:rPr>
                <w:color w:val="000000"/>
                <w:sz w:val="20"/>
                <w:szCs w:val="20"/>
              </w:rPr>
              <w:t>1994</w:t>
            </w:r>
          </w:p>
        </w:tc>
        <w:tc>
          <w:tcPr>
            <w:tcW w:w="3420" w:type="dxa"/>
            <w:shd w:val="clear" w:color="auto" w:fill="auto"/>
            <w:hideMark/>
          </w:tcPr>
          <w:p w14:paraId="3BDA7B69" w14:textId="77777777" w:rsidR="006E5834" w:rsidRPr="002A063A" w:rsidRDefault="006E5834" w:rsidP="006D3132">
            <w:pPr>
              <w:rPr>
                <w:color w:val="000000"/>
                <w:sz w:val="20"/>
                <w:szCs w:val="20"/>
              </w:rPr>
            </w:pPr>
            <w:r w:rsidRPr="002A063A">
              <w:rPr>
                <w:color w:val="000000"/>
                <w:sz w:val="20"/>
                <w:szCs w:val="20"/>
              </w:rPr>
              <w:t>Carney, O.; Ross, E.; Bunker, C.; Ikkos, G.; Mindel, A.</w:t>
            </w:r>
          </w:p>
        </w:tc>
        <w:tc>
          <w:tcPr>
            <w:tcW w:w="3690" w:type="dxa"/>
            <w:shd w:val="clear" w:color="auto" w:fill="auto"/>
            <w:hideMark/>
          </w:tcPr>
          <w:p w14:paraId="47BD31CD" w14:textId="77777777" w:rsidR="006E5834" w:rsidRPr="002A063A" w:rsidRDefault="006E5834" w:rsidP="006D3132">
            <w:pPr>
              <w:rPr>
                <w:color w:val="000000"/>
                <w:sz w:val="20"/>
                <w:szCs w:val="20"/>
              </w:rPr>
            </w:pPr>
            <w:r w:rsidRPr="002A063A">
              <w:rPr>
                <w:color w:val="000000"/>
                <w:sz w:val="20"/>
                <w:szCs w:val="20"/>
              </w:rPr>
              <w:t>A prospective study of the psychological impact on patients with a first episode of genital herpes</w:t>
            </w:r>
          </w:p>
        </w:tc>
        <w:tc>
          <w:tcPr>
            <w:tcW w:w="1440" w:type="dxa"/>
            <w:shd w:val="clear" w:color="auto" w:fill="auto"/>
            <w:noWrap/>
            <w:hideMark/>
          </w:tcPr>
          <w:p w14:paraId="402C6A54" w14:textId="77777777" w:rsidR="006E5834" w:rsidRPr="002A063A" w:rsidRDefault="006E5834" w:rsidP="006D3132">
            <w:pPr>
              <w:rPr>
                <w:color w:val="000000"/>
                <w:sz w:val="20"/>
                <w:szCs w:val="20"/>
              </w:rPr>
            </w:pPr>
            <w:r w:rsidRPr="002A063A">
              <w:rPr>
                <w:color w:val="000000"/>
                <w:sz w:val="20"/>
                <w:szCs w:val="20"/>
              </w:rPr>
              <w:t>Psychological</w:t>
            </w:r>
          </w:p>
        </w:tc>
      </w:tr>
      <w:tr w:rsidR="006E5834" w:rsidRPr="00C6712B" w14:paraId="2D878A12" w14:textId="77777777" w:rsidTr="006D3132">
        <w:trPr>
          <w:trHeight w:val="680"/>
          <w:jc w:val="center"/>
        </w:trPr>
        <w:tc>
          <w:tcPr>
            <w:tcW w:w="720" w:type="dxa"/>
            <w:shd w:val="clear" w:color="auto" w:fill="auto"/>
            <w:noWrap/>
            <w:hideMark/>
          </w:tcPr>
          <w:p w14:paraId="7A28409C" w14:textId="77777777" w:rsidR="006E5834" w:rsidRPr="002A063A" w:rsidRDefault="006E5834" w:rsidP="006D3132">
            <w:pPr>
              <w:jc w:val="right"/>
              <w:rPr>
                <w:color w:val="000000"/>
                <w:sz w:val="20"/>
                <w:szCs w:val="20"/>
              </w:rPr>
            </w:pPr>
            <w:r w:rsidRPr="002A063A">
              <w:rPr>
                <w:color w:val="000000"/>
                <w:sz w:val="20"/>
                <w:szCs w:val="20"/>
              </w:rPr>
              <w:t>2014</w:t>
            </w:r>
          </w:p>
        </w:tc>
        <w:tc>
          <w:tcPr>
            <w:tcW w:w="3420" w:type="dxa"/>
            <w:shd w:val="clear" w:color="auto" w:fill="auto"/>
            <w:hideMark/>
          </w:tcPr>
          <w:p w14:paraId="7543A5F8" w14:textId="77777777" w:rsidR="006E5834" w:rsidRPr="002A063A" w:rsidRDefault="006E5834" w:rsidP="006D3132">
            <w:pPr>
              <w:rPr>
                <w:color w:val="000000"/>
                <w:sz w:val="20"/>
                <w:szCs w:val="20"/>
              </w:rPr>
            </w:pPr>
            <w:r w:rsidRPr="002A063A">
              <w:rPr>
                <w:color w:val="000000"/>
                <w:sz w:val="20"/>
                <w:szCs w:val="20"/>
              </w:rPr>
              <w:t>Glynn, Judith R.; Kayuni, Ndoliwe; Gondwe, Levie; Price, Alison J.; Crampin, Amelia C.</w:t>
            </w:r>
          </w:p>
        </w:tc>
        <w:tc>
          <w:tcPr>
            <w:tcW w:w="3690" w:type="dxa"/>
            <w:shd w:val="clear" w:color="auto" w:fill="auto"/>
            <w:hideMark/>
          </w:tcPr>
          <w:p w14:paraId="3F431142" w14:textId="77777777" w:rsidR="006E5834" w:rsidRPr="002A063A" w:rsidRDefault="006E5834" w:rsidP="006D3132">
            <w:pPr>
              <w:rPr>
                <w:color w:val="000000"/>
                <w:sz w:val="20"/>
                <w:szCs w:val="20"/>
              </w:rPr>
            </w:pPr>
            <w:r w:rsidRPr="002A063A">
              <w:rPr>
                <w:color w:val="000000"/>
                <w:sz w:val="20"/>
                <w:szCs w:val="20"/>
              </w:rPr>
              <w:t>Earlier menarche is associated with a higher prevalence of Herpes simplex type-2 (HSV-2) in young women in rural Malawi</w:t>
            </w:r>
          </w:p>
        </w:tc>
        <w:tc>
          <w:tcPr>
            <w:tcW w:w="1440" w:type="dxa"/>
            <w:shd w:val="clear" w:color="auto" w:fill="auto"/>
            <w:noWrap/>
            <w:hideMark/>
          </w:tcPr>
          <w:p w14:paraId="0AF9D5B0" w14:textId="77777777" w:rsidR="006E5834" w:rsidRPr="002A063A" w:rsidRDefault="006E5834" w:rsidP="006D3132">
            <w:pPr>
              <w:rPr>
                <w:color w:val="000000"/>
                <w:sz w:val="20"/>
                <w:szCs w:val="20"/>
              </w:rPr>
            </w:pPr>
            <w:r w:rsidRPr="002A063A">
              <w:rPr>
                <w:color w:val="000000"/>
                <w:sz w:val="20"/>
                <w:szCs w:val="20"/>
              </w:rPr>
              <w:t>early menarche</w:t>
            </w:r>
          </w:p>
        </w:tc>
      </w:tr>
      <w:tr w:rsidR="006E5834" w:rsidRPr="00C6712B" w14:paraId="42BE269A" w14:textId="77777777" w:rsidTr="006D3132">
        <w:trPr>
          <w:trHeight w:val="680"/>
          <w:jc w:val="center"/>
        </w:trPr>
        <w:tc>
          <w:tcPr>
            <w:tcW w:w="720" w:type="dxa"/>
            <w:shd w:val="clear" w:color="auto" w:fill="auto"/>
            <w:noWrap/>
            <w:hideMark/>
          </w:tcPr>
          <w:p w14:paraId="43C892CE" w14:textId="77777777" w:rsidR="006E5834" w:rsidRPr="002A063A" w:rsidRDefault="006E5834" w:rsidP="006D3132">
            <w:pPr>
              <w:jc w:val="right"/>
              <w:rPr>
                <w:color w:val="000000"/>
                <w:sz w:val="20"/>
                <w:szCs w:val="20"/>
              </w:rPr>
            </w:pPr>
            <w:r w:rsidRPr="002A063A">
              <w:rPr>
                <w:color w:val="000000"/>
                <w:sz w:val="20"/>
                <w:szCs w:val="20"/>
              </w:rPr>
              <w:t>2015</w:t>
            </w:r>
          </w:p>
        </w:tc>
        <w:tc>
          <w:tcPr>
            <w:tcW w:w="3420" w:type="dxa"/>
            <w:shd w:val="clear" w:color="auto" w:fill="auto"/>
            <w:hideMark/>
          </w:tcPr>
          <w:p w14:paraId="00B4C082" w14:textId="77777777" w:rsidR="006E5834" w:rsidRPr="002A063A" w:rsidRDefault="006E5834" w:rsidP="006D3132">
            <w:pPr>
              <w:rPr>
                <w:color w:val="000000"/>
                <w:sz w:val="20"/>
                <w:szCs w:val="20"/>
              </w:rPr>
            </w:pPr>
            <w:r w:rsidRPr="002A063A">
              <w:rPr>
                <w:color w:val="000000"/>
                <w:sz w:val="20"/>
                <w:szCs w:val="20"/>
              </w:rPr>
              <w:t>Jena, Anupam B.; Goldman, Dana P.; Seabury, Seth A.</w:t>
            </w:r>
          </w:p>
        </w:tc>
        <w:tc>
          <w:tcPr>
            <w:tcW w:w="3690" w:type="dxa"/>
            <w:shd w:val="clear" w:color="auto" w:fill="auto"/>
            <w:hideMark/>
          </w:tcPr>
          <w:p w14:paraId="3149DC45" w14:textId="77777777" w:rsidR="006E5834" w:rsidRPr="002A063A" w:rsidRDefault="006E5834" w:rsidP="006D3132">
            <w:pPr>
              <w:rPr>
                <w:color w:val="000000"/>
                <w:sz w:val="20"/>
                <w:szCs w:val="20"/>
              </w:rPr>
            </w:pPr>
            <w:r w:rsidRPr="002A063A">
              <w:rPr>
                <w:color w:val="000000"/>
                <w:sz w:val="20"/>
                <w:szCs w:val="20"/>
              </w:rPr>
              <w:t>Incidence of sexually transmitted infections after human papillomavirus vaccination among adolescent females</w:t>
            </w:r>
          </w:p>
        </w:tc>
        <w:tc>
          <w:tcPr>
            <w:tcW w:w="1440" w:type="dxa"/>
            <w:shd w:val="clear" w:color="auto" w:fill="auto"/>
            <w:noWrap/>
            <w:hideMark/>
          </w:tcPr>
          <w:p w14:paraId="799420E0" w14:textId="77777777" w:rsidR="006E5834" w:rsidRPr="002A063A" w:rsidRDefault="006E5834" w:rsidP="006D3132">
            <w:pPr>
              <w:rPr>
                <w:color w:val="000000"/>
                <w:sz w:val="20"/>
                <w:szCs w:val="20"/>
              </w:rPr>
            </w:pPr>
            <w:r w:rsidRPr="002A063A">
              <w:rPr>
                <w:color w:val="000000"/>
                <w:sz w:val="20"/>
                <w:szCs w:val="20"/>
              </w:rPr>
              <w:t>HPV</w:t>
            </w:r>
          </w:p>
        </w:tc>
      </w:tr>
      <w:tr w:rsidR="006E5834" w:rsidRPr="00C6712B" w14:paraId="35DF6427" w14:textId="77777777" w:rsidTr="006D3132">
        <w:trPr>
          <w:trHeight w:val="680"/>
          <w:jc w:val="center"/>
        </w:trPr>
        <w:tc>
          <w:tcPr>
            <w:tcW w:w="720" w:type="dxa"/>
            <w:shd w:val="clear" w:color="auto" w:fill="auto"/>
            <w:noWrap/>
            <w:hideMark/>
          </w:tcPr>
          <w:p w14:paraId="13DBAF80" w14:textId="77777777" w:rsidR="006E5834" w:rsidRPr="002A063A" w:rsidRDefault="006E5834" w:rsidP="006D3132">
            <w:pPr>
              <w:jc w:val="right"/>
              <w:rPr>
                <w:color w:val="000000"/>
                <w:sz w:val="20"/>
                <w:szCs w:val="20"/>
              </w:rPr>
            </w:pPr>
            <w:r w:rsidRPr="002A063A">
              <w:rPr>
                <w:color w:val="000000"/>
                <w:sz w:val="20"/>
                <w:szCs w:val="20"/>
              </w:rPr>
              <w:t>2002</w:t>
            </w:r>
          </w:p>
        </w:tc>
        <w:tc>
          <w:tcPr>
            <w:tcW w:w="3420" w:type="dxa"/>
            <w:shd w:val="clear" w:color="auto" w:fill="auto"/>
            <w:hideMark/>
          </w:tcPr>
          <w:p w14:paraId="6DE874E6" w14:textId="77777777" w:rsidR="006E5834" w:rsidRPr="002A063A" w:rsidRDefault="006E5834" w:rsidP="006D3132">
            <w:pPr>
              <w:rPr>
                <w:color w:val="000000"/>
                <w:sz w:val="20"/>
                <w:szCs w:val="20"/>
              </w:rPr>
            </w:pPr>
            <w:r w:rsidRPr="002A063A">
              <w:rPr>
                <w:color w:val="000000"/>
                <w:sz w:val="20"/>
                <w:szCs w:val="20"/>
              </w:rPr>
              <w:t>Korenromp, Eline L.; Bakker, Roel; De Vlas, Sake J.; Robinson, N. Jamie; Hayes, Richard; Habbema, J. Dik F.</w:t>
            </w:r>
          </w:p>
        </w:tc>
        <w:tc>
          <w:tcPr>
            <w:tcW w:w="3690" w:type="dxa"/>
            <w:shd w:val="clear" w:color="auto" w:fill="auto"/>
            <w:hideMark/>
          </w:tcPr>
          <w:p w14:paraId="09D98CA0" w14:textId="77777777" w:rsidR="006E5834" w:rsidRPr="002A063A" w:rsidRDefault="006E5834" w:rsidP="006D3132">
            <w:pPr>
              <w:rPr>
                <w:color w:val="000000"/>
                <w:sz w:val="20"/>
                <w:szCs w:val="20"/>
              </w:rPr>
            </w:pPr>
            <w:r w:rsidRPr="002A063A">
              <w:rPr>
                <w:color w:val="000000"/>
                <w:sz w:val="20"/>
                <w:szCs w:val="20"/>
              </w:rPr>
              <w:t>Can behavior change explain increases in the proportion of genital ulcers attributable to herpes in sub-Saharan Africa? A simulation modeling study</w:t>
            </w:r>
          </w:p>
        </w:tc>
        <w:tc>
          <w:tcPr>
            <w:tcW w:w="1440" w:type="dxa"/>
            <w:shd w:val="clear" w:color="auto" w:fill="auto"/>
            <w:noWrap/>
            <w:hideMark/>
          </w:tcPr>
          <w:p w14:paraId="79F48D58"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03912003" w14:textId="77777777" w:rsidTr="006D3132">
        <w:trPr>
          <w:trHeight w:val="680"/>
          <w:jc w:val="center"/>
        </w:trPr>
        <w:tc>
          <w:tcPr>
            <w:tcW w:w="720" w:type="dxa"/>
            <w:shd w:val="clear" w:color="auto" w:fill="auto"/>
            <w:noWrap/>
            <w:hideMark/>
          </w:tcPr>
          <w:p w14:paraId="5611F752" w14:textId="77777777" w:rsidR="006E5834" w:rsidRPr="002A063A" w:rsidRDefault="006E5834" w:rsidP="006D3132">
            <w:pPr>
              <w:jc w:val="right"/>
              <w:rPr>
                <w:color w:val="000000"/>
                <w:sz w:val="20"/>
                <w:szCs w:val="20"/>
              </w:rPr>
            </w:pPr>
            <w:r w:rsidRPr="002A063A">
              <w:rPr>
                <w:color w:val="000000"/>
                <w:sz w:val="20"/>
                <w:szCs w:val="20"/>
              </w:rPr>
              <w:t>2000</w:t>
            </w:r>
          </w:p>
        </w:tc>
        <w:tc>
          <w:tcPr>
            <w:tcW w:w="3420" w:type="dxa"/>
            <w:shd w:val="clear" w:color="auto" w:fill="auto"/>
            <w:hideMark/>
          </w:tcPr>
          <w:p w14:paraId="0A49E5C0" w14:textId="77777777" w:rsidR="006E5834" w:rsidRPr="002A063A" w:rsidRDefault="006E5834" w:rsidP="006D3132">
            <w:pPr>
              <w:rPr>
                <w:color w:val="000000"/>
                <w:sz w:val="20"/>
                <w:szCs w:val="20"/>
              </w:rPr>
            </w:pPr>
            <w:r w:rsidRPr="002A063A">
              <w:rPr>
                <w:color w:val="000000"/>
                <w:sz w:val="20"/>
                <w:szCs w:val="20"/>
              </w:rPr>
              <w:t>Meyer-Weitz, A.; Reddy, P.; Van den Borne, H. W.; Kok, G.; Pietersen, J.</w:t>
            </w:r>
          </w:p>
        </w:tc>
        <w:tc>
          <w:tcPr>
            <w:tcW w:w="3690" w:type="dxa"/>
            <w:shd w:val="clear" w:color="auto" w:fill="auto"/>
            <w:hideMark/>
          </w:tcPr>
          <w:p w14:paraId="4FFFABE0" w14:textId="77777777" w:rsidR="006E5834" w:rsidRPr="002A063A" w:rsidRDefault="006E5834" w:rsidP="006D3132">
            <w:pPr>
              <w:rPr>
                <w:color w:val="000000"/>
                <w:sz w:val="20"/>
                <w:szCs w:val="20"/>
              </w:rPr>
            </w:pPr>
            <w:r w:rsidRPr="002A063A">
              <w:rPr>
                <w:color w:val="000000"/>
                <w:sz w:val="20"/>
                <w:szCs w:val="20"/>
              </w:rPr>
              <w:t>Health care seeking behaviour of patients with sexually transmitted diseases: determinants of delay behaviour</w:t>
            </w:r>
          </w:p>
        </w:tc>
        <w:tc>
          <w:tcPr>
            <w:tcW w:w="1440" w:type="dxa"/>
            <w:shd w:val="clear" w:color="auto" w:fill="auto"/>
            <w:noWrap/>
            <w:hideMark/>
          </w:tcPr>
          <w:p w14:paraId="1E7181E6" w14:textId="77777777" w:rsidR="006E5834" w:rsidRPr="002A063A" w:rsidRDefault="006E5834" w:rsidP="006D3132">
            <w:pPr>
              <w:rPr>
                <w:color w:val="000000"/>
                <w:sz w:val="20"/>
                <w:szCs w:val="20"/>
              </w:rPr>
            </w:pPr>
            <w:r w:rsidRPr="002A063A">
              <w:rPr>
                <w:color w:val="000000"/>
                <w:sz w:val="20"/>
                <w:szCs w:val="20"/>
              </w:rPr>
              <w:t>Care seeking</w:t>
            </w:r>
          </w:p>
        </w:tc>
      </w:tr>
      <w:tr w:rsidR="006E5834" w:rsidRPr="00C6712B" w14:paraId="1810505E" w14:textId="77777777" w:rsidTr="006D3132">
        <w:trPr>
          <w:trHeight w:val="340"/>
          <w:jc w:val="center"/>
        </w:trPr>
        <w:tc>
          <w:tcPr>
            <w:tcW w:w="720" w:type="dxa"/>
            <w:shd w:val="clear" w:color="auto" w:fill="auto"/>
            <w:noWrap/>
            <w:hideMark/>
          </w:tcPr>
          <w:p w14:paraId="7185C331" w14:textId="77777777" w:rsidR="006E5834" w:rsidRPr="002A063A" w:rsidRDefault="006E5834" w:rsidP="006D3132">
            <w:pPr>
              <w:jc w:val="right"/>
              <w:rPr>
                <w:color w:val="000000"/>
                <w:sz w:val="20"/>
                <w:szCs w:val="20"/>
              </w:rPr>
            </w:pPr>
            <w:r w:rsidRPr="002A063A">
              <w:rPr>
                <w:color w:val="000000"/>
                <w:sz w:val="20"/>
                <w:szCs w:val="20"/>
              </w:rPr>
              <w:t>2002</w:t>
            </w:r>
          </w:p>
        </w:tc>
        <w:tc>
          <w:tcPr>
            <w:tcW w:w="3420" w:type="dxa"/>
            <w:shd w:val="clear" w:color="auto" w:fill="auto"/>
            <w:hideMark/>
          </w:tcPr>
          <w:p w14:paraId="339E202B" w14:textId="77777777" w:rsidR="006E5834" w:rsidRPr="002A063A" w:rsidRDefault="006E5834" w:rsidP="006D3132">
            <w:pPr>
              <w:rPr>
                <w:color w:val="000000"/>
                <w:sz w:val="20"/>
                <w:szCs w:val="20"/>
              </w:rPr>
            </w:pPr>
            <w:r w:rsidRPr="002A063A">
              <w:rPr>
                <w:color w:val="000000"/>
                <w:sz w:val="20"/>
                <w:szCs w:val="20"/>
              </w:rPr>
              <w:t>O'Farrell, N.</w:t>
            </w:r>
          </w:p>
        </w:tc>
        <w:tc>
          <w:tcPr>
            <w:tcW w:w="3690" w:type="dxa"/>
            <w:shd w:val="clear" w:color="auto" w:fill="auto"/>
            <w:hideMark/>
          </w:tcPr>
          <w:p w14:paraId="5444E4B7" w14:textId="77777777" w:rsidR="006E5834" w:rsidRPr="002A063A" w:rsidRDefault="006E5834" w:rsidP="006D3132">
            <w:pPr>
              <w:rPr>
                <w:color w:val="000000"/>
                <w:sz w:val="20"/>
                <w:szCs w:val="20"/>
              </w:rPr>
            </w:pPr>
            <w:r w:rsidRPr="002A063A">
              <w:rPr>
                <w:color w:val="000000"/>
                <w:sz w:val="20"/>
                <w:szCs w:val="20"/>
              </w:rPr>
              <w:t>Genital ulcers, stigma, HIV, and STI control in sub-Saharan Africa</w:t>
            </w:r>
          </w:p>
        </w:tc>
        <w:tc>
          <w:tcPr>
            <w:tcW w:w="1440" w:type="dxa"/>
            <w:shd w:val="clear" w:color="auto" w:fill="auto"/>
            <w:noWrap/>
            <w:hideMark/>
          </w:tcPr>
          <w:p w14:paraId="72072B2D" w14:textId="77777777" w:rsidR="006E5834" w:rsidRPr="002A063A" w:rsidRDefault="006E5834" w:rsidP="006D3132">
            <w:pPr>
              <w:rPr>
                <w:color w:val="000000"/>
                <w:sz w:val="20"/>
                <w:szCs w:val="20"/>
              </w:rPr>
            </w:pPr>
            <w:r w:rsidRPr="002A063A">
              <w:rPr>
                <w:color w:val="000000"/>
                <w:sz w:val="20"/>
                <w:szCs w:val="20"/>
              </w:rPr>
              <w:t>Stigma</w:t>
            </w:r>
          </w:p>
        </w:tc>
      </w:tr>
      <w:tr w:rsidR="006E5834" w:rsidRPr="00C6712B" w14:paraId="4C5EF460" w14:textId="77777777" w:rsidTr="001F1C09">
        <w:trPr>
          <w:trHeight w:val="340"/>
          <w:jc w:val="center"/>
        </w:trPr>
        <w:tc>
          <w:tcPr>
            <w:tcW w:w="720" w:type="dxa"/>
            <w:tcBorders>
              <w:bottom w:val="single" w:sz="4" w:space="0" w:color="auto"/>
            </w:tcBorders>
            <w:shd w:val="clear" w:color="auto" w:fill="auto"/>
            <w:noWrap/>
            <w:hideMark/>
          </w:tcPr>
          <w:p w14:paraId="44E7D2BB" w14:textId="77777777" w:rsidR="006E5834" w:rsidRPr="002A063A" w:rsidRDefault="006E5834" w:rsidP="006D3132">
            <w:pPr>
              <w:jc w:val="right"/>
              <w:rPr>
                <w:color w:val="000000"/>
                <w:sz w:val="20"/>
                <w:szCs w:val="20"/>
              </w:rPr>
            </w:pPr>
            <w:r w:rsidRPr="002A063A">
              <w:rPr>
                <w:color w:val="000000"/>
                <w:sz w:val="20"/>
                <w:szCs w:val="20"/>
              </w:rPr>
              <w:t>1993</w:t>
            </w:r>
          </w:p>
        </w:tc>
        <w:tc>
          <w:tcPr>
            <w:tcW w:w="3420" w:type="dxa"/>
            <w:tcBorders>
              <w:bottom w:val="single" w:sz="4" w:space="0" w:color="auto"/>
            </w:tcBorders>
            <w:shd w:val="clear" w:color="auto" w:fill="auto"/>
            <w:hideMark/>
          </w:tcPr>
          <w:p w14:paraId="0C8C2CB3" w14:textId="77777777" w:rsidR="006E5834" w:rsidRPr="002A063A" w:rsidRDefault="006E5834" w:rsidP="006D3132">
            <w:pPr>
              <w:rPr>
                <w:color w:val="000000"/>
                <w:sz w:val="20"/>
                <w:szCs w:val="20"/>
              </w:rPr>
            </w:pPr>
            <w:r w:rsidRPr="002A063A">
              <w:rPr>
                <w:color w:val="000000"/>
                <w:sz w:val="20"/>
                <w:szCs w:val="20"/>
              </w:rPr>
              <w:t>Randolph, A. G.; Washington, A. E.; Prober, C. G.</w:t>
            </w:r>
          </w:p>
        </w:tc>
        <w:tc>
          <w:tcPr>
            <w:tcW w:w="3690" w:type="dxa"/>
            <w:tcBorders>
              <w:bottom w:val="single" w:sz="4" w:space="0" w:color="auto"/>
            </w:tcBorders>
            <w:shd w:val="clear" w:color="auto" w:fill="auto"/>
            <w:hideMark/>
          </w:tcPr>
          <w:p w14:paraId="789B7D8E" w14:textId="77777777" w:rsidR="006E5834" w:rsidRPr="002A063A" w:rsidRDefault="006E5834" w:rsidP="006D3132">
            <w:pPr>
              <w:rPr>
                <w:color w:val="000000"/>
                <w:sz w:val="20"/>
                <w:szCs w:val="20"/>
              </w:rPr>
            </w:pPr>
            <w:r w:rsidRPr="002A063A">
              <w:rPr>
                <w:color w:val="000000"/>
                <w:sz w:val="20"/>
                <w:szCs w:val="20"/>
              </w:rPr>
              <w:t>Cesarean delivery for women presenting with genital herpes lesions. Efficacy, risks, and costs</w:t>
            </w:r>
          </w:p>
        </w:tc>
        <w:tc>
          <w:tcPr>
            <w:tcW w:w="1440" w:type="dxa"/>
            <w:tcBorders>
              <w:bottom w:val="single" w:sz="4" w:space="0" w:color="auto"/>
            </w:tcBorders>
            <w:shd w:val="clear" w:color="auto" w:fill="auto"/>
            <w:noWrap/>
            <w:hideMark/>
          </w:tcPr>
          <w:p w14:paraId="002CA913" w14:textId="77777777" w:rsidR="006E5834" w:rsidRPr="002A063A" w:rsidRDefault="006E5834" w:rsidP="006D3132">
            <w:pPr>
              <w:rPr>
                <w:color w:val="000000"/>
                <w:sz w:val="20"/>
                <w:szCs w:val="20"/>
              </w:rPr>
            </w:pPr>
            <w:r w:rsidRPr="002A063A">
              <w:rPr>
                <w:color w:val="000000"/>
                <w:sz w:val="20"/>
                <w:szCs w:val="20"/>
              </w:rPr>
              <w:t>Cesarean delivery</w:t>
            </w:r>
          </w:p>
        </w:tc>
      </w:tr>
      <w:tr w:rsidR="006E5834" w:rsidRPr="00C6712B" w14:paraId="32EFACE3" w14:textId="77777777" w:rsidTr="001F1C09">
        <w:trPr>
          <w:trHeight w:val="340"/>
          <w:jc w:val="center"/>
        </w:trPr>
        <w:tc>
          <w:tcPr>
            <w:tcW w:w="720" w:type="dxa"/>
            <w:tcBorders>
              <w:bottom w:val="single" w:sz="4" w:space="0" w:color="auto"/>
            </w:tcBorders>
            <w:shd w:val="clear" w:color="auto" w:fill="auto"/>
            <w:noWrap/>
            <w:hideMark/>
          </w:tcPr>
          <w:p w14:paraId="71D1E2BC" w14:textId="77777777" w:rsidR="006E5834" w:rsidRPr="002A063A" w:rsidRDefault="006E5834" w:rsidP="006D3132">
            <w:pPr>
              <w:jc w:val="right"/>
              <w:rPr>
                <w:color w:val="000000"/>
                <w:sz w:val="20"/>
                <w:szCs w:val="20"/>
              </w:rPr>
            </w:pPr>
            <w:r w:rsidRPr="002A063A">
              <w:rPr>
                <w:color w:val="000000"/>
                <w:sz w:val="20"/>
                <w:szCs w:val="20"/>
              </w:rPr>
              <w:t>1994</w:t>
            </w:r>
          </w:p>
        </w:tc>
        <w:tc>
          <w:tcPr>
            <w:tcW w:w="3420" w:type="dxa"/>
            <w:tcBorders>
              <w:bottom w:val="single" w:sz="4" w:space="0" w:color="auto"/>
            </w:tcBorders>
            <w:shd w:val="clear" w:color="auto" w:fill="auto"/>
            <w:hideMark/>
          </w:tcPr>
          <w:p w14:paraId="1BF4490D" w14:textId="77777777" w:rsidR="006E5834" w:rsidRPr="002A063A" w:rsidRDefault="006E5834" w:rsidP="006D3132">
            <w:pPr>
              <w:rPr>
                <w:color w:val="000000"/>
                <w:sz w:val="20"/>
                <w:szCs w:val="20"/>
              </w:rPr>
            </w:pPr>
            <w:r w:rsidRPr="002A063A">
              <w:rPr>
                <w:color w:val="000000"/>
                <w:sz w:val="20"/>
                <w:szCs w:val="20"/>
              </w:rPr>
              <w:t>Waitzman, N. J.; Romano, P. S.; Scheffler, R. M.</w:t>
            </w:r>
          </w:p>
        </w:tc>
        <w:tc>
          <w:tcPr>
            <w:tcW w:w="3690" w:type="dxa"/>
            <w:tcBorders>
              <w:bottom w:val="single" w:sz="4" w:space="0" w:color="auto"/>
            </w:tcBorders>
            <w:shd w:val="clear" w:color="auto" w:fill="auto"/>
            <w:hideMark/>
          </w:tcPr>
          <w:p w14:paraId="05A329DB" w14:textId="77777777" w:rsidR="006E5834" w:rsidRPr="002A063A" w:rsidRDefault="006E5834" w:rsidP="006D3132">
            <w:pPr>
              <w:rPr>
                <w:color w:val="000000"/>
                <w:sz w:val="20"/>
                <w:szCs w:val="20"/>
              </w:rPr>
            </w:pPr>
            <w:r w:rsidRPr="002A063A">
              <w:rPr>
                <w:color w:val="000000"/>
                <w:sz w:val="20"/>
                <w:szCs w:val="20"/>
              </w:rPr>
              <w:t>Estimates of the economic costs of birth defects</w:t>
            </w:r>
          </w:p>
        </w:tc>
        <w:tc>
          <w:tcPr>
            <w:tcW w:w="1440" w:type="dxa"/>
            <w:tcBorders>
              <w:bottom w:val="single" w:sz="4" w:space="0" w:color="auto"/>
            </w:tcBorders>
            <w:shd w:val="clear" w:color="auto" w:fill="auto"/>
            <w:noWrap/>
            <w:hideMark/>
          </w:tcPr>
          <w:p w14:paraId="5F895787" w14:textId="77777777" w:rsidR="006E5834" w:rsidRPr="002A063A" w:rsidRDefault="006E5834" w:rsidP="006D3132">
            <w:pPr>
              <w:rPr>
                <w:color w:val="000000"/>
                <w:sz w:val="20"/>
                <w:szCs w:val="20"/>
              </w:rPr>
            </w:pPr>
            <w:r w:rsidRPr="002A063A">
              <w:rPr>
                <w:color w:val="000000"/>
                <w:sz w:val="20"/>
                <w:szCs w:val="20"/>
              </w:rPr>
              <w:t>Birth defects</w:t>
            </w:r>
          </w:p>
        </w:tc>
      </w:tr>
    </w:tbl>
    <w:p w14:paraId="214CF9EA" w14:textId="77777777" w:rsidR="006E5834" w:rsidRDefault="006E5834" w:rsidP="005D7657">
      <w:pPr>
        <w:jc w:val="both"/>
        <w:rPr>
          <w:rFonts w:ascii="Arial" w:hAnsi="Arial" w:cs="Arial"/>
          <w:b/>
          <w:sz w:val="22"/>
          <w:szCs w:val="22"/>
        </w:rPr>
      </w:pPr>
    </w:p>
    <w:p w14:paraId="0A4745B2" w14:textId="6B496A78" w:rsidR="00AA3200" w:rsidRDefault="00AA3200" w:rsidP="00A51F50">
      <w:pPr>
        <w:jc w:val="both"/>
        <w:rPr>
          <w:rFonts w:ascii="Arial" w:hAnsi="Arial" w:cs="Arial"/>
          <w:bCs/>
          <w:sz w:val="22"/>
          <w:szCs w:val="22"/>
        </w:rPr>
      </w:pPr>
    </w:p>
    <w:p w14:paraId="194A0147" w14:textId="471FB039" w:rsidR="00B8445A" w:rsidRDefault="00B8445A" w:rsidP="001F1C09">
      <w:pPr>
        <w:jc w:val="both"/>
        <w:rPr>
          <w:rFonts w:ascii="Arial" w:eastAsiaTheme="minorEastAsia" w:hAnsi="Arial" w:cs="Arial"/>
          <w:sz w:val="22"/>
          <w:szCs w:val="22"/>
        </w:rPr>
      </w:pPr>
    </w:p>
    <w:p w14:paraId="25B853B9" w14:textId="77777777" w:rsidR="00B8445A" w:rsidRPr="001F1C09" w:rsidRDefault="00B8445A" w:rsidP="001F1C09">
      <w:pPr>
        <w:ind w:left="720"/>
        <w:jc w:val="both"/>
        <w:rPr>
          <w:rFonts w:ascii="Arial" w:hAnsi="Arial" w:cs="Arial"/>
          <w:bCs/>
          <w:sz w:val="22"/>
          <w:szCs w:val="22"/>
        </w:rPr>
      </w:pPr>
    </w:p>
    <w:p w14:paraId="0C723DC8" w14:textId="77777777" w:rsidR="00A51F50" w:rsidRPr="00EC4166" w:rsidRDefault="00A51F50" w:rsidP="005D7657">
      <w:pPr>
        <w:jc w:val="both"/>
        <w:rPr>
          <w:rFonts w:ascii="Arial" w:hAnsi="Arial" w:cs="Arial"/>
          <w:b/>
          <w:sz w:val="22"/>
          <w:szCs w:val="22"/>
        </w:rPr>
      </w:pPr>
    </w:p>
    <w:p w14:paraId="58593D11" w14:textId="3B72FB11" w:rsidR="0032375A" w:rsidRDefault="0032375A" w:rsidP="00EC4166">
      <w:pPr>
        <w:rPr>
          <w:rFonts w:ascii="Arial" w:hAnsi="Arial" w:cs="Arial"/>
          <w:b/>
          <w:sz w:val="22"/>
          <w:szCs w:val="22"/>
        </w:rPr>
      </w:pPr>
    </w:p>
    <w:p w14:paraId="45168C66" w14:textId="77777777" w:rsidR="0032375A" w:rsidRDefault="0032375A">
      <w:pPr>
        <w:rPr>
          <w:rFonts w:ascii="Arial" w:hAnsi="Arial" w:cs="Arial"/>
          <w:b/>
          <w:sz w:val="22"/>
          <w:szCs w:val="22"/>
        </w:rPr>
      </w:pPr>
      <w:r>
        <w:rPr>
          <w:rFonts w:ascii="Arial" w:hAnsi="Arial" w:cs="Arial"/>
          <w:b/>
          <w:sz w:val="22"/>
          <w:szCs w:val="22"/>
        </w:rPr>
        <w:br w:type="page"/>
      </w:r>
    </w:p>
    <w:p w14:paraId="5B6B38E8" w14:textId="35756893" w:rsidR="00EC4166" w:rsidRDefault="00023AAE" w:rsidP="00EC4166">
      <w:pPr>
        <w:rPr>
          <w:rFonts w:ascii="Arial" w:hAnsi="Arial" w:cs="Arial"/>
          <w:b/>
          <w:sz w:val="22"/>
          <w:szCs w:val="22"/>
        </w:rPr>
      </w:pPr>
      <w:r>
        <w:rPr>
          <w:rFonts w:ascii="Arial" w:hAnsi="Arial" w:cs="Arial"/>
          <w:b/>
          <w:sz w:val="22"/>
          <w:szCs w:val="22"/>
        </w:rPr>
        <w:lastRenderedPageBreak/>
        <w:t>References</w:t>
      </w:r>
    </w:p>
    <w:p w14:paraId="7439A69E" w14:textId="62B9E5B8" w:rsidR="00023AAE" w:rsidRDefault="00023AAE" w:rsidP="00EC4166">
      <w:pPr>
        <w:rPr>
          <w:rFonts w:ascii="Arial" w:hAnsi="Arial" w:cs="Arial"/>
          <w:b/>
          <w:sz w:val="22"/>
          <w:szCs w:val="22"/>
        </w:rPr>
      </w:pPr>
    </w:p>
    <w:p w14:paraId="10AEBA75" w14:textId="77777777" w:rsidR="00023AAE" w:rsidRPr="00EC4166" w:rsidRDefault="00023AAE" w:rsidP="00EC4166">
      <w:pPr>
        <w:rPr>
          <w:rFonts w:ascii="Arial" w:hAnsi="Arial" w:cs="Arial"/>
          <w:b/>
          <w:sz w:val="22"/>
          <w:szCs w:val="22"/>
        </w:rPr>
      </w:pPr>
    </w:p>
    <w:p w14:paraId="709B6DA2" w14:textId="77777777" w:rsidR="0081559F" w:rsidRPr="0081559F" w:rsidRDefault="001F1C09" w:rsidP="0081559F">
      <w:pPr>
        <w:pStyle w:val="Bibliography"/>
      </w:pPr>
      <w:r>
        <w:rPr>
          <w:rFonts w:ascii="Arial" w:hAnsi="Arial" w:cs="Arial"/>
          <w:b/>
          <w:sz w:val="22"/>
          <w:szCs w:val="22"/>
        </w:rPr>
        <w:fldChar w:fldCharType="begin"/>
      </w:r>
      <w:r w:rsidR="0081559F">
        <w:rPr>
          <w:rFonts w:ascii="Arial" w:hAnsi="Arial" w:cs="Arial"/>
          <w:b/>
          <w:sz w:val="22"/>
          <w:szCs w:val="22"/>
        </w:rPr>
        <w:instrText xml:space="preserve"> ADDIN ZOTERO_BIBL {"uncited":[],"omitted":[],"custom":[]} CSL_BIBLIOGRAPHY </w:instrText>
      </w:r>
      <w:r>
        <w:rPr>
          <w:rFonts w:ascii="Arial" w:hAnsi="Arial" w:cs="Arial"/>
          <w:b/>
          <w:sz w:val="22"/>
          <w:szCs w:val="22"/>
        </w:rPr>
        <w:fldChar w:fldCharType="separate"/>
      </w:r>
      <w:r w:rsidR="0081559F" w:rsidRPr="0081559F">
        <w:t xml:space="preserve">1. </w:t>
      </w:r>
      <w:r w:rsidR="0081559F" w:rsidRPr="0081559F">
        <w:tab/>
        <w:t>World Bank Country and Lending Groups – World Bank Data Help Desk [Internet]. [cited 2018 Mar 19]. Available from: https://datahelpdesk.worldbank.org/knowledgebase/articles/906519-world-bank-country-and-lending-groups</w:t>
      </w:r>
    </w:p>
    <w:p w14:paraId="15C9DAF6" w14:textId="77777777" w:rsidR="0081559F" w:rsidRPr="0081559F" w:rsidRDefault="0081559F" w:rsidP="0081559F">
      <w:pPr>
        <w:pStyle w:val="Bibliography"/>
      </w:pPr>
      <w:r w:rsidRPr="0081559F">
        <w:t xml:space="preserve">2. </w:t>
      </w:r>
      <w:r w:rsidRPr="0081559F">
        <w:tab/>
        <w:t>WHO | WHO regional offices [Internet]. WHO. [cited 2018 May 27]. Available from: http://www.who.int/about/regions/en/</w:t>
      </w:r>
    </w:p>
    <w:p w14:paraId="7BE1D3A0" w14:textId="77777777" w:rsidR="0081559F" w:rsidRPr="0081559F" w:rsidRDefault="0081559F" w:rsidP="0081559F">
      <w:pPr>
        <w:pStyle w:val="Bibliography"/>
      </w:pPr>
      <w:r w:rsidRPr="0081559F">
        <w:t xml:space="preserve">3. </w:t>
      </w:r>
      <w:r w:rsidRPr="0081559F">
        <w:tab/>
        <w:t>World Population Prospects - Population Division - United Nations [Internet]. [cited 2019 Feb 17]. Available from: https://population.un.org/wpp/</w:t>
      </w:r>
    </w:p>
    <w:p w14:paraId="21808D2C" w14:textId="77777777" w:rsidR="0081559F" w:rsidRPr="0081559F" w:rsidRDefault="0081559F" w:rsidP="0081559F">
      <w:pPr>
        <w:pStyle w:val="Bibliography"/>
      </w:pPr>
      <w:r w:rsidRPr="0081559F">
        <w:t xml:space="preserve">4. </w:t>
      </w:r>
      <w:r w:rsidRPr="0081559F">
        <w:tab/>
        <w:t>Ayoub HH, Amara I, Awad SF, Omori R, Chemaitelly H, Abu-Raddad LJ. Analytic characterization of the herpes simplex virus type 2 epidemic in the United States, 1950-2050. Open Forum Infectious Diseases [Internet]. 2021 Apr 29 [cited 2021 May 13];(ofab218). Available from: https://doi.org/10.1093/ofid/ofab218</w:t>
      </w:r>
    </w:p>
    <w:p w14:paraId="5BB4A820" w14:textId="77777777" w:rsidR="0081559F" w:rsidRPr="0081559F" w:rsidRDefault="0081559F" w:rsidP="0081559F">
      <w:pPr>
        <w:pStyle w:val="Bibliography"/>
      </w:pPr>
      <w:r w:rsidRPr="0081559F">
        <w:t xml:space="preserve">5. </w:t>
      </w:r>
      <w:r w:rsidRPr="0081559F">
        <w:tab/>
        <w:t xml:space="preserve">Ayoub HH, Chemaitelly H, Abu-Raddad LJ. Epidemiological Impact of Novel Preventive and Therapeutic HSV-2 Vaccination in the United States: Mathematical Modeling Analyses. Vaccines (Basel). 2020 Jul 8;8(3). </w:t>
      </w:r>
    </w:p>
    <w:p w14:paraId="3CA2B6FB" w14:textId="77777777" w:rsidR="0081559F" w:rsidRPr="0081559F" w:rsidRDefault="0081559F" w:rsidP="0081559F">
      <w:pPr>
        <w:pStyle w:val="Bibliography"/>
      </w:pPr>
      <w:r w:rsidRPr="0081559F">
        <w:t xml:space="preserve">6. </w:t>
      </w:r>
      <w:r w:rsidRPr="0081559F">
        <w:tab/>
        <w:t>Harfouche M, Abu-Hijleh FM, James C, Looker KJ, Abu-Raddad LJ. The epidemiology of herpes simplex virus type 2 in sub-Saharan Africa: systematic review, meta-analyses, and meta-regressions. medRxiv [Internet]. 2021 Jan 26 [cited 2021 Feb 21];2021.01.25.21250443. Available from: https://www.medrxiv.org/content/10.1101/2021.01.25.21250443v1</w:t>
      </w:r>
    </w:p>
    <w:p w14:paraId="49528F7A" w14:textId="77777777" w:rsidR="0081559F" w:rsidRPr="0081559F" w:rsidRDefault="0081559F" w:rsidP="0081559F">
      <w:pPr>
        <w:pStyle w:val="Bibliography"/>
      </w:pPr>
      <w:r w:rsidRPr="0081559F">
        <w:t xml:space="preserve">7. </w:t>
      </w:r>
      <w:r w:rsidRPr="0081559F">
        <w:tab/>
        <w:t xml:space="preserve">Bernstein DI, Lovett MA, Bryson YJ. Serologic analysis of first-episode nonprimary genital herpes simplex virus infection. Presence of type 2 antibody in acute serum samples. Am J Med. 1984 Dec;77(6):1055–60. </w:t>
      </w:r>
    </w:p>
    <w:p w14:paraId="7F57226B" w14:textId="77777777" w:rsidR="0081559F" w:rsidRPr="0081559F" w:rsidRDefault="0081559F" w:rsidP="0081559F">
      <w:pPr>
        <w:pStyle w:val="Bibliography"/>
      </w:pPr>
      <w:r w:rsidRPr="0081559F">
        <w:t xml:space="preserve">8. </w:t>
      </w:r>
      <w:r w:rsidRPr="0081559F">
        <w:tab/>
        <w:t xml:space="preserve">Schiffer JT, Corey L. New concepts in understanding genital herpes. Curr Infect Dis Rep. 2009 Nov;11(6):457–64. </w:t>
      </w:r>
    </w:p>
    <w:p w14:paraId="4CD060AD" w14:textId="77777777" w:rsidR="0081559F" w:rsidRPr="0081559F" w:rsidRDefault="0081559F" w:rsidP="0081559F">
      <w:pPr>
        <w:pStyle w:val="Bibliography"/>
      </w:pPr>
      <w:r w:rsidRPr="0081559F">
        <w:t xml:space="preserve">9. </w:t>
      </w:r>
      <w:r w:rsidRPr="0081559F">
        <w:tab/>
        <w:t>Guidelines for the Management of Sexually Transmitted Infections. February 2004 [Internet]. [cited 2018 Mar 19]. Available from: http://apps.who.int/medicinedocs/en/d/Jh2942e/</w:t>
      </w:r>
    </w:p>
    <w:p w14:paraId="7119A5C9" w14:textId="77777777" w:rsidR="0081559F" w:rsidRPr="0081559F" w:rsidRDefault="0081559F" w:rsidP="0081559F">
      <w:pPr>
        <w:pStyle w:val="Bibliography"/>
      </w:pPr>
      <w:r w:rsidRPr="0081559F">
        <w:t xml:space="preserve">10. </w:t>
      </w:r>
      <w:r w:rsidRPr="0081559F">
        <w:tab/>
        <w:t>Sexually Transmitted Diseases Treatment Guidelines, 2015 [Internet]. Center for Disease Control (CDC). [cited 2017 Jun 22]. Available from: https://www.cdc.gov/mmwr/preview/mmwrhtml/rr6403a1.htm</w:t>
      </w:r>
    </w:p>
    <w:p w14:paraId="7FFA0128" w14:textId="77777777" w:rsidR="0081559F" w:rsidRPr="0081559F" w:rsidRDefault="0081559F" w:rsidP="0081559F">
      <w:pPr>
        <w:pStyle w:val="Bibliography"/>
      </w:pPr>
      <w:r w:rsidRPr="0081559F">
        <w:t xml:space="preserve">11. </w:t>
      </w:r>
      <w:r w:rsidRPr="0081559F">
        <w:tab/>
        <w:t xml:space="preserve">Langenberg AG, Corey L, Ashley RL, Leong WP, Straus SE. A prospective study of new infections with herpes simplex virus type 1 and type 2. Chiron HSV Vaccine Study Group. N Engl J Med. 1999 Nov 4;341(19):1432–8. </w:t>
      </w:r>
    </w:p>
    <w:p w14:paraId="350B6686" w14:textId="77777777" w:rsidR="0081559F" w:rsidRPr="0081559F" w:rsidRDefault="0081559F" w:rsidP="0081559F">
      <w:pPr>
        <w:pStyle w:val="Bibliography"/>
      </w:pPr>
      <w:r w:rsidRPr="0081559F">
        <w:lastRenderedPageBreak/>
        <w:t xml:space="preserve">12. </w:t>
      </w:r>
      <w:r w:rsidRPr="0081559F">
        <w:tab/>
        <w:t xml:space="preserve">Benedetti J, Corey L, Ashley R. Recurrence rates in genital herpes after symptomatic first-episode infection. Ann Intern Med. 1994 Dec 1;121(11):847–54. </w:t>
      </w:r>
    </w:p>
    <w:p w14:paraId="1168FA6D" w14:textId="77777777" w:rsidR="0081559F" w:rsidRPr="0081559F" w:rsidRDefault="0081559F" w:rsidP="0081559F">
      <w:pPr>
        <w:pStyle w:val="Bibliography"/>
      </w:pPr>
      <w:r w:rsidRPr="0081559F">
        <w:t xml:space="preserve">13. </w:t>
      </w:r>
      <w:r w:rsidRPr="0081559F">
        <w:tab/>
        <w:t xml:space="preserve">Corey L, Langenberg AG, Ashley R, Sekulovich RE, Izu AE, Douglas JM, et al. Recombinant glycoprotein vaccine for the prevention of genital HSV-2 infection: two randomized controlled trials. Chiron HSV Vaccine Study Group. JAMA. 1999 Jul 28;282(4):331–40. </w:t>
      </w:r>
    </w:p>
    <w:p w14:paraId="035BCF9D" w14:textId="77777777" w:rsidR="0081559F" w:rsidRPr="0081559F" w:rsidRDefault="0081559F" w:rsidP="0081559F">
      <w:pPr>
        <w:pStyle w:val="Bibliography"/>
      </w:pPr>
      <w:r w:rsidRPr="0081559F">
        <w:t xml:space="preserve">14. </w:t>
      </w:r>
      <w:r w:rsidRPr="0081559F">
        <w:tab/>
        <w:t xml:space="preserve">Corey L, Adams HG, Brown ZA, Holmes KK. Genital herpes simplex virus infections: clinical manifestations, course, and complications. Ann Intern Med. 1983 Jun;98(6):958–72. </w:t>
      </w:r>
    </w:p>
    <w:p w14:paraId="74386D5C" w14:textId="77777777" w:rsidR="0081559F" w:rsidRPr="0081559F" w:rsidRDefault="0081559F" w:rsidP="0081559F">
      <w:pPr>
        <w:pStyle w:val="Bibliography"/>
      </w:pPr>
      <w:r w:rsidRPr="0081559F">
        <w:t xml:space="preserve">15. </w:t>
      </w:r>
      <w:r w:rsidRPr="0081559F">
        <w:tab/>
        <w:t xml:space="preserve">Corbell C, Stergachis A, Ndowa F, Ndase P, Barnes L, Celum C. Genital ulcer disease treatment policies and access to acyclovir in eight sub-Saharan African countries. Sex Transm Dis. 2010 Aug;37(8):488–93. </w:t>
      </w:r>
    </w:p>
    <w:p w14:paraId="33C84C85" w14:textId="77777777" w:rsidR="0081559F" w:rsidRPr="0081559F" w:rsidRDefault="0081559F" w:rsidP="0081559F">
      <w:pPr>
        <w:pStyle w:val="Bibliography"/>
      </w:pPr>
      <w:r w:rsidRPr="0081559F">
        <w:t xml:space="preserve">16. </w:t>
      </w:r>
      <w:r w:rsidRPr="0081559F">
        <w:tab/>
        <w:t>Global Health Expenditure Database [Internet]. [cited 2021 Jan 30]. Available from: https://apps.who.int/nha/database/Home/Index/en</w:t>
      </w:r>
    </w:p>
    <w:p w14:paraId="262C6BF3" w14:textId="77777777" w:rsidR="0081559F" w:rsidRPr="0081559F" w:rsidRDefault="0081559F" w:rsidP="0081559F">
      <w:pPr>
        <w:pStyle w:val="Bibliography"/>
      </w:pPr>
      <w:r w:rsidRPr="0081559F">
        <w:t xml:space="preserve">17. </w:t>
      </w:r>
      <w:r w:rsidRPr="0081559F">
        <w:tab/>
        <w:t>ILOSTAT - the world’s leading source on labour statistics [Internet]. [cited 2018 May 28]. Available from: http://www.ilo.org/ilostat/faces/wcnav_defaultSelection;ILOSTATCOOKIE=Zn6oS2hA4g9ckMXyT3l2JTeORaorY-9iwKzOw5xWoemTpxGz2-Kg!125143199?_afrLoop=966594818050688&amp;_afrWindowMode=0&amp;_afrWindowId=null#!%40%40%3F_afrWindowId%3Dnull%26_afrLoop%3D966594818050688%26_afrWindowMode%3D0%26_adf.ctrl-state%3Dpqa11aqbo_4</w:t>
      </w:r>
    </w:p>
    <w:p w14:paraId="113616C2" w14:textId="77777777" w:rsidR="0081559F" w:rsidRPr="0081559F" w:rsidRDefault="0081559F" w:rsidP="0081559F">
      <w:pPr>
        <w:pStyle w:val="Bibliography"/>
      </w:pPr>
      <w:r w:rsidRPr="0081559F">
        <w:t xml:space="preserve">18. </w:t>
      </w:r>
      <w:r w:rsidRPr="0081559F">
        <w:tab/>
        <w:t xml:space="preserve">Patel R, Boselli F, Cairo I, Barnett G, Price M, Wulf HC. Patients’ perspectives on the burden of recurrent genital herpes. International Journal of STD &amp; AIDS. 2001;12(10):640–5. </w:t>
      </w:r>
    </w:p>
    <w:p w14:paraId="6313BCE8" w14:textId="77777777" w:rsidR="0081559F" w:rsidRPr="0081559F" w:rsidRDefault="0081559F" w:rsidP="0081559F">
      <w:pPr>
        <w:pStyle w:val="Bibliography"/>
      </w:pPr>
      <w:r w:rsidRPr="0081559F">
        <w:t xml:space="preserve">19. </w:t>
      </w:r>
      <w:r w:rsidRPr="0081559F">
        <w:tab/>
        <w:t xml:space="preserve">Knight GM, Gomez GB, Dodd PJ, Dowdy D, Zwerling A, Wells WA, et al. The Impact and Cost-Effectiveness of a Four-Month Regimen for First-Line Treatment of Active Tuberculosis in South Africa. PLoS ONE. 2015;10(12):e0145796. </w:t>
      </w:r>
    </w:p>
    <w:p w14:paraId="07430579" w14:textId="77777777" w:rsidR="0081559F" w:rsidRPr="0081559F" w:rsidRDefault="0081559F" w:rsidP="0081559F">
      <w:pPr>
        <w:pStyle w:val="Bibliography"/>
      </w:pPr>
      <w:r w:rsidRPr="0081559F">
        <w:t xml:space="preserve">20. </w:t>
      </w:r>
      <w:r w:rsidRPr="0081559F">
        <w:tab/>
        <w:t xml:space="preserve">Fisman DN. Health related quality of life in genital herpes: a pilot comparison of measures. Sex Transm Infect. 2005 Jun;81(3):267–70. </w:t>
      </w:r>
    </w:p>
    <w:p w14:paraId="3135A9BB" w14:textId="77777777" w:rsidR="0081559F" w:rsidRPr="0081559F" w:rsidRDefault="0081559F" w:rsidP="0081559F">
      <w:pPr>
        <w:pStyle w:val="Bibliography"/>
      </w:pPr>
      <w:r w:rsidRPr="0081559F">
        <w:t xml:space="preserve">21. </w:t>
      </w:r>
      <w:r w:rsidRPr="0081559F">
        <w:tab/>
        <w:t>Guidelines For Regulatory Impact Analysis [Internet]. ASPE. 2016 [cited 2020 Dec 28]. Available from: https://aspe.hhs.gov/pdf-report/guidelines-regulatory-impact-analysis</w:t>
      </w:r>
    </w:p>
    <w:p w14:paraId="72BD3C4E" w14:textId="77777777" w:rsidR="0081559F" w:rsidRPr="0081559F" w:rsidRDefault="0081559F" w:rsidP="0081559F">
      <w:pPr>
        <w:pStyle w:val="Bibliography"/>
      </w:pPr>
      <w:r w:rsidRPr="0081559F">
        <w:t xml:space="preserve">22. </w:t>
      </w:r>
      <w:r w:rsidRPr="0081559F">
        <w:tab/>
        <w:t>Hammitt JK, Robinson LA. The Income Elasticity of the Value per Statistical Life: Transferring Estimates between High and Low Income Populations. Journal of Benefit-Cost Analysis [Internet]. 2011 Jan [cited 2019 Mar 1];2(1):1–29. Available from: https://www.cambridge.org/core/journals/journal-of-benefit-cost-analysis/article/income-elasticity-of-the-value-per-statistical-life-transferring-estimates-between-high-and-low-income-populations/3AE5B0BB1034B7D898E2C9B3C1507794#</w:t>
      </w:r>
    </w:p>
    <w:p w14:paraId="60BF6037" w14:textId="77777777" w:rsidR="0081559F" w:rsidRPr="0081559F" w:rsidRDefault="0081559F" w:rsidP="0081559F">
      <w:pPr>
        <w:pStyle w:val="Bibliography"/>
      </w:pPr>
      <w:r w:rsidRPr="0081559F">
        <w:lastRenderedPageBreak/>
        <w:t xml:space="preserve">23. </w:t>
      </w:r>
      <w:r w:rsidRPr="0081559F">
        <w:tab/>
        <w:t>World Bank Open Data | Data [Internet]. [cited 2020 Jul 28]. Available from: https://data.worldbank.org/</w:t>
      </w:r>
    </w:p>
    <w:p w14:paraId="28DAFCC4" w14:textId="77777777" w:rsidR="0081559F" w:rsidRPr="0081559F" w:rsidRDefault="0081559F" w:rsidP="0081559F">
      <w:pPr>
        <w:pStyle w:val="Bibliography"/>
      </w:pPr>
      <w:r w:rsidRPr="0081559F">
        <w:t xml:space="preserve">24. </w:t>
      </w:r>
      <w:r w:rsidRPr="0081559F">
        <w:tab/>
        <w:t xml:space="preserve">Hanley JA. A heuristic approach to the formulas for population attributable fraction. J Epidemiol Community Health. 2001 Jul;55(7):508–14. </w:t>
      </w:r>
    </w:p>
    <w:p w14:paraId="741FBC6C" w14:textId="77777777" w:rsidR="0081559F" w:rsidRPr="0081559F" w:rsidRDefault="0081559F" w:rsidP="0081559F">
      <w:pPr>
        <w:pStyle w:val="Bibliography"/>
      </w:pPr>
      <w:r w:rsidRPr="0081559F">
        <w:t xml:space="preserve">25. </w:t>
      </w:r>
      <w:r w:rsidRPr="0081559F">
        <w:tab/>
        <w:t>Looker KJ, Elmes JAR, Gottlieb SL, Schiffer JT, Vickerman P, Turner KME, et al. Effect of HSV-2 infection on subsequent HIV acquisition: an updated systematic review and meta-analysis. The Lancet Infectious Diseases [Internet]. 2017 Dec 1 [cited 2018 Jul 28];17(12):1303–16. Available from: https://www.thelancet.com/journals/laninf/article/PIIS1473-3099(17)30405-X/abstract</w:t>
      </w:r>
    </w:p>
    <w:p w14:paraId="008C778B" w14:textId="77777777" w:rsidR="0081559F" w:rsidRPr="0081559F" w:rsidRDefault="0081559F" w:rsidP="0081559F">
      <w:pPr>
        <w:pStyle w:val="Bibliography"/>
      </w:pPr>
      <w:r w:rsidRPr="0081559F">
        <w:t xml:space="preserve">26. </w:t>
      </w:r>
      <w:r w:rsidRPr="0081559F">
        <w:tab/>
        <w:t>UNAIDS - KEY POPULATIONS ATLAS [Internet]. [cited 2018 Mar 4]. Available from: http://www.aidsinfoonline.org/kpatlas/#/home</w:t>
      </w:r>
    </w:p>
    <w:p w14:paraId="27D2D029" w14:textId="77777777" w:rsidR="0081559F" w:rsidRPr="0081559F" w:rsidRDefault="0081559F" w:rsidP="0081559F">
      <w:pPr>
        <w:pStyle w:val="Bibliography"/>
      </w:pPr>
      <w:r w:rsidRPr="0081559F">
        <w:t xml:space="preserve">27. </w:t>
      </w:r>
      <w:r w:rsidRPr="0081559F">
        <w:tab/>
        <w:t>AIDSinfo | UNAIDS [Internet]. [cited 2019 May 12]. Available from: http://aidsinfo.unaids.org/</w:t>
      </w:r>
    </w:p>
    <w:p w14:paraId="5D88855E" w14:textId="77777777" w:rsidR="0081559F" w:rsidRPr="0081559F" w:rsidRDefault="0081559F" w:rsidP="0081559F">
      <w:pPr>
        <w:pStyle w:val="Bibliography"/>
      </w:pPr>
      <w:r w:rsidRPr="0081559F">
        <w:t xml:space="preserve">28. </w:t>
      </w:r>
      <w:r w:rsidRPr="0081559F">
        <w:tab/>
        <w:t>Global AIDS Update 2016 [Internet]. [cited 2019 Jan 1]. Available from: http://www.unaids.org/en/resources/documents/2016/Global-AIDS-update-2016</w:t>
      </w:r>
    </w:p>
    <w:p w14:paraId="59714FA2" w14:textId="77777777" w:rsidR="0081559F" w:rsidRPr="0081559F" w:rsidRDefault="0081559F" w:rsidP="0081559F">
      <w:pPr>
        <w:pStyle w:val="Bibliography"/>
      </w:pPr>
      <w:r w:rsidRPr="0081559F">
        <w:t xml:space="preserve">29. </w:t>
      </w:r>
      <w:r w:rsidRPr="0081559F">
        <w:tab/>
        <w:t>AIDS Epidemic Update 2009 [Internet]. [cited 2019 Oct 27]. Available from: https://www.unaids.org/en/resources/documents/2009/20091124_jc1700_epi_update_2009_en.pdf</w:t>
      </w:r>
    </w:p>
    <w:p w14:paraId="6B08F255" w14:textId="77777777" w:rsidR="0081559F" w:rsidRPr="0081559F" w:rsidRDefault="0081559F" w:rsidP="0081559F">
      <w:pPr>
        <w:pStyle w:val="Bibliography"/>
      </w:pPr>
      <w:r w:rsidRPr="0081559F">
        <w:t xml:space="preserve">30. </w:t>
      </w:r>
      <w:r w:rsidRPr="0081559F">
        <w:tab/>
        <w:t>Stover J, Korenromp EL, Blakley M, Komatsu R, Viisainen K, Bollinger L, et al. Long-Term Costs and Health Impact of Continued Global Fund Support for Antiretroviral Therapy. PLOS ONE [Internet]. 2011 Jun 23 [cited 2019 May 27];6(6):e21048. Available from: https://journals.plos.org/plosone/article?id=10.1371/journal.pone.0021048</w:t>
      </w:r>
    </w:p>
    <w:p w14:paraId="5145AA14" w14:textId="77777777" w:rsidR="0081559F" w:rsidRPr="0081559F" w:rsidRDefault="0081559F" w:rsidP="0081559F">
      <w:pPr>
        <w:pStyle w:val="Bibliography"/>
      </w:pPr>
      <w:r w:rsidRPr="0081559F">
        <w:t xml:space="preserve">31. </w:t>
      </w:r>
      <w:r w:rsidRPr="0081559F">
        <w:tab/>
        <w:t>NHANES Questionnaires, Datasets, and Related Documentation [Internet]. [cited 2021 May 15]. Available from: https://wwwn.cdc.gov/nchs/nhanes/</w:t>
      </w:r>
    </w:p>
    <w:p w14:paraId="789A9D33" w14:textId="77777777" w:rsidR="0081559F" w:rsidRPr="0081559F" w:rsidRDefault="0081559F" w:rsidP="0081559F">
      <w:pPr>
        <w:pStyle w:val="Bibliography"/>
      </w:pPr>
      <w:r w:rsidRPr="0081559F">
        <w:t xml:space="preserve">32. </w:t>
      </w:r>
      <w:r w:rsidRPr="0081559F">
        <w:tab/>
        <w:t xml:space="preserve">Liljeros F, Edling CR, Amaral LA, Stanley HE, Aberg Y. The web of human sexual contacts. Nature. 2001 Jun 21;411(6840):907–8. </w:t>
      </w:r>
    </w:p>
    <w:p w14:paraId="5E8DA8DC" w14:textId="77777777" w:rsidR="0081559F" w:rsidRPr="0081559F" w:rsidRDefault="0081559F" w:rsidP="0081559F">
      <w:pPr>
        <w:pStyle w:val="Bibliography"/>
      </w:pPr>
      <w:r w:rsidRPr="0081559F">
        <w:t xml:space="preserve">33. </w:t>
      </w:r>
      <w:r w:rsidRPr="0081559F">
        <w:tab/>
        <w:t xml:space="preserve">Garnett GP, Anderson RM. Balancing sexual partnerships in an age and activity stratified model of HIV transmission in heterosexual populations. IMA J Math Appl Med Biol. 1994;11(3):161–92. </w:t>
      </w:r>
    </w:p>
    <w:p w14:paraId="7B93D928" w14:textId="77777777" w:rsidR="0081559F" w:rsidRPr="0081559F" w:rsidRDefault="0081559F" w:rsidP="0081559F">
      <w:pPr>
        <w:pStyle w:val="Bibliography"/>
      </w:pPr>
      <w:r w:rsidRPr="0081559F">
        <w:t xml:space="preserve">34. </w:t>
      </w:r>
      <w:r w:rsidRPr="0081559F">
        <w:tab/>
        <w:t xml:space="preserve">Awad SF, Abu-Raddad LJ. Could there have been substantial declines in sexual risk behavior across sub-Saharan Africa in the mid-1990s? Epidemics. 2014 Sep;8:9–17. </w:t>
      </w:r>
    </w:p>
    <w:p w14:paraId="71FEE08B" w14:textId="77777777" w:rsidR="0081559F" w:rsidRPr="0081559F" w:rsidRDefault="0081559F" w:rsidP="0081559F">
      <w:pPr>
        <w:pStyle w:val="Bibliography"/>
      </w:pPr>
      <w:r w:rsidRPr="0081559F">
        <w:t xml:space="preserve">35. </w:t>
      </w:r>
      <w:r w:rsidRPr="0081559F">
        <w:tab/>
        <w:t>Harfouche M, Abu-Hijleh FM, James C, Looker KJ, Abu-Raddad LJ. Epidemiology of herpes simplex virus type 2 in sub-Saharan Africa: Systematic review, meta-analyses, and meta-regressions. EClinicalMedicine [Internet]. 2021 May 1 [cited 2021 May 15];35. Available from: https://www.thelancet.com/journals/eclinm/article/PIIS2589-5370(21)00156-5/abstract</w:t>
      </w:r>
    </w:p>
    <w:p w14:paraId="59F92F01" w14:textId="77777777" w:rsidR="0081559F" w:rsidRPr="0081559F" w:rsidRDefault="0081559F" w:rsidP="0081559F">
      <w:pPr>
        <w:pStyle w:val="Bibliography"/>
      </w:pPr>
      <w:r w:rsidRPr="0081559F">
        <w:lastRenderedPageBreak/>
        <w:t xml:space="preserve">36. </w:t>
      </w:r>
      <w:r w:rsidRPr="0081559F">
        <w:tab/>
        <w:t xml:space="preserve">Weaver M. Unit cost of outpatient and inpatient visits from 1995 to 2040. 2021. </w:t>
      </w:r>
    </w:p>
    <w:p w14:paraId="478D129A" w14:textId="77777777" w:rsidR="0081559F" w:rsidRPr="0081559F" w:rsidRDefault="0081559F" w:rsidP="0081559F">
      <w:pPr>
        <w:pStyle w:val="Bibliography"/>
      </w:pPr>
      <w:r w:rsidRPr="0081559F">
        <w:t xml:space="preserve">37. </w:t>
      </w:r>
      <w:r w:rsidRPr="0081559F">
        <w:tab/>
        <w:t>Foreman KJ, Marquez N, Dolgert A, Fukutaki K, Fullman N, McGaughey M, et al. Forecasting life expectancy, years of life lost, and all-cause and cause-specific mortality for 250 causes of death: reference and alternative scenarios for 2016–40 for 195 countries and territories. The Lancet [Internet]. 2018 Nov 10 [cited 2021 Feb 12];392(10159):2052–90. Available from: https://www.thelancet.com/journals/lancet/article/PIIS0140-6736(18)31694-5/abstract</w:t>
      </w:r>
    </w:p>
    <w:p w14:paraId="0A0F849A" w14:textId="77777777" w:rsidR="0081559F" w:rsidRPr="0081559F" w:rsidRDefault="0081559F" w:rsidP="0081559F">
      <w:pPr>
        <w:pStyle w:val="Bibliography"/>
      </w:pPr>
      <w:r w:rsidRPr="0081559F">
        <w:t xml:space="preserve">38. </w:t>
      </w:r>
      <w:r w:rsidRPr="0081559F">
        <w:tab/>
        <w:t>Moses MW, Pedroza P, Baral R, Bloom S, Brown J, Chapin A, et al. Funding and services needed to achieve universal health coverage: applications of global, regional, and national estimates of utilisation of outpatient visits and inpatient admissions from 1990 to 2016, and unit costs from 1995 to 2016. The Lancet Public Health [Internet]. 2019 Jan 1 [cited 2019 Mar 1];4(1):e49–73. Available from: https://www.thelancet.com/journals/lanpub/article/PIIS2468-2667(18)30213-5/abstract</w:t>
      </w:r>
    </w:p>
    <w:p w14:paraId="105EB594" w14:textId="77777777" w:rsidR="0081559F" w:rsidRPr="0081559F" w:rsidRDefault="0081559F" w:rsidP="0081559F">
      <w:pPr>
        <w:pStyle w:val="Bibliography"/>
      </w:pPr>
      <w:r w:rsidRPr="0081559F">
        <w:t xml:space="preserve">39. </w:t>
      </w:r>
      <w:r w:rsidRPr="0081559F">
        <w:tab/>
        <w:t xml:space="preserve">Akaike H. A new look at the statistical model identification. IEEE Transactions on Automatic Control. 1974 Dec;19(6):716–23. </w:t>
      </w:r>
    </w:p>
    <w:p w14:paraId="1C68B9FF" w14:textId="77777777" w:rsidR="0081559F" w:rsidRPr="0081559F" w:rsidRDefault="0081559F" w:rsidP="0081559F">
      <w:pPr>
        <w:pStyle w:val="Bibliography"/>
      </w:pPr>
      <w:r w:rsidRPr="0081559F">
        <w:t xml:space="preserve">40. </w:t>
      </w:r>
      <w:r w:rsidRPr="0081559F">
        <w:tab/>
        <w:t>International Medical Products Price Guide | Management Sciences for Health [Internet]. [cited 2018 Mar 19]. Available from: /resources/international-medical-products-price-guide</w:t>
      </w:r>
    </w:p>
    <w:p w14:paraId="78B42D32" w14:textId="77777777" w:rsidR="0081559F" w:rsidRPr="0081559F" w:rsidRDefault="0081559F" w:rsidP="0081559F">
      <w:pPr>
        <w:pStyle w:val="Bibliography"/>
      </w:pPr>
      <w:r w:rsidRPr="0081559F">
        <w:t xml:space="preserve">41. </w:t>
      </w:r>
      <w:r w:rsidRPr="0081559F">
        <w:tab/>
        <w:t>Looker KJ, Welton NJ, Sabin KM, Dalal S, Vickerman P, Turner KME, et al. Global and regional estimates of the contribution of herpes simplex virus type 2 infection to HIV incidence: a population attributable fraction analysis using published epidemiological data. The Lancet Infectious Diseases [Internet]. 2020 Feb 1 [cited 2020 Jul 28];20(2):240–9. Available from: https://www.thelancet.com/journals/laninf/article/PIIS1473-3099(19)30470-0/abstract</w:t>
      </w:r>
    </w:p>
    <w:p w14:paraId="3336D4E5" w14:textId="77777777" w:rsidR="0081559F" w:rsidRPr="0081559F" w:rsidRDefault="0081559F" w:rsidP="0081559F">
      <w:pPr>
        <w:pStyle w:val="Bibliography"/>
      </w:pPr>
      <w:r w:rsidRPr="0081559F">
        <w:t xml:space="preserve">42. </w:t>
      </w:r>
      <w:r w:rsidRPr="0081559F">
        <w:tab/>
        <w:t>Stover J, Bollinger L, Izazola JA, Loures L, DeLay P, Ghys PD, et al. What Is Required to End the AIDS Epidemic as a Public Health Threat by 2030? The Cost and Impact of the Fast-Track Approach. PLOS ONE [Internet]. 2016 May 9 [cited 2019 Aug 3];11(5):e0154893. Available from: https://journals.plos.org/plosone/article?id=10.1371/journal.pone.0154893</w:t>
      </w:r>
    </w:p>
    <w:p w14:paraId="5992273D" w14:textId="77777777" w:rsidR="0081559F" w:rsidRPr="0081559F" w:rsidRDefault="0081559F" w:rsidP="0081559F">
      <w:pPr>
        <w:pStyle w:val="Bibliography"/>
      </w:pPr>
      <w:r w:rsidRPr="0081559F">
        <w:t xml:space="preserve">43. </w:t>
      </w:r>
      <w:r w:rsidRPr="0081559F">
        <w:tab/>
        <w:t>Resch S, Korenromp E, Stover J, Blakley M, Krubiner C, Thorien K, et al. Economic Returns to Investment in AIDS Treatment in Low and Middle Income Countries. PLOS ONE [Internet]. 2011 Oct 5 [cited 2018 Dec 25];6(10):e25310. Available from: https://journals.plos.org/plosone/article?id=10.1371/journal.pone.0025310</w:t>
      </w:r>
    </w:p>
    <w:p w14:paraId="56F82507" w14:textId="77777777" w:rsidR="0081559F" w:rsidRPr="0081559F" w:rsidRDefault="0081559F" w:rsidP="0081559F">
      <w:pPr>
        <w:pStyle w:val="Bibliography"/>
      </w:pPr>
      <w:r w:rsidRPr="0081559F">
        <w:t xml:space="preserve">44. </w:t>
      </w:r>
      <w:r w:rsidRPr="0081559F">
        <w:tab/>
        <w:t>Tan-Torres Edejer. Making choices in health: WHO guide to cost-effectiveness analysis [Internet]. [cited 2017 Jun 16]. Available from: http://www.who.int/choice/publications/p_2003_generalised_cea.pdf</w:t>
      </w:r>
    </w:p>
    <w:p w14:paraId="08B15D88" w14:textId="77777777" w:rsidR="0081559F" w:rsidRPr="0081559F" w:rsidRDefault="0081559F" w:rsidP="0081559F">
      <w:pPr>
        <w:pStyle w:val="Bibliography"/>
      </w:pPr>
      <w:r w:rsidRPr="0081559F">
        <w:t xml:space="preserve">45. </w:t>
      </w:r>
      <w:r w:rsidRPr="0081559F">
        <w:tab/>
        <w:t xml:space="preserve">Hsu PC, Yolken RH, Postolache TT, Beckie TM, Munro CL, Groer MW. Association of Depressed Mood With Herpes Simplex Virus-2 Immunoglobulin-G Levels in Pregnancy. Psychosom Med. 2016;78(8):966–72. </w:t>
      </w:r>
    </w:p>
    <w:p w14:paraId="175DD1AC" w14:textId="77777777" w:rsidR="0081559F" w:rsidRPr="0081559F" w:rsidRDefault="0081559F" w:rsidP="0081559F">
      <w:pPr>
        <w:pStyle w:val="Bibliography"/>
      </w:pPr>
      <w:r w:rsidRPr="0081559F">
        <w:lastRenderedPageBreak/>
        <w:t xml:space="preserve">46. </w:t>
      </w:r>
      <w:r w:rsidRPr="0081559F">
        <w:tab/>
        <w:t xml:space="preserve">Merin A, Pachankis JE. The psychological impact of genital herpes stigma. J Health Psychol. 2011 Jan;16(1):80–90. </w:t>
      </w:r>
    </w:p>
    <w:p w14:paraId="05416DDC" w14:textId="77777777" w:rsidR="0081559F" w:rsidRPr="0081559F" w:rsidRDefault="0081559F" w:rsidP="0081559F">
      <w:pPr>
        <w:pStyle w:val="Bibliography"/>
      </w:pPr>
      <w:r w:rsidRPr="0081559F">
        <w:t xml:space="preserve">47. </w:t>
      </w:r>
      <w:r w:rsidRPr="0081559F">
        <w:tab/>
        <w:t xml:space="preserve">Bickford J, Barton SE, Mandalia S. Chronic genital herpes and disclosure.... The influence of stigma. Int J STD AIDS. 2007 Sep;18(9):589–92. </w:t>
      </w:r>
    </w:p>
    <w:p w14:paraId="3A203124" w14:textId="77777777" w:rsidR="0081559F" w:rsidRPr="0081559F" w:rsidRDefault="0081559F" w:rsidP="0081559F">
      <w:pPr>
        <w:pStyle w:val="Bibliography"/>
      </w:pPr>
      <w:r w:rsidRPr="0081559F">
        <w:t xml:space="preserve">48. </w:t>
      </w:r>
      <w:r w:rsidRPr="0081559F">
        <w:tab/>
        <w:t xml:space="preserve">Fortenberry JD. The effects of stigma on genital herpes care-seeking behaviours. Herpes. 2004 Apr;11(1):8–11. </w:t>
      </w:r>
    </w:p>
    <w:p w14:paraId="000A0FF8" w14:textId="77777777" w:rsidR="0081559F" w:rsidRPr="0081559F" w:rsidRDefault="0081559F" w:rsidP="0081559F">
      <w:pPr>
        <w:pStyle w:val="Bibliography"/>
      </w:pPr>
      <w:r w:rsidRPr="0081559F">
        <w:t xml:space="preserve">49. </w:t>
      </w:r>
      <w:r w:rsidRPr="0081559F">
        <w:tab/>
        <w:t xml:space="preserve">Breitkopf CR. The theoretical basis of stigma as applied to genital herpes. Herpes. 2004 Apr;11(1):4–7. </w:t>
      </w:r>
    </w:p>
    <w:p w14:paraId="1D134110" w14:textId="77777777" w:rsidR="0081559F" w:rsidRPr="0081559F" w:rsidRDefault="0081559F" w:rsidP="0081559F">
      <w:pPr>
        <w:pStyle w:val="Bibliography"/>
      </w:pPr>
      <w:r w:rsidRPr="0081559F">
        <w:t xml:space="preserve">50. </w:t>
      </w:r>
      <w:r w:rsidRPr="0081559F">
        <w:tab/>
        <w:t xml:space="preserve">O’Farrell N. Genital ulcers, stigma, HIV, and STI control in sub-Saharan Africa. Sex Transm Infect. 2002 Apr;78(2):143–6. </w:t>
      </w:r>
    </w:p>
    <w:p w14:paraId="06B3BD7D" w14:textId="77777777" w:rsidR="0081559F" w:rsidRPr="0081559F" w:rsidRDefault="0081559F" w:rsidP="0081559F">
      <w:pPr>
        <w:pStyle w:val="Bibliography"/>
      </w:pPr>
      <w:r w:rsidRPr="0081559F">
        <w:t xml:space="preserve">51. </w:t>
      </w:r>
      <w:r w:rsidRPr="0081559F">
        <w:tab/>
        <w:t xml:space="preserve">Sanchez-Lorente S, Blasco-Ros C, Coe CL, Martinez M. Recovery of immune control over herpes simplex virus type 1 in female victims of intimate partner violence. Psychosom Med. 2010 Jan;72(1):97–106. </w:t>
      </w:r>
    </w:p>
    <w:p w14:paraId="387907C7" w14:textId="77777777" w:rsidR="0081559F" w:rsidRPr="0081559F" w:rsidRDefault="0081559F" w:rsidP="0081559F">
      <w:pPr>
        <w:pStyle w:val="Bibliography"/>
      </w:pPr>
      <w:r w:rsidRPr="0081559F">
        <w:t xml:space="preserve">52. </w:t>
      </w:r>
      <w:r w:rsidRPr="0081559F">
        <w:tab/>
        <w:t xml:space="preserve">Kayibanda JF, Bitera R, Demers E, Moisan J, Alary M. Sexual risk factors associated with intimate partner violence against women in Rwanda: a couples-based analysis. Women Health. 2014;54(4):301–16. </w:t>
      </w:r>
    </w:p>
    <w:p w14:paraId="162C2CF2" w14:textId="77777777" w:rsidR="0081559F" w:rsidRPr="0081559F" w:rsidRDefault="0081559F" w:rsidP="0081559F">
      <w:pPr>
        <w:pStyle w:val="Bibliography"/>
      </w:pPr>
      <w:r w:rsidRPr="0081559F">
        <w:t xml:space="preserve">53. </w:t>
      </w:r>
      <w:r w:rsidRPr="0081559F">
        <w:tab/>
        <w:t xml:space="preserve">Steiner RJ, Michael SL, Hall JE, Barrios LC, Robin L. Youth violence and connectedness in adolescence: what are the implications for later sexually transmitted infections? J Adolesc Health. 2014 Mar;54(3):312-318.e1. </w:t>
      </w:r>
    </w:p>
    <w:p w14:paraId="37C4F69D" w14:textId="77777777" w:rsidR="0081559F" w:rsidRPr="0081559F" w:rsidRDefault="0081559F" w:rsidP="0081559F">
      <w:pPr>
        <w:pStyle w:val="Bibliography"/>
      </w:pPr>
      <w:r w:rsidRPr="0081559F">
        <w:t xml:space="preserve">54. </w:t>
      </w:r>
      <w:r w:rsidRPr="0081559F">
        <w:tab/>
        <w:t xml:space="preserve">Biraro S, Ruzagira E, Kamali A, Whitworth J, Grosskurth H, Weiss HA. HIV-1 transmission within marriage in rural Uganda: a longitudinal study. PLoS ONE. 2013;8(2):e55060. </w:t>
      </w:r>
    </w:p>
    <w:p w14:paraId="1A35AF71" w14:textId="77777777" w:rsidR="0081559F" w:rsidRPr="0081559F" w:rsidRDefault="0081559F" w:rsidP="0081559F">
      <w:pPr>
        <w:pStyle w:val="Bibliography"/>
      </w:pPr>
      <w:r w:rsidRPr="0081559F">
        <w:t xml:space="preserve">55. </w:t>
      </w:r>
      <w:r w:rsidRPr="0081559F">
        <w:tab/>
        <w:t xml:space="preserve">Halton K, Ratcliffe AA, Morison L, West B, Shaw M, Bailey R, et al. Herpes simplex 2 risk among women in a polygynous setting in rural West Africa. AIDS. 2003 Jan 3;17(1):97–103. </w:t>
      </w:r>
    </w:p>
    <w:p w14:paraId="189843B1" w14:textId="77777777" w:rsidR="0081559F" w:rsidRPr="0081559F" w:rsidRDefault="0081559F" w:rsidP="0081559F">
      <w:pPr>
        <w:pStyle w:val="Bibliography"/>
      </w:pPr>
      <w:r w:rsidRPr="0081559F">
        <w:t xml:space="preserve">56. </w:t>
      </w:r>
      <w:r w:rsidRPr="0081559F">
        <w:tab/>
        <w:t xml:space="preserve">Bogaerts J, Ahmed J, Akhter N, Begum N, Rahman M, Nahar S, et al. Sexually transmitted infections among married women in Dhaka, Bangladesh: unexpected high prevalence of herpes simplex type 2 infection. Sex Transm Infect. 2001 Apr;77(2):114–9. </w:t>
      </w:r>
    </w:p>
    <w:p w14:paraId="24699546" w14:textId="77777777" w:rsidR="0081559F" w:rsidRPr="0081559F" w:rsidRDefault="0081559F" w:rsidP="0081559F">
      <w:pPr>
        <w:pStyle w:val="Bibliography"/>
      </w:pPr>
      <w:r w:rsidRPr="0081559F">
        <w:t xml:space="preserve">57. </w:t>
      </w:r>
      <w:r w:rsidRPr="0081559F">
        <w:tab/>
        <w:t xml:space="preserve">Latif AS, Katzenstein DA, Bassett MT, Houston S, Emmanuel JC, Marowa E. Genital ulcers and transmission of HIV among couples in Zimbabwe. AIDS. 1989 Aug;3(8):519–23. </w:t>
      </w:r>
    </w:p>
    <w:p w14:paraId="01906C36" w14:textId="77777777" w:rsidR="0081559F" w:rsidRPr="0081559F" w:rsidRDefault="0081559F" w:rsidP="0081559F">
      <w:pPr>
        <w:pStyle w:val="Bibliography"/>
      </w:pPr>
      <w:r w:rsidRPr="0081559F">
        <w:t xml:space="preserve">58. </w:t>
      </w:r>
      <w:r w:rsidRPr="0081559F">
        <w:tab/>
        <w:t xml:space="preserve">Jacob M, Mathai R. Genital Herpes in Marital Partners. Indian J Dermatol Venereol Leprol. 1988 Dec;54(6):288–92. </w:t>
      </w:r>
    </w:p>
    <w:p w14:paraId="1C93F590" w14:textId="77777777" w:rsidR="0081559F" w:rsidRPr="0081559F" w:rsidRDefault="0081559F" w:rsidP="0081559F">
      <w:pPr>
        <w:pStyle w:val="Bibliography"/>
      </w:pPr>
      <w:r w:rsidRPr="0081559F">
        <w:t xml:space="preserve">59. </w:t>
      </w:r>
      <w:r w:rsidRPr="0081559F">
        <w:tab/>
        <w:t xml:space="preserve">Kurscheidt FA, Damke E, Bento JC, Balani VA, Takeda KI, Piva S, et al. Effects of Herpes Simplex Virus Infections on Seminal Parameters in Male Partners of Infertile Couples. Urology. 2018 Mar;113:52–8. </w:t>
      </w:r>
    </w:p>
    <w:p w14:paraId="734053A7" w14:textId="77777777" w:rsidR="0081559F" w:rsidRPr="0081559F" w:rsidRDefault="0081559F" w:rsidP="0081559F">
      <w:pPr>
        <w:pStyle w:val="Bibliography"/>
      </w:pPr>
      <w:r w:rsidRPr="0081559F">
        <w:lastRenderedPageBreak/>
        <w:t xml:space="preserve">60. </w:t>
      </w:r>
      <w:r w:rsidRPr="0081559F">
        <w:tab/>
        <w:t xml:space="preserve">Naumenko VA, Tiulenev IA, Pushkar’ DI, Segal AS, Kovalev VA, Kurilo LF, et al. [Effect of herpes simplex virus on spermatogenesis]. Urologiia. 2011 Dec;(6):32–6. </w:t>
      </w:r>
    </w:p>
    <w:p w14:paraId="05D617CF" w14:textId="77777777" w:rsidR="0081559F" w:rsidRPr="0081559F" w:rsidRDefault="0081559F" w:rsidP="0081559F">
      <w:pPr>
        <w:pStyle w:val="Bibliography"/>
      </w:pPr>
      <w:r w:rsidRPr="0081559F">
        <w:t xml:space="preserve">61. </w:t>
      </w:r>
      <w:r w:rsidRPr="0081559F">
        <w:tab/>
        <w:t xml:space="preserve">Abdulmedzhidova AG, Kurilo LF, Shileĭko LV, Makarova NP, Klimova RR, Kushch AA. [Asymptomatic genital herpes infection and infertility in males]. Urologiia. 2007 Jun;(3):56–9. </w:t>
      </w:r>
    </w:p>
    <w:p w14:paraId="015C0BE3" w14:textId="77777777" w:rsidR="0081559F" w:rsidRPr="0081559F" w:rsidRDefault="0081559F" w:rsidP="0081559F">
      <w:pPr>
        <w:pStyle w:val="Bibliography"/>
      </w:pPr>
      <w:r w:rsidRPr="0081559F">
        <w:t xml:space="preserve">62. </w:t>
      </w:r>
      <w:r w:rsidRPr="0081559F">
        <w:tab/>
        <w:t xml:space="preserve">Bocharova EN, Zavalishina LE, Bragina EE, Klimova RR, Gusak YK, Kurilo LF, et al. Detection of herpes simplex virus genomic DNA in spermatozoa of patients with fertility disorders by in situ hybridization. Dokl Biol Sci. 2007 Feb;412:82–6. </w:t>
      </w:r>
    </w:p>
    <w:p w14:paraId="4340B2F8" w14:textId="77777777" w:rsidR="0081559F" w:rsidRPr="0081559F" w:rsidRDefault="0081559F" w:rsidP="0081559F">
      <w:pPr>
        <w:pStyle w:val="Bibliography"/>
      </w:pPr>
      <w:r w:rsidRPr="0081559F">
        <w:t xml:space="preserve">63. </w:t>
      </w:r>
      <w:r w:rsidRPr="0081559F">
        <w:tab/>
        <w:t xml:space="preserve">Smith JS, Herrero R, Bosetti C, Muñoz N, Bosch FX, Eluf-Neto J, et al. Herpes simplex virus-2 as a human papillomavirus cofactor in the etiology of invasive cervical cancer. J Natl Cancer Inst. 2002 Nov 6;94(21):1604–13. </w:t>
      </w:r>
    </w:p>
    <w:p w14:paraId="241EB415" w14:textId="77777777" w:rsidR="0081559F" w:rsidRPr="0081559F" w:rsidRDefault="0081559F" w:rsidP="0081559F">
      <w:pPr>
        <w:pStyle w:val="Bibliography"/>
      </w:pPr>
      <w:r w:rsidRPr="0081559F">
        <w:t xml:space="preserve">64. </w:t>
      </w:r>
      <w:r w:rsidRPr="0081559F">
        <w:tab/>
        <w:t xml:space="preserve">Andrei G, Snoeck R. Herpes simplex virus drug-resistance: new mutations and insights. Curr Opin Infect Dis. 2013 Dec;26(6):551–60. </w:t>
      </w:r>
    </w:p>
    <w:p w14:paraId="48EF3C5B" w14:textId="77777777" w:rsidR="0081559F" w:rsidRPr="0081559F" w:rsidRDefault="0081559F" w:rsidP="0081559F">
      <w:pPr>
        <w:pStyle w:val="Bibliography"/>
      </w:pPr>
      <w:r w:rsidRPr="0081559F">
        <w:t xml:space="preserve">65. </w:t>
      </w:r>
      <w:r w:rsidRPr="0081559F">
        <w:tab/>
        <w:t xml:space="preserve">Burrel S, Aime C, Hermet L, Ait-Arkoub Z, Agut H, Boutolleau D. Surveillance of herpes simplex virus resistance to antivirals: a 4-year survey. Antiviral Res. 2013 Nov;100(2):365–72. </w:t>
      </w:r>
    </w:p>
    <w:p w14:paraId="1CEB47C7" w14:textId="77777777" w:rsidR="0081559F" w:rsidRPr="0081559F" w:rsidRDefault="0081559F" w:rsidP="0081559F">
      <w:pPr>
        <w:pStyle w:val="Bibliography"/>
      </w:pPr>
      <w:r w:rsidRPr="0081559F">
        <w:t xml:space="preserve">66. </w:t>
      </w:r>
      <w:r w:rsidRPr="0081559F">
        <w:tab/>
        <w:t xml:space="preserve">Bodsworth N, Fife K, Koltun W, Tyring S, Abudalu M, Prichard M, et al. Single-day famciclovir for the treatment of genital herpes: follow-up results of time to next recurrence and assessment of antiviral resistance. Curr Med Res Opin. 2009 Feb;25(2):483–7. </w:t>
      </w:r>
    </w:p>
    <w:p w14:paraId="092D532C" w14:textId="77777777" w:rsidR="0081559F" w:rsidRPr="0081559F" w:rsidRDefault="0081559F" w:rsidP="0081559F">
      <w:pPr>
        <w:pStyle w:val="Bibliography"/>
      </w:pPr>
      <w:r w:rsidRPr="0081559F">
        <w:t xml:space="preserve">67. </w:t>
      </w:r>
      <w:r w:rsidRPr="0081559F">
        <w:tab/>
        <w:t xml:space="preserve">Kriesel JD, Spruance SL, Prichard M, Parker JN, Kern ER. Recurrent antiviral-resistant genital herpes in an immunocompetent patient. J Infect Dis. 2005 Jul 1;192(1):156–61. </w:t>
      </w:r>
    </w:p>
    <w:p w14:paraId="2ADC631A" w14:textId="77777777" w:rsidR="0081559F" w:rsidRPr="0081559F" w:rsidRDefault="0081559F" w:rsidP="0081559F">
      <w:pPr>
        <w:pStyle w:val="Bibliography"/>
      </w:pPr>
      <w:r w:rsidRPr="0081559F">
        <w:t xml:space="preserve">68. </w:t>
      </w:r>
      <w:r w:rsidRPr="0081559F">
        <w:tab/>
        <w:t>Corey L, Wald A. Maternal and Neonatal HSV Infections. N Engl J Med [Internet]. 2009 Oct 1 [cited 2018 May 21];361(14):1376–85. Available from: https://www.ncbi.nlm.nih.gov/pmc/articles/PMC2780322/</w:t>
      </w:r>
    </w:p>
    <w:p w14:paraId="63D2A50D" w14:textId="77777777" w:rsidR="0081559F" w:rsidRPr="0081559F" w:rsidRDefault="0081559F" w:rsidP="0081559F">
      <w:pPr>
        <w:pStyle w:val="Bibliography"/>
      </w:pPr>
      <w:r w:rsidRPr="0081559F">
        <w:t xml:space="preserve">69. </w:t>
      </w:r>
      <w:r w:rsidRPr="0081559F">
        <w:tab/>
        <w:t xml:space="preserve">Brown ZA, Selke S, Zeh J, Kopelman J, Maslow A, Ashley RL, et al. The acquisition of herpes simplex virus during pregnancy. N Engl J Med. 1997 Aug 21;337(8):509–15. </w:t>
      </w:r>
    </w:p>
    <w:p w14:paraId="2312BDF0" w14:textId="77777777" w:rsidR="0081559F" w:rsidRPr="0081559F" w:rsidRDefault="0081559F" w:rsidP="0081559F">
      <w:pPr>
        <w:pStyle w:val="Bibliography"/>
      </w:pPr>
      <w:r w:rsidRPr="0081559F">
        <w:t xml:space="preserve">70. </w:t>
      </w:r>
      <w:r w:rsidRPr="0081559F">
        <w:tab/>
        <w:t xml:space="preserve">Brown ZA, Vontver LA, Benedetti J, Critchlow CW, Hickok DE, Sells CJ, et al. Genital herpes in pregnancy: risk factors associated with recurrences and asymptomatic viral shedding. Am J Obstet Gynecol. 1985 Sep 1;153(1):24–30. </w:t>
      </w:r>
    </w:p>
    <w:p w14:paraId="210D6E57" w14:textId="77777777" w:rsidR="0081559F" w:rsidRPr="0081559F" w:rsidRDefault="0081559F" w:rsidP="0081559F">
      <w:pPr>
        <w:pStyle w:val="Bibliography"/>
      </w:pPr>
      <w:r w:rsidRPr="0081559F">
        <w:t xml:space="preserve">71. </w:t>
      </w:r>
      <w:r w:rsidRPr="0081559F">
        <w:tab/>
        <w:t xml:space="preserve">Abdool Karim Q, Kharsany ABM, Leask K, Ntombela F, Humphries H, Frohlich JA, et al. Prevalence of HIV, HSV-2 and pregnancy among high school students in rural KwaZulu-Natal, South Africa: a bio-behavioural cross-sectional survey. Sex Transm Infect. 2014 Dec;90(8):620–6. </w:t>
      </w:r>
    </w:p>
    <w:p w14:paraId="1B4EC464" w14:textId="77777777" w:rsidR="0081559F" w:rsidRPr="0081559F" w:rsidRDefault="0081559F" w:rsidP="0081559F">
      <w:pPr>
        <w:pStyle w:val="Bibliography"/>
      </w:pPr>
      <w:r w:rsidRPr="0081559F">
        <w:t xml:space="preserve">72. </w:t>
      </w:r>
      <w:r w:rsidRPr="0081559F">
        <w:tab/>
        <w:t xml:space="preserve">Stoner MCD, Pettifor A, Edwards JK, Aiello AE, Halpern CT, Julien A, et al. The effect of school attendance and school dropout on incident HIV and HSV-2 among young women in rural South Africa enrolled in HPTN 068. AIDS. 2017 24;31(15):2127–34. </w:t>
      </w:r>
    </w:p>
    <w:p w14:paraId="37D1006D" w14:textId="77777777" w:rsidR="0081559F" w:rsidRPr="0081559F" w:rsidRDefault="0081559F" w:rsidP="0081559F">
      <w:pPr>
        <w:pStyle w:val="Bibliography"/>
      </w:pPr>
      <w:r w:rsidRPr="0081559F">
        <w:lastRenderedPageBreak/>
        <w:t xml:space="preserve">73. </w:t>
      </w:r>
      <w:r w:rsidRPr="0081559F">
        <w:tab/>
        <w:t xml:space="preserve">Baird SJ, Garfein RS, McIntosh CT, Ozler B. Effect of a cash transfer programme for schooling on prevalence of HIV and herpes simplex type 2 in Malawi: a cluster randomised trial. Lancet. 2012 Apr 7;379(9823):1320–9. </w:t>
      </w:r>
    </w:p>
    <w:p w14:paraId="680A361A" w14:textId="77777777" w:rsidR="0081559F" w:rsidRPr="0081559F" w:rsidRDefault="0081559F" w:rsidP="0081559F">
      <w:pPr>
        <w:pStyle w:val="Bibliography"/>
      </w:pPr>
      <w:r w:rsidRPr="0081559F">
        <w:t xml:space="preserve">74. </w:t>
      </w:r>
      <w:r w:rsidRPr="0081559F">
        <w:tab/>
        <w:t xml:space="preserve">Birdthistle I, Floyd S, Nyagadza A, Mudziwapasi N, Gregson S, Glynn JR. Is education the link between orphanhood and HIV/HSV-2 risk among female adolescents in urban Zimbabwe? Soc Sci Med. 2009 May;68(10):1810–8. </w:t>
      </w:r>
    </w:p>
    <w:p w14:paraId="6ACA81D9" w14:textId="77777777" w:rsidR="0081559F" w:rsidRPr="0081559F" w:rsidRDefault="0081559F" w:rsidP="0081559F">
      <w:pPr>
        <w:pStyle w:val="Bibliography"/>
      </w:pPr>
      <w:r w:rsidRPr="0081559F">
        <w:t xml:space="preserve">75. </w:t>
      </w:r>
      <w:r w:rsidRPr="0081559F">
        <w:tab/>
        <w:t xml:space="preserve">Szucs TD, Berger K, Fisman DN, Harbarth S. The estimated economic burden of genital herpes in the United States. An analysis using two costing approaches. BMC Infect Dis. 2001;1:5. </w:t>
      </w:r>
    </w:p>
    <w:p w14:paraId="1F3DE72A" w14:textId="3299A17B" w:rsidR="0032375A" w:rsidRPr="00EC4166" w:rsidRDefault="001F1C09" w:rsidP="0032375A">
      <w:pPr>
        <w:rPr>
          <w:rFonts w:ascii="Arial" w:hAnsi="Arial" w:cs="Arial"/>
          <w:i/>
          <w:sz w:val="22"/>
          <w:szCs w:val="22"/>
        </w:rPr>
      </w:pPr>
      <w:r>
        <w:rPr>
          <w:rFonts w:ascii="Arial" w:hAnsi="Arial" w:cs="Arial"/>
          <w:b/>
          <w:sz w:val="22"/>
          <w:szCs w:val="22"/>
        </w:rPr>
        <w:fldChar w:fldCharType="end"/>
      </w:r>
    </w:p>
    <w:p w14:paraId="300E57AE" w14:textId="77777777" w:rsidR="00671F09" w:rsidRPr="00EC4166" w:rsidRDefault="00671F09">
      <w:pPr>
        <w:rPr>
          <w:rFonts w:ascii="Arial" w:hAnsi="Arial" w:cs="Arial"/>
          <w:sz w:val="22"/>
          <w:szCs w:val="22"/>
        </w:rPr>
      </w:pPr>
    </w:p>
    <w:sectPr w:rsidR="00671F09" w:rsidRPr="00EC4166" w:rsidSect="008B7FBA">
      <w:headerReference w:type="default" r:id="rId10"/>
      <w:footerReference w:type="even" r:id="rId11"/>
      <w:footerReference w:type="default" r:id="rId12"/>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E042C" w14:textId="77777777" w:rsidR="007A0542" w:rsidRDefault="007A0542" w:rsidP="004B1CA0">
      <w:r>
        <w:separator/>
      </w:r>
    </w:p>
  </w:endnote>
  <w:endnote w:type="continuationSeparator" w:id="0">
    <w:p w14:paraId="4126D414" w14:textId="77777777" w:rsidR="007A0542" w:rsidRDefault="007A0542" w:rsidP="004B1CA0">
      <w:r>
        <w:continuationSeparator/>
      </w:r>
    </w:p>
  </w:endnote>
  <w:endnote w:type="continuationNotice" w:id="1">
    <w:p w14:paraId="458B0331" w14:textId="77777777" w:rsidR="007A0542" w:rsidRDefault="007A0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0204378"/>
      <w:docPartObj>
        <w:docPartGallery w:val="Page Numbers (Bottom of Page)"/>
        <w:docPartUnique/>
      </w:docPartObj>
    </w:sdtPr>
    <w:sdtContent>
      <w:p w14:paraId="13DCDFA0" w14:textId="7477A700" w:rsidR="00301412" w:rsidRDefault="00301412" w:rsidP="001968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A1FA6" w14:textId="77777777" w:rsidR="00301412" w:rsidRDefault="00301412" w:rsidP="001F1C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705407"/>
      <w:docPartObj>
        <w:docPartGallery w:val="Page Numbers (Bottom of Page)"/>
        <w:docPartUnique/>
      </w:docPartObj>
    </w:sdtPr>
    <w:sdtContent>
      <w:p w14:paraId="2D27D925" w14:textId="6044FDC6" w:rsidR="00301412" w:rsidRDefault="00301412" w:rsidP="001968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E15ED">
          <w:rPr>
            <w:rStyle w:val="PageNumber"/>
            <w:noProof/>
          </w:rPr>
          <w:t>21</w:t>
        </w:r>
        <w:r>
          <w:rPr>
            <w:rStyle w:val="PageNumber"/>
          </w:rPr>
          <w:fldChar w:fldCharType="end"/>
        </w:r>
      </w:p>
    </w:sdtContent>
  </w:sdt>
  <w:p w14:paraId="18EBE7C9" w14:textId="77777777" w:rsidR="00301412" w:rsidRDefault="00301412" w:rsidP="001F1C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6EF84" w14:textId="77777777" w:rsidR="007A0542" w:rsidRDefault="007A0542" w:rsidP="004B1CA0">
      <w:r>
        <w:separator/>
      </w:r>
    </w:p>
  </w:footnote>
  <w:footnote w:type="continuationSeparator" w:id="0">
    <w:p w14:paraId="0263A2B7" w14:textId="77777777" w:rsidR="007A0542" w:rsidRDefault="007A0542" w:rsidP="004B1CA0">
      <w:r>
        <w:continuationSeparator/>
      </w:r>
    </w:p>
  </w:footnote>
  <w:footnote w:type="continuationNotice" w:id="1">
    <w:p w14:paraId="3A8EF98A" w14:textId="77777777" w:rsidR="007A0542" w:rsidRDefault="007A05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2CA9" w14:textId="77777777" w:rsidR="00301412" w:rsidRDefault="00301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9DC"/>
    <w:multiLevelType w:val="hybridMultilevel"/>
    <w:tmpl w:val="E0D4B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68EA"/>
    <w:multiLevelType w:val="hybridMultilevel"/>
    <w:tmpl w:val="49CC66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11239"/>
    <w:multiLevelType w:val="hybridMultilevel"/>
    <w:tmpl w:val="49CC66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234C4F"/>
    <w:multiLevelType w:val="hybridMultilevel"/>
    <w:tmpl w:val="7A824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80BF1"/>
    <w:multiLevelType w:val="hybridMultilevel"/>
    <w:tmpl w:val="DCD447C0"/>
    <w:lvl w:ilvl="0" w:tplc="4D7843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74C0E"/>
    <w:multiLevelType w:val="hybridMultilevel"/>
    <w:tmpl w:val="1FE4D538"/>
    <w:lvl w:ilvl="0" w:tplc="0D663F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71046"/>
    <w:multiLevelType w:val="hybridMultilevel"/>
    <w:tmpl w:val="9264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B7F9D"/>
    <w:multiLevelType w:val="hybridMultilevel"/>
    <w:tmpl w:val="A9C0BEE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CBA6D05"/>
    <w:multiLevelType w:val="hybridMultilevel"/>
    <w:tmpl w:val="05DE7740"/>
    <w:lvl w:ilvl="0" w:tplc="B5EA40DE">
      <w:start w:val="67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B7677"/>
    <w:multiLevelType w:val="hybridMultilevel"/>
    <w:tmpl w:val="748E0C5C"/>
    <w:lvl w:ilvl="0" w:tplc="36BE9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929AF"/>
    <w:multiLevelType w:val="hybridMultilevel"/>
    <w:tmpl w:val="0846B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BB2B04"/>
    <w:multiLevelType w:val="hybridMultilevel"/>
    <w:tmpl w:val="748E0C5C"/>
    <w:lvl w:ilvl="0" w:tplc="36BE92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423CC8"/>
    <w:multiLevelType w:val="hybridMultilevel"/>
    <w:tmpl w:val="C9C07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E02792"/>
    <w:multiLevelType w:val="hybridMultilevel"/>
    <w:tmpl w:val="7CA43872"/>
    <w:lvl w:ilvl="0" w:tplc="8B1C2F28">
      <w:start w:val="5"/>
      <w:numFmt w:val="bullet"/>
      <w:lvlText w:val="-"/>
      <w:lvlJc w:val="left"/>
      <w:pPr>
        <w:ind w:left="420" w:hanging="360"/>
      </w:pPr>
      <w:rPr>
        <w:rFonts w:ascii="Times New Roman" w:eastAsiaTheme="maj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8126CA2"/>
    <w:multiLevelType w:val="hybridMultilevel"/>
    <w:tmpl w:val="748CBEB4"/>
    <w:lvl w:ilvl="0" w:tplc="D32618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924AA1"/>
    <w:multiLevelType w:val="hybridMultilevel"/>
    <w:tmpl w:val="6EE822DC"/>
    <w:lvl w:ilvl="0" w:tplc="ABB82D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C73AC2"/>
    <w:multiLevelType w:val="hybridMultilevel"/>
    <w:tmpl w:val="898C6BD2"/>
    <w:lvl w:ilvl="0" w:tplc="F998FC0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1316F3B"/>
    <w:multiLevelType w:val="hybridMultilevel"/>
    <w:tmpl w:val="593E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42112"/>
    <w:multiLevelType w:val="hybridMultilevel"/>
    <w:tmpl w:val="1038A63C"/>
    <w:lvl w:ilvl="0" w:tplc="52284D9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092C22"/>
    <w:multiLevelType w:val="hybridMultilevel"/>
    <w:tmpl w:val="62D02CF8"/>
    <w:lvl w:ilvl="0" w:tplc="E1260AA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E08F0"/>
    <w:multiLevelType w:val="hybridMultilevel"/>
    <w:tmpl w:val="A6825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894C3F"/>
    <w:multiLevelType w:val="hybridMultilevel"/>
    <w:tmpl w:val="8DC65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B87279"/>
    <w:multiLevelType w:val="hybridMultilevel"/>
    <w:tmpl w:val="539E5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873C51"/>
    <w:multiLevelType w:val="hybridMultilevel"/>
    <w:tmpl w:val="539E5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C74122"/>
    <w:multiLevelType w:val="hybridMultilevel"/>
    <w:tmpl w:val="DCD68FE0"/>
    <w:lvl w:ilvl="0" w:tplc="258264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811669">
    <w:abstractNumId w:val="16"/>
  </w:num>
  <w:num w:numId="2" w16cid:durableId="1146241843">
    <w:abstractNumId w:val="14"/>
  </w:num>
  <w:num w:numId="3" w16cid:durableId="1022823814">
    <w:abstractNumId w:val="5"/>
  </w:num>
  <w:num w:numId="4" w16cid:durableId="1666392237">
    <w:abstractNumId w:val="0"/>
  </w:num>
  <w:num w:numId="5" w16cid:durableId="1963999582">
    <w:abstractNumId w:val="4"/>
  </w:num>
  <w:num w:numId="6" w16cid:durableId="1771269164">
    <w:abstractNumId w:val="24"/>
  </w:num>
  <w:num w:numId="7" w16cid:durableId="1654795427">
    <w:abstractNumId w:val="13"/>
  </w:num>
  <w:num w:numId="8" w16cid:durableId="2072924973">
    <w:abstractNumId w:val="19"/>
  </w:num>
  <w:num w:numId="9" w16cid:durableId="1321696003">
    <w:abstractNumId w:val="18"/>
  </w:num>
  <w:num w:numId="10" w16cid:durableId="1006857518">
    <w:abstractNumId w:val="7"/>
  </w:num>
  <w:num w:numId="11" w16cid:durableId="1671759553">
    <w:abstractNumId w:val="8"/>
  </w:num>
  <w:num w:numId="12" w16cid:durableId="1225331125">
    <w:abstractNumId w:val="10"/>
  </w:num>
  <w:num w:numId="13" w16cid:durableId="1850949606">
    <w:abstractNumId w:val="6"/>
  </w:num>
  <w:num w:numId="14" w16cid:durableId="490757383">
    <w:abstractNumId w:val="12"/>
  </w:num>
  <w:num w:numId="15" w16cid:durableId="851645728">
    <w:abstractNumId w:val="21"/>
  </w:num>
  <w:num w:numId="16" w16cid:durableId="1197232237">
    <w:abstractNumId w:val="2"/>
  </w:num>
  <w:num w:numId="17" w16cid:durableId="1699886278">
    <w:abstractNumId w:val="15"/>
  </w:num>
  <w:num w:numId="18" w16cid:durableId="1499737049">
    <w:abstractNumId w:val="20"/>
  </w:num>
  <w:num w:numId="19" w16cid:durableId="604654462">
    <w:abstractNumId w:val="3"/>
  </w:num>
  <w:num w:numId="20" w16cid:durableId="1914780809">
    <w:abstractNumId w:val="1"/>
  </w:num>
  <w:num w:numId="21" w16cid:durableId="396443819">
    <w:abstractNumId w:val="22"/>
  </w:num>
  <w:num w:numId="22" w16cid:durableId="209996032">
    <w:abstractNumId w:val="23"/>
  </w:num>
  <w:num w:numId="23" w16cid:durableId="1460031989">
    <w:abstractNumId w:val="17"/>
  </w:num>
  <w:num w:numId="24" w16cid:durableId="1647658051">
    <w:abstractNumId w:val="9"/>
  </w:num>
  <w:num w:numId="25" w16cid:durableId="9276140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166"/>
    <w:rsid w:val="00001FCE"/>
    <w:rsid w:val="000023D3"/>
    <w:rsid w:val="0000535B"/>
    <w:rsid w:val="00006DF8"/>
    <w:rsid w:val="00007D56"/>
    <w:rsid w:val="0001078D"/>
    <w:rsid w:val="000120B7"/>
    <w:rsid w:val="00016092"/>
    <w:rsid w:val="000217E4"/>
    <w:rsid w:val="00023AAE"/>
    <w:rsid w:val="00025823"/>
    <w:rsid w:val="00026655"/>
    <w:rsid w:val="0003036D"/>
    <w:rsid w:val="00031E64"/>
    <w:rsid w:val="00035905"/>
    <w:rsid w:val="000501DF"/>
    <w:rsid w:val="00051B16"/>
    <w:rsid w:val="00054DB4"/>
    <w:rsid w:val="00057396"/>
    <w:rsid w:val="00063A13"/>
    <w:rsid w:val="00065905"/>
    <w:rsid w:val="000663E8"/>
    <w:rsid w:val="00073992"/>
    <w:rsid w:val="00073CE0"/>
    <w:rsid w:val="00075977"/>
    <w:rsid w:val="00081599"/>
    <w:rsid w:val="000829E4"/>
    <w:rsid w:val="00086C9C"/>
    <w:rsid w:val="00090F17"/>
    <w:rsid w:val="00092C61"/>
    <w:rsid w:val="00093BF5"/>
    <w:rsid w:val="000A320F"/>
    <w:rsid w:val="000A33DA"/>
    <w:rsid w:val="000A4345"/>
    <w:rsid w:val="000B55C5"/>
    <w:rsid w:val="000B6E76"/>
    <w:rsid w:val="000B7476"/>
    <w:rsid w:val="000C5212"/>
    <w:rsid w:val="000C5567"/>
    <w:rsid w:val="000C6D6F"/>
    <w:rsid w:val="000D143A"/>
    <w:rsid w:val="000D2732"/>
    <w:rsid w:val="000E49D4"/>
    <w:rsid w:val="000E5675"/>
    <w:rsid w:val="000F102B"/>
    <w:rsid w:val="000F2A45"/>
    <w:rsid w:val="000F3C85"/>
    <w:rsid w:val="000F5F76"/>
    <w:rsid w:val="00102E13"/>
    <w:rsid w:val="00105F0B"/>
    <w:rsid w:val="00107CF7"/>
    <w:rsid w:val="00116EB8"/>
    <w:rsid w:val="001210E2"/>
    <w:rsid w:val="00124033"/>
    <w:rsid w:val="0013049E"/>
    <w:rsid w:val="00131317"/>
    <w:rsid w:val="0014382B"/>
    <w:rsid w:val="00144D98"/>
    <w:rsid w:val="00154F53"/>
    <w:rsid w:val="00160CC8"/>
    <w:rsid w:val="00163E27"/>
    <w:rsid w:val="00170688"/>
    <w:rsid w:val="00170E5D"/>
    <w:rsid w:val="00175525"/>
    <w:rsid w:val="00181892"/>
    <w:rsid w:val="00183491"/>
    <w:rsid w:val="00185408"/>
    <w:rsid w:val="00187942"/>
    <w:rsid w:val="00190D68"/>
    <w:rsid w:val="00194096"/>
    <w:rsid w:val="001968F8"/>
    <w:rsid w:val="00196965"/>
    <w:rsid w:val="001A06A4"/>
    <w:rsid w:val="001A4382"/>
    <w:rsid w:val="001B0B32"/>
    <w:rsid w:val="001B52DB"/>
    <w:rsid w:val="001B6384"/>
    <w:rsid w:val="001B77C6"/>
    <w:rsid w:val="001C06F7"/>
    <w:rsid w:val="001C3FCF"/>
    <w:rsid w:val="001C7D99"/>
    <w:rsid w:val="001D27D5"/>
    <w:rsid w:val="001D49B2"/>
    <w:rsid w:val="001D4B42"/>
    <w:rsid w:val="001E04DB"/>
    <w:rsid w:val="001E2771"/>
    <w:rsid w:val="001E2A4E"/>
    <w:rsid w:val="001E7D0F"/>
    <w:rsid w:val="001F0A01"/>
    <w:rsid w:val="001F1C09"/>
    <w:rsid w:val="002115D2"/>
    <w:rsid w:val="00211DC5"/>
    <w:rsid w:val="0022096A"/>
    <w:rsid w:val="00221DB1"/>
    <w:rsid w:val="00222206"/>
    <w:rsid w:val="002250BB"/>
    <w:rsid w:val="00226837"/>
    <w:rsid w:val="00232546"/>
    <w:rsid w:val="00234277"/>
    <w:rsid w:val="00237127"/>
    <w:rsid w:val="002408E6"/>
    <w:rsid w:val="0024327C"/>
    <w:rsid w:val="002450C2"/>
    <w:rsid w:val="0025031C"/>
    <w:rsid w:val="00250BA9"/>
    <w:rsid w:val="00252114"/>
    <w:rsid w:val="0025414C"/>
    <w:rsid w:val="002749A2"/>
    <w:rsid w:val="0027625A"/>
    <w:rsid w:val="002764C8"/>
    <w:rsid w:val="00276826"/>
    <w:rsid w:val="00282469"/>
    <w:rsid w:val="00283830"/>
    <w:rsid w:val="002872AE"/>
    <w:rsid w:val="0029347F"/>
    <w:rsid w:val="00293A32"/>
    <w:rsid w:val="002A4B4C"/>
    <w:rsid w:val="002A6E7A"/>
    <w:rsid w:val="002A72F7"/>
    <w:rsid w:val="002B49A2"/>
    <w:rsid w:val="002C03D0"/>
    <w:rsid w:val="002C1FEC"/>
    <w:rsid w:val="002D7CF7"/>
    <w:rsid w:val="002E73C0"/>
    <w:rsid w:val="002F6CFE"/>
    <w:rsid w:val="00301412"/>
    <w:rsid w:val="0030197B"/>
    <w:rsid w:val="00302B28"/>
    <w:rsid w:val="00303D37"/>
    <w:rsid w:val="0030400E"/>
    <w:rsid w:val="0030555C"/>
    <w:rsid w:val="003155D3"/>
    <w:rsid w:val="00317381"/>
    <w:rsid w:val="00320213"/>
    <w:rsid w:val="00320289"/>
    <w:rsid w:val="0032175C"/>
    <w:rsid w:val="00321A3A"/>
    <w:rsid w:val="00323377"/>
    <w:rsid w:val="0032375A"/>
    <w:rsid w:val="00326785"/>
    <w:rsid w:val="0033043F"/>
    <w:rsid w:val="00330AEB"/>
    <w:rsid w:val="00331F96"/>
    <w:rsid w:val="0033369C"/>
    <w:rsid w:val="0033733B"/>
    <w:rsid w:val="003374EB"/>
    <w:rsid w:val="003457F7"/>
    <w:rsid w:val="00345D88"/>
    <w:rsid w:val="0034611F"/>
    <w:rsid w:val="0034770D"/>
    <w:rsid w:val="003518E3"/>
    <w:rsid w:val="00351D58"/>
    <w:rsid w:val="0035317F"/>
    <w:rsid w:val="0035358D"/>
    <w:rsid w:val="00353725"/>
    <w:rsid w:val="00353E2A"/>
    <w:rsid w:val="00361D31"/>
    <w:rsid w:val="003629F4"/>
    <w:rsid w:val="0036482D"/>
    <w:rsid w:val="00366F43"/>
    <w:rsid w:val="00373B71"/>
    <w:rsid w:val="00373E0E"/>
    <w:rsid w:val="00376603"/>
    <w:rsid w:val="00380A3E"/>
    <w:rsid w:val="00380E35"/>
    <w:rsid w:val="00383247"/>
    <w:rsid w:val="0038586B"/>
    <w:rsid w:val="00386FC3"/>
    <w:rsid w:val="0039766B"/>
    <w:rsid w:val="003B7D94"/>
    <w:rsid w:val="003C247A"/>
    <w:rsid w:val="003C2D44"/>
    <w:rsid w:val="003C728A"/>
    <w:rsid w:val="003D14ED"/>
    <w:rsid w:val="003D5A22"/>
    <w:rsid w:val="003D7E8C"/>
    <w:rsid w:val="003E0190"/>
    <w:rsid w:val="003E3FD7"/>
    <w:rsid w:val="003E5F9D"/>
    <w:rsid w:val="003E73A2"/>
    <w:rsid w:val="003F1DE7"/>
    <w:rsid w:val="003F22FB"/>
    <w:rsid w:val="003F282C"/>
    <w:rsid w:val="003F4D00"/>
    <w:rsid w:val="003F5888"/>
    <w:rsid w:val="003F7254"/>
    <w:rsid w:val="00401171"/>
    <w:rsid w:val="00405351"/>
    <w:rsid w:val="00413AF4"/>
    <w:rsid w:val="0041570D"/>
    <w:rsid w:val="00416F99"/>
    <w:rsid w:val="00423E4A"/>
    <w:rsid w:val="00427F46"/>
    <w:rsid w:val="004351F4"/>
    <w:rsid w:val="0044122F"/>
    <w:rsid w:val="004454BD"/>
    <w:rsid w:val="00447341"/>
    <w:rsid w:val="00452B5C"/>
    <w:rsid w:val="00457D99"/>
    <w:rsid w:val="00461DB9"/>
    <w:rsid w:val="00463764"/>
    <w:rsid w:val="004673C8"/>
    <w:rsid w:val="00472AA7"/>
    <w:rsid w:val="004739AD"/>
    <w:rsid w:val="00473A83"/>
    <w:rsid w:val="004763F4"/>
    <w:rsid w:val="00476C4D"/>
    <w:rsid w:val="0047770A"/>
    <w:rsid w:val="00481103"/>
    <w:rsid w:val="00485157"/>
    <w:rsid w:val="0048524C"/>
    <w:rsid w:val="004A129C"/>
    <w:rsid w:val="004A2E73"/>
    <w:rsid w:val="004A73AA"/>
    <w:rsid w:val="004B1448"/>
    <w:rsid w:val="004B1CA0"/>
    <w:rsid w:val="004B345A"/>
    <w:rsid w:val="004B7B2E"/>
    <w:rsid w:val="004C153F"/>
    <w:rsid w:val="004C2974"/>
    <w:rsid w:val="004C6F29"/>
    <w:rsid w:val="004D01AC"/>
    <w:rsid w:val="004D0D2D"/>
    <w:rsid w:val="004D0E32"/>
    <w:rsid w:val="004D3CE3"/>
    <w:rsid w:val="004D64E0"/>
    <w:rsid w:val="004E1149"/>
    <w:rsid w:val="004E4EC1"/>
    <w:rsid w:val="004E4FC2"/>
    <w:rsid w:val="004F38B2"/>
    <w:rsid w:val="004F5B1B"/>
    <w:rsid w:val="004F6C22"/>
    <w:rsid w:val="00502E30"/>
    <w:rsid w:val="00503242"/>
    <w:rsid w:val="00503B29"/>
    <w:rsid w:val="005204DF"/>
    <w:rsid w:val="00520BC3"/>
    <w:rsid w:val="005237BF"/>
    <w:rsid w:val="00526609"/>
    <w:rsid w:val="00527A50"/>
    <w:rsid w:val="00532481"/>
    <w:rsid w:val="00541C03"/>
    <w:rsid w:val="005420B0"/>
    <w:rsid w:val="00542A2D"/>
    <w:rsid w:val="00547B1E"/>
    <w:rsid w:val="005544C3"/>
    <w:rsid w:val="0055537D"/>
    <w:rsid w:val="00556D1F"/>
    <w:rsid w:val="005577A2"/>
    <w:rsid w:val="00562BDE"/>
    <w:rsid w:val="0057249B"/>
    <w:rsid w:val="00572A9D"/>
    <w:rsid w:val="00582737"/>
    <w:rsid w:val="00584DD7"/>
    <w:rsid w:val="00585A5F"/>
    <w:rsid w:val="00586314"/>
    <w:rsid w:val="0059075A"/>
    <w:rsid w:val="00592A45"/>
    <w:rsid w:val="00592E95"/>
    <w:rsid w:val="00595E77"/>
    <w:rsid w:val="005A1C3D"/>
    <w:rsid w:val="005A6439"/>
    <w:rsid w:val="005A6ADF"/>
    <w:rsid w:val="005B02EE"/>
    <w:rsid w:val="005B0BB7"/>
    <w:rsid w:val="005B407D"/>
    <w:rsid w:val="005B4674"/>
    <w:rsid w:val="005B5C1A"/>
    <w:rsid w:val="005C2F2C"/>
    <w:rsid w:val="005C33D2"/>
    <w:rsid w:val="005C4464"/>
    <w:rsid w:val="005D0B4C"/>
    <w:rsid w:val="005D1143"/>
    <w:rsid w:val="005D5A65"/>
    <w:rsid w:val="005D7657"/>
    <w:rsid w:val="005E414A"/>
    <w:rsid w:val="005E4C7D"/>
    <w:rsid w:val="005E5A55"/>
    <w:rsid w:val="005F0CC9"/>
    <w:rsid w:val="005F1402"/>
    <w:rsid w:val="005F5AB3"/>
    <w:rsid w:val="00612A47"/>
    <w:rsid w:val="006130A3"/>
    <w:rsid w:val="006167DE"/>
    <w:rsid w:val="00623F83"/>
    <w:rsid w:val="006329BB"/>
    <w:rsid w:val="00641C1D"/>
    <w:rsid w:val="00645259"/>
    <w:rsid w:val="00646BD6"/>
    <w:rsid w:val="00647993"/>
    <w:rsid w:val="0065468D"/>
    <w:rsid w:val="00663E8C"/>
    <w:rsid w:val="00667611"/>
    <w:rsid w:val="00671F09"/>
    <w:rsid w:val="00672CA8"/>
    <w:rsid w:val="006765B5"/>
    <w:rsid w:val="00676B19"/>
    <w:rsid w:val="00682C0A"/>
    <w:rsid w:val="00683324"/>
    <w:rsid w:val="00683ADB"/>
    <w:rsid w:val="0068765F"/>
    <w:rsid w:val="00690577"/>
    <w:rsid w:val="00695E98"/>
    <w:rsid w:val="006969B4"/>
    <w:rsid w:val="006A0C17"/>
    <w:rsid w:val="006A1B6D"/>
    <w:rsid w:val="006A46C7"/>
    <w:rsid w:val="006A4CFE"/>
    <w:rsid w:val="006A7C7D"/>
    <w:rsid w:val="006B1813"/>
    <w:rsid w:val="006B1990"/>
    <w:rsid w:val="006B38D2"/>
    <w:rsid w:val="006B4F81"/>
    <w:rsid w:val="006B5FDE"/>
    <w:rsid w:val="006B71DA"/>
    <w:rsid w:val="006B79E3"/>
    <w:rsid w:val="006C1CF5"/>
    <w:rsid w:val="006C2156"/>
    <w:rsid w:val="006C756A"/>
    <w:rsid w:val="006C7F56"/>
    <w:rsid w:val="006D0B2C"/>
    <w:rsid w:val="006D3132"/>
    <w:rsid w:val="006D7FFE"/>
    <w:rsid w:val="006E12E7"/>
    <w:rsid w:val="006E1D02"/>
    <w:rsid w:val="006E3635"/>
    <w:rsid w:val="006E5834"/>
    <w:rsid w:val="006E7502"/>
    <w:rsid w:val="006F39DC"/>
    <w:rsid w:val="00712173"/>
    <w:rsid w:val="00713611"/>
    <w:rsid w:val="00714875"/>
    <w:rsid w:val="00715C61"/>
    <w:rsid w:val="007172BB"/>
    <w:rsid w:val="007308DA"/>
    <w:rsid w:val="007308DD"/>
    <w:rsid w:val="00732D69"/>
    <w:rsid w:val="00734B6C"/>
    <w:rsid w:val="0073612B"/>
    <w:rsid w:val="00740806"/>
    <w:rsid w:val="00741260"/>
    <w:rsid w:val="0074162F"/>
    <w:rsid w:val="007449F6"/>
    <w:rsid w:val="007474CD"/>
    <w:rsid w:val="00750F1D"/>
    <w:rsid w:val="0076018F"/>
    <w:rsid w:val="007720FE"/>
    <w:rsid w:val="00772E19"/>
    <w:rsid w:val="0077731F"/>
    <w:rsid w:val="00783887"/>
    <w:rsid w:val="00783A8E"/>
    <w:rsid w:val="007862D3"/>
    <w:rsid w:val="0079189B"/>
    <w:rsid w:val="00796522"/>
    <w:rsid w:val="007A0542"/>
    <w:rsid w:val="007A63F0"/>
    <w:rsid w:val="007A7E92"/>
    <w:rsid w:val="007B6AFC"/>
    <w:rsid w:val="007C2517"/>
    <w:rsid w:val="007C5DDC"/>
    <w:rsid w:val="007E028F"/>
    <w:rsid w:val="007E15ED"/>
    <w:rsid w:val="007E2B19"/>
    <w:rsid w:val="007E43DD"/>
    <w:rsid w:val="007E52C2"/>
    <w:rsid w:val="00805AD0"/>
    <w:rsid w:val="008060F1"/>
    <w:rsid w:val="008069E3"/>
    <w:rsid w:val="00806E75"/>
    <w:rsid w:val="00807B8A"/>
    <w:rsid w:val="0081447D"/>
    <w:rsid w:val="008152C2"/>
    <w:rsid w:val="0081559F"/>
    <w:rsid w:val="00815DB6"/>
    <w:rsid w:val="008166D2"/>
    <w:rsid w:val="00817CE1"/>
    <w:rsid w:val="00824149"/>
    <w:rsid w:val="0082796A"/>
    <w:rsid w:val="00831A74"/>
    <w:rsid w:val="00831DED"/>
    <w:rsid w:val="00836099"/>
    <w:rsid w:val="00843D56"/>
    <w:rsid w:val="008446E6"/>
    <w:rsid w:val="008517F2"/>
    <w:rsid w:val="00854017"/>
    <w:rsid w:val="0085490B"/>
    <w:rsid w:val="008552B4"/>
    <w:rsid w:val="00855F57"/>
    <w:rsid w:val="00863B31"/>
    <w:rsid w:val="008648AC"/>
    <w:rsid w:val="008702D7"/>
    <w:rsid w:val="00871450"/>
    <w:rsid w:val="008853A9"/>
    <w:rsid w:val="00890E0E"/>
    <w:rsid w:val="00893E9C"/>
    <w:rsid w:val="008A115E"/>
    <w:rsid w:val="008A1C1B"/>
    <w:rsid w:val="008A202C"/>
    <w:rsid w:val="008A2657"/>
    <w:rsid w:val="008A62D7"/>
    <w:rsid w:val="008B4B93"/>
    <w:rsid w:val="008B7FBA"/>
    <w:rsid w:val="008C7DA8"/>
    <w:rsid w:val="008D2862"/>
    <w:rsid w:val="008D4127"/>
    <w:rsid w:val="008D6407"/>
    <w:rsid w:val="008E2B9A"/>
    <w:rsid w:val="008E4173"/>
    <w:rsid w:val="008F29DE"/>
    <w:rsid w:val="008F3775"/>
    <w:rsid w:val="008F5967"/>
    <w:rsid w:val="00900ED3"/>
    <w:rsid w:val="009013BA"/>
    <w:rsid w:val="00902BD2"/>
    <w:rsid w:val="00905803"/>
    <w:rsid w:val="0090618C"/>
    <w:rsid w:val="00911621"/>
    <w:rsid w:val="00916413"/>
    <w:rsid w:val="00916481"/>
    <w:rsid w:val="00923611"/>
    <w:rsid w:val="009244CE"/>
    <w:rsid w:val="0093066E"/>
    <w:rsid w:val="00932AA3"/>
    <w:rsid w:val="00933A35"/>
    <w:rsid w:val="00934F8A"/>
    <w:rsid w:val="009360B8"/>
    <w:rsid w:val="00940010"/>
    <w:rsid w:val="00942272"/>
    <w:rsid w:val="009515BB"/>
    <w:rsid w:val="009667F6"/>
    <w:rsid w:val="0096762C"/>
    <w:rsid w:val="00967EE7"/>
    <w:rsid w:val="00974503"/>
    <w:rsid w:val="00975607"/>
    <w:rsid w:val="009759CF"/>
    <w:rsid w:val="00977D43"/>
    <w:rsid w:val="009806C8"/>
    <w:rsid w:val="009832AF"/>
    <w:rsid w:val="0099043D"/>
    <w:rsid w:val="0099094F"/>
    <w:rsid w:val="00992CDF"/>
    <w:rsid w:val="009947B3"/>
    <w:rsid w:val="009977C4"/>
    <w:rsid w:val="00997B3F"/>
    <w:rsid w:val="009A2C99"/>
    <w:rsid w:val="009A358D"/>
    <w:rsid w:val="009A3E9E"/>
    <w:rsid w:val="009B3047"/>
    <w:rsid w:val="009B5D60"/>
    <w:rsid w:val="009B6AFB"/>
    <w:rsid w:val="009B6FC5"/>
    <w:rsid w:val="009C12AD"/>
    <w:rsid w:val="009C784A"/>
    <w:rsid w:val="009D0007"/>
    <w:rsid w:val="009D0FA0"/>
    <w:rsid w:val="009D6DDE"/>
    <w:rsid w:val="009D72A6"/>
    <w:rsid w:val="009E14F8"/>
    <w:rsid w:val="009F0EC0"/>
    <w:rsid w:val="009F36D5"/>
    <w:rsid w:val="009F73F5"/>
    <w:rsid w:val="00A002E1"/>
    <w:rsid w:val="00A014CB"/>
    <w:rsid w:val="00A05275"/>
    <w:rsid w:val="00A058AE"/>
    <w:rsid w:val="00A1154F"/>
    <w:rsid w:val="00A11700"/>
    <w:rsid w:val="00A124F6"/>
    <w:rsid w:val="00A1254F"/>
    <w:rsid w:val="00A213DA"/>
    <w:rsid w:val="00A241A8"/>
    <w:rsid w:val="00A24351"/>
    <w:rsid w:val="00A31551"/>
    <w:rsid w:val="00A31A5F"/>
    <w:rsid w:val="00A33A7B"/>
    <w:rsid w:val="00A35B9F"/>
    <w:rsid w:val="00A4359A"/>
    <w:rsid w:val="00A45804"/>
    <w:rsid w:val="00A462F6"/>
    <w:rsid w:val="00A518EB"/>
    <w:rsid w:val="00A51F50"/>
    <w:rsid w:val="00A535E1"/>
    <w:rsid w:val="00A7095B"/>
    <w:rsid w:val="00A73800"/>
    <w:rsid w:val="00A73F79"/>
    <w:rsid w:val="00A76605"/>
    <w:rsid w:val="00A80F02"/>
    <w:rsid w:val="00A8686C"/>
    <w:rsid w:val="00A87BC8"/>
    <w:rsid w:val="00A9051C"/>
    <w:rsid w:val="00A92E1C"/>
    <w:rsid w:val="00A94BF6"/>
    <w:rsid w:val="00A950F0"/>
    <w:rsid w:val="00A9725D"/>
    <w:rsid w:val="00A974E8"/>
    <w:rsid w:val="00AA2478"/>
    <w:rsid w:val="00AA2EB9"/>
    <w:rsid w:val="00AA3200"/>
    <w:rsid w:val="00AB287B"/>
    <w:rsid w:val="00AB2EC9"/>
    <w:rsid w:val="00AB3394"/>
    <w:rsid w:val="00AB5DEF"/>
    <w:rsid w:val="00AC232D"/>
    <w:rsid w:val="00AC2B92"/>
    <w:rsid w:val="00AC47A8"/>
    <w:rsid w:val="00AD271A"/>
    <w:rsid w:val="00AD38EC"/>
    <w:rsid w:val="00AD75CD"/>
    <w:rsid w:val="00AE2966"/>
    <w:rsid w:val="00AE44A4"/>
    <w:rsid w:val="00AE588D"/>
    <w:rsid w:val="00B00419"/>
    <w:rsid w:val="00B02272"/>
    <w:rsid w:val="00B06491"/>
    <w:rsid w:val="00B06A78"/>
    <w:rsid w:val="00B11B0E"/>
    <w:rsid w:val="00B133ED"/>
    <w:rsid w:val="00B14256"/>
    <w:rsid w:val="00B15709"/>
    <w:rsid w:val="00B2090A"/>
    <w:rsid w:val="00B23B79"/>
    <w:rsid w:val="00B34992"/>
    <w:rsid w:val="00B53879"/>
    <w:rsid w:val="00B62037"/>
    <w:rsid w:val="00B62813"/>
    <w:rsid w:val="00B62FA7"/>
    <w:rsid w:val="00B705E9"/>
    <w:rsid w:val="00B72C4B"/>
    <w:rsid w:val="00B73208"/>
    <w:rsid w:val="00B740AD"/>
    <w:rsid w:val="00B8030A"/>
    <w:rsid w:val="00B82AEC"/>
    <w:rsid w:val="00B8445A"/>
    <w:rsid w:val="00B86502"/>
    <w:rsid w:val="00B9368D"/>
    <w:rsid w:val="00BA05B4"/>
    <w:rsid w:val="00BA0CA5"/>
    <w:rsid w:val="00BB2ADE"/>
    <w:rsid w:val="00BB767A"/>
    <w:rsid w:val="00BD08A5"/>
    <w:rsid w:val="00BD4663"/>
    <w:rsid w:val="00BD5777"/>
    <w:rsid w:val="00BD77C3"/>
    <w:rsid w:val="00BE6877"/>
    <w:rsid w:val="00BF2406"/>
    <w:rsid w:val="00C0093B"/>
    <w:rsid w:val="00C02A0C"/>
    <w:rsid w:val="00C02A98"/>
    <w:rsid w:val="00C06527"/>
    <w:rsid w:val="00C11551"/>
    <w:rsid w:val="00C246EC"/>
    <w:rsid w:val="00C25BE5"/>
    <w:rsid w:val="00C27275"/>
    <w:rsid w:val="00C277E5"/>
    <w:rsid w:val="00C336E2"/>
    <w:rsid w:val="00C37D8D"/>
    <w:rsid w:val="00C41E57"/>
    <w:rsid w:val="00C42140"/>
    <w:rsid w:val="00C5099A"/>
    <w:rsid w:val="00C52400"/>
    <w:rsid w:val="00C53185"/>
    <w:rsid w:val="00C647CF"/>
    <w:rsid w:val="00C66C31"/>
    <w:rsid w:val="00C67663"/>
    <w:rsid w:val="00C7097F"/>
    <w:rsid w:val="00C748BA"/>
    <w:rsid w:val="00C75055"/>
    <w:rsid w:val="00C75C69"/>
    <w:rsid w:val="00C77F71"/>
    <w:rsid w:val="00C92B25"/>
    <w:rsid w:val="00C941B1"/>
    <w:rsid w:val="00CA1B22"/>
    <w:rsid w:val="00CA2FCE"/>
    <w:rsid w:val="00CA5C21"/>
    <w:rsid w:val="00CA7FEF"/>
    <w:rsid w:val="00CB154C"/>
    <w:rsid w:val="00CB2942"/>
    <w:rsid w:val="00CB581B"/>
    <w:rsid w:val="00CB67A4"/>
    <w:rsid w:val="00CC057D"/>
    <w:rsid w:val="00CC3A79"/>
    <w:rsid w:val="00CC6807"/>
    <w:rsid w:val="00CD22B0"/>
    <w:rsid w:val="00CD29B4"/>
    <w:rsid w:val="00CD3B7F"/>
    <w:rsid w:val="00CD4E28"/>
    <w:rsid w:val="00CE6246"/>
    <w:rsid w:val="00CF0865"/>
    <w:rsid w:val="00CF1FC1"/>
    <w:rsid w:val="00CF448B"/>
    <w:rsid w:val="00CF78C5"/>
    <w:rsid w:val="00D1577A"/>
    <w:rsid w:val="00D16E6B"/>
    <w:rsid w:val="00D202BD"/>
    <w:rsid w:val="00D20681"/>
    <w:rsid w:val="00D2238B"/>
    <w:rsid w:val="00D239FB"/>
    <w:rsid w:val="00D26304"/>
    <w:rsid w:val="00D37511"/>
    <w:rsid w:val="00D44EB8"/>
    <w:rsid w:val="00D47381"/>
    <w:rsid w:val="00D548A6"/>
    <w:rsid w:val="00D553B9"/>
    <w:rsid w:val="00D56ED5"/>
    <w:rsid w:val="00D5715D"/>
    <w:rsid w:val="00D61CC7"/>
    <w:rsid w:val="00D6400D"/>
    <w:rsid w:val="00D65BFF"/>
    <w:rsid w:val="00D66FB0"/>
    <w:rsid w:val="00D70067"/>
    <w:rsid w:val="00D700E0"/>
    <w:rsid w:val="00D738F1"/>
    <w:rsid w:val="00D747BE"/>
    <w:rsid w:val="00D751AA"/>
    <w:rsid w:val="00D76FA6"/>
    <w:rsid w:val="00D76FE4"/>
    <w:rsid w:val="00D8331E"/>
    <w:rsid w:val="00D84ACA"/>
    <w:rsid w:val="00D87AD6"/>
    <w:rsid w:val="00D90420"/>
    <w:rsid w:val="00D90709"/>
    <w:rsid w:val="00D90872"/>
    <w:rsid w:val="00D963B2"/>
    <w:rsid w:val="00D96CDD"/>
    <w:rsid w:val="00DA17AD"/>
    <w:rsid w:val="00DA18E1"/>
    <w:rsid w:val="00DA39F1"/>
    <w:rsid w:val="00DB53FE"/>
    <w:rsid w:val="00DB694A"/>
    <w:rsid w:val="00DC123E"/>
    <w:rsid w:val="00DC1D96"/>
    <w:rsid w:val="00DC7555"/>
    <w:rsid w:val="00DD108C"/>
    <w:rsid w:val="00DD6738"/>
    <w:rsid w:val="00DD7BDC"/>
    <w:rsid w:val="00DE216D"/>
    <w:rsid w:val="00DE253B"/>
    <w:rsid w:val="00DF5802"/>
    <w:rsid w:val="00DF5920"/>
    <w:rsid w:val="00DF789F"/>
    <w:rsid w:val="00DF7F3A"/>
    <w:rsid w:val="00E052C3"/>
    <w:rsid w:val="00E10931"/>
    <w:rsid w:val="00E11821"/>
    <w:rsid w:val="00E14A0E"/>
    <w:rsid w:val="00E23C11"/>
    <w:rsid w:val="00E2537F"/>
    <w:rsid w:val="00E259C1"/>
    <w:rsid w:val="00E2678A"/>
    <w:rsid w:val="00E30457"/>
    <w:rsid w:val="00E40B9B"/>
    <w:rsid w:val="00E4263F"/>
    <w:rsid w:val="00E54643"/>
    <w:rsid w:val="00E54AE1"/>
    <w:rsid w:val="00E60D94"/>
    <w:rsid w:val="00E60D9D"/>
    <w:rsid w:val="00E61387"/>
    <w:rsid w:val="00E615EF"/>
    <w:rsid w:val="00E674A4"/>
    <w:rsid w:val="00E67AA6"/>
    <w:rsid w:val="00E67F84"/>
    <w:rsid w:val="00E70E96"/>
    <w:rsid w:val="00E71981"/>
    <w:rsid w:val="00E71F83"/>
    <w:rsid w:val="00E7465F"/>
    <w:rsid w:val="00E75300"/>
    <w:rsid w:val="00E754B7"/>
    <w:rsid w:val="00E82418"/>
    <w:rsid w:val="00E837C5"/>
    <w:rsid w:val="00E84CA7"/>
    <w:rsid w:val="00E84E8F"/>
    <w:rsid w:val="00E856B2"/>
    <w:rsid w:val="00E85F4F"/>
    <w:rsid w:val="00E935AE"/>
    <w:rsid w:val="00E93EC4"/>
    <w:rsid w:val="00E96E71"/>
    <w:rsid w:val="00EB00F1"/>
    <w:rsid w:val="00EB1CCF"/>
    <w:rsid w:val="00EB4CA1"/>
    <w:rsid w:val="00EB4EE9"/>
    <w:rsid w:val="00EB6416"/>
    <w:rsid w:val="00EB71A5"/>
    <w:rsid w:val="00EB72F4"/>
    <w:rsid w:val="00EC397F"/>
    <w:rsid w:val="00EC4166"/>
    <w:rsid w:val="00EC727C"/>
    <w:rsid w:val="00EC728C"/>
    <w:rsid w:val="00EC75D8"/>
    <w:rsid w:val="00EC7B1B"/>
    <w:rsid w:val="00EE13D0"/>
    <w:rsid w:val="00EE300A"/>
    <w:rsid w:val="00EF408D"/>
    <w:rsid w:val="00EF42C0"/>
    <w:rsid w:val="00EF6896"/>
    <w:rsid w:val="00F120FF"/>
    <w:rsid w:val="00F17515"/>
    <w:rsid w:val="00F22AEE"/>
    <w:rsid w:val="00F306B5"/>
    <w:rsid w:val="00F34417"/>
    <w:rsid w:val="00F37314"/>
    <w:rsid w:val="00F41D93"/>
    <w:rsid w:val="00F427F9"/>
    <w:rsid w:val="00F44C6D"/>
    <w:rsid w:val="00F509E0"/>
    <w:rsid w:val="00F521CF"/>
    <w:rsid w:val="00F54E37"/>
    <w:rsid w:val="00F63347"/>
    <w:rsid w:val="00F63DF0"/>
    <w:rsid w:val="00F744CE"/>
    <w:rsid w:val="00F7694B"/>
    <w:rsid w:val="00F82336"/>
    <w:rsid w:val="00F8418A"/>
    <w:rsid w:val="00F85C4D"/>
    <w:rsid w:val="00F9011B"/>
    <w:rsid w:val="00F92895"/>
    <w:rsid w:val="00F93D61"/>
    <w:rsid w:val="00F95C6A"/>
    <w:rsid w:val="00F9635A"/>
    <w:rsid w:val="00F96433"/>
    <w:rsid w:val="00F97CEE"/>
    <w:rsid w:val="00FA224C"/>
    <w:rsid w:val="00FC1212"/>
    <w:rsid w:val="00FC6E31"/>
    <w:rsid w:val="00FC79D8"/>
    <w:rsid w:val="00FD170C"/>
    <w:rsid w:val="00FE0179"/>
    <w:rsid w:val="00FE7344"/>
    <w:rsid w:val="00FE7BF4"/>
    <w:rsid w:val="00FF0479"/>
    <w:rsid w:val="00FF171C"/>
    <w:rsid w:val="00FF57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CA273"/>
  <w14:defaultImageDpi w14:val="32767"/>
  <w15:chartTrackingRefBased/>
  <w15:docId w15:val="{60630B70-EC22-B348-AF9E-DC3E7E8D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18F"/>
    <w:rPr>
      <w:rFonts w:ascii="Times New Roman" w:eastAsia="Times New Roman" w:hAnsi="Times New Roman" w:cs="Times New Roman"/>
    </w:rPr>
  </w:style>
  <w:style w:type="paragraph" w:styleId="Heading1">
    <w:name w:val="heading 1"/>
    <w:aliases w:val="Heading-Thesis 1"/>
    <w:basedOn w:val="Normal"/>
    <w:next w:val="Normal"/>
    <w:link w:val="Heading1Char"/>
    <w:uiPriority w:val="9"/>
    <w:qFormat/>
    <w:rsid w:val="001C3FCF"/>
    <w:pPr>
      <w:keepNext/>
      <w:keepLines/>
      <w:spacing w:before="240"/>
      <w:outlineLvl w:val="0"/>
    </w:pPr>
    <w:rPr>
      <w:rFonts w:eastAsiaTheme="majorEastAsia" w:cstheme="majorBidi"/>
      <w:b/>
      <w:color w:val="000000" w:themeColor="text1"/>
      <w:sz w:val="32"/>
      <w:szCs w:val="32"/>
    </w:rPr>
  </w:style>
  <w:style w:type="paragraph" w:styleId="Heading2">
    <w:name w:val="heading 2"/>
    <w:aliases w:val="Heading 2-Custom"/>
    <w:basedOn w:val="Normal"/>
    <w:next w:val="Normal"/>
    <w:link w:val="Heading2Char"/>
    <w:autoRedefine/>
    <w:uiPriority w:val="9"/>
    <w:unhideWhenUsed/>
    <w:qFormat/>
    <w:rsid w:val="00831DED"/>
    <w:pPr>
      <w:keepNext/>
      <w:keepLines/>
      <w:spacing w:before="40"/>
      <w:outlineLvl w:val="1"/>
    </w:pPr>
    <w:rPr>
      <w:rFonts w:ascii="Arial" w:eastAsiaTheme="majorEastAsia" w:hAnsi="Arial" w:cs="Arial"/>
      <w:bCs/>
      <w:i/>
      <w:iCs/>
      <w:color w:val="000000" w:themeColor="text1"/>
    </w:rPr>
  </w:style>
  <w:style w:type="paragraph" w:styleId="Heading3">
    <w:name w:val="heading 3"/>
    <w:aliases w:val="Heading 3-Custom"/>
    <w:basedOn w:val="Normal"/>
    <w:next w:val="Normal"/>
    <w:link w:val="Heading3Char"/>
    <w:uiPriority w:val="9"/>
    <w:unhideWhenUsed/>
    <w:qFormat/>
    <w:rsid w:val="00EC4166"/>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9422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Thesis 1 Char"/>
    <w:basedOn w:val="DefaultParagraphFont"/>
    <w:link w:val="Heading1"/>
    <w:uiPriority w:val="9"/>
    <w:rsid w:val="001C3FCF"/>
    <w:rPr>
      <w:rFonts w:ascii="Times New Roman" w:eastAsiaTheme="majorEastAsia" w:hAnsi="Times New Roman" w:cstheme="majorBidi"/>
      <w:b/>
      <w:color w:val="000000" w:themeColor="text1"/>
      <w:sz w:val="32"/>
      <w:szCs w:val="32"/>
    </w:rPr>
  </w:style>
  <w:style w:type="character" w:customStyle="1" w:styleId="Heading2Char">
    <w:name w:val="Heading 2 Char"/>
    <w:aliases w:val="Heading 2-Custom Char"/>
    <w:basedOn w:val="DefaultParagraphFont"/>
    <w:link w:val="Heading2"/>
    <w:uiPriority w:val="9"/>
    <w:rsid w:val="00831DED"/>
    <w:rPr>
      <w:rFonts w:ascii="Arial" w:eastAsiaTheme="majorEastAsia" w:hAnsi="Arial" w:cs="Arial"/>
      <w:bCs/>
      <w:i/>
      <w:iCs/>
      <w:color w:val="000000" w:themeColor="text1"/>
    </w:rPr>
  </w:style>
  <w:style w:type="character" w:customStyle="1" w:styleId="Heading3Char">
    <w:name w:val="Heading 3 Char"/>
    <w:aliases w:val="Heading 3-Custom Char"/>
    <w:basedOn w:val="DefaultParagraphFont"/>
    <w:link w:val="Heading3"/>
    <w:uiPriority w:val="9"/>
    <w:rsid w:val="00EC4166"/>
    <w:rPr>
      <w:rFonts w:ascii="Times New Roman" w:eastAsiaTheme="majorEastAsia" w:hAnsi="Times New Roman" w:cstheme="majorBidi"/>
      <w:i/>
      <w:color w:val="000000" w:themeColor="text1"/>
    </w:rPr>
  </w:style>
  <w:style w:type="paragraph" w:styleId="Bibliography">
    <w:name w:val="Bibliography"/>
    <w:basedOn w:val="Normal"/>
    <w:next w:val="Normal"/>
    <w:uiPriority w:val="37"/>
    <w:unhideWhenUsed/>
    <w:rsid w:val="00EC4166"/>
    <w:pPr>
      <w:tabs>
        <w:tab w:val="left" w:pos="260"/>
        <w:tab w:val="left" w:pos="380"/>
        <w:tab w:val="left" w:pos="500"/>
      </w:tabs>
      <w:spacing w:after="240"/>
      <w:ind w:left="504" w:hanging="504"/>
    </w:pPr>
  </w:style>
  <w:style w:type="paragraph" w:styleId="ListParagraph">
    <w:name w:val="List Paragraph"/>
    <w:basedOn w:val="Normal"/>
    <w:uiPriority w:val="34"/>
    <w:qFormat/>
    <w:rsid w:val="00EC4166"/>
    <w:pPr>
      <w:ind w:left="720"/>
      <w:contextualSpacing/>
    </w:pPr>
  </w:style>
  <w:style w:type="paragraph" w:styleId="TOCHeading">
    <w:name w:val="TOC Heading"/>
    <w:basedOn w:val="Heading1"/>
    <w:next w:val="Normal"/>
    <w:uiPriority w:val="39"/>
    <w:unhideWhenUsed/>
    <w:qFormat/>
    <w:rsid w:val="00EC4166"/>
    <w:pPr>
      <w:spacing w:before="480" w:line="276" w:lineRule="auto"/>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EC4166"/>
    <w:pPr>
      <w:spacing w:before="120" w:after="120"/>
    </w:pPr>
    <w:rPr>
      <w:rFonts w:cstheme="minorHAnsi"/>
      <w:b/>
      <w:bCs/>
      <w:caps/>
      <w:sz w:val="20"/>
      <w:szCs w:val="20"/>
    </w:rPr>
  </w:style>
  <w:style w:type="paragraph" w:styleId="TOC2">
    <w:name w:val="toc 2"/>
    <w:basedOn w:val="Normal"/>
    <w:next w:val="Normal"/>
    <w:autoRedefine/>
    <w:uiPriority w:val="39"/>
    <w:unhideWhenUsed/>
    <w:rsid w:val="00E70E96"/>
    <w:pPr>
      <w:tabs>
        <w:tab w:val="right" w:leader="dot" w:pos="9350"/>
      </w:tabs>
      <w:ind w:left="240"/>
    </w:pPr>
    <w:rPr>
      <w:rFonts w:cstheme="minorHAnsi"/>
      <w:smallCaps/>
      <w:sz w:val="20"/>
      <w:szCs w:val="20"/>
    </w:rPr>
  </w:style>
  <w:style w:type="paragraph" w:styleId="TOC3">
    <w:name w:val="toc 3"/>
    <w:basedOn w:val="Normal"/>
    <w:next w:val="Normal"/>
    <w:autoRedefine/>
    <w:uiPriority w:val="39"/>
    <w:unhideWhenUsed/>
    <w:rsid w:val="00C06527"/>
    <w:pPr>
      <w:tabs>
        <w:tab w:val="left" w:pos="960"/>
        <w:tab w:val="right" w:leader="dot" w:pos="9350"/>
      </w:tabs>
      <w:ind w:left="480"/>
    </w:pPr>
    <w:rPr>
      <w:rFonts w:cstheme="minorHAnsi"/>
      <w:i/>
      <w:iCs/>
      <w:sz w:val="20"/>
      <w:szCs w:val="20"/>
    </w:rPr>
  </w:style>
  <w:style w:type="character" w:styleId="Hyperlink">
    <w:name w:val="Hyperlink"/>
    <w:basedOn w:val="DefaultParagraphFont"/>
    <w:uiPriority w:val="99"/>
    <w:unhideWhenUsed/>
    <w:rsid w:val="00EC4166"/>
    <w:rPr>
      <w:color w:val="0563C1" w:themeColor="hyperlink"/>
      <w:u w:val="single"/>
    </w:rPr>
  </w:style>
  <w:style w:type="paragraph" w:styleId="Footer">
    <w:name w:val="footer"/>
    <w:basedOn w:val="Normal"/>
    <w:link w:val="FooterChar"/>
    <w:uiPriority w:val="99"/>
    <w:unhideWhenUsed/>
    <w:rsid w:val="00EC4166"/>
    <w:pPr>
      <w:tabs>
        <w:tab w:val="center" w:pos="4680"/>
        <w:tab w:val="right" w:pos="9360"/>
      </w:tabs>
    </w:pPr>
  </w:style>
  <w:style w:type="character" w:customStyle="1" w:styleId="FooterChar">
    <w:name w:val="Footer Char"/>
    <w:basedOn w:val="DefaultParagraphFont"/>
    <w:link w:val="Footer"/>
    <w:uiPriority w:val="99"/>
    <w:rsid w:val="00EC4166"/>
  </w:style>
  <w:style w:type="character" w:customStyle="1" w:styleId="BalloonTextChar">
    <w:name w:val="Balloon Text Char"/>
    <w:basedOn w:val="DefaultParagraphFont"/>
    <w:link w:val="BalloonText"/>
    <w:uiPriority w:val="99"/>
    <w:semiHidden/>
    <w:rsid w:val="00EC4166"/>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EC4166"/>
    <w:rPr>
      <w:sz w:val="18"/>
      <w:szCs w:val="18"/>
    </w:rPr>
  </w:style>
  <w:style w:type="character" w:customStyle="1" w:styleId="apple-converted-space">
    <w:name w:val="apple-converted-space"/>
    <w:basedOn w:val="DefaultParagraphFont"/>
    <w:rsid w:val="00EC4166"/>
  </w:style>
  <w:style w:type="character" w:customStyle="1" w:styleId="CommentTextChar">
    <w:name w:val="Comment Text Char"/>
    <w:basedOn w:val="DefaultParagraphFont"/>
    <w:link w:val="CommentText"/>
    <w:uiPriority w:val="99"/>
    <w:rsid w:val="00EC4166"/>
    <w:rPr>
      <w:sz w:val="20"/>
      <w:szCs w:val="20"/>
    </w:rPr>
  </w:style>
  <w:style w:type="paragraph" w:styleId="CommentText">
    <w:name w:val="annotation text"/>
    <w:basedOn w:val="Normal"/>
    <w:link w:val="CommentTextChar"/>
    <w:uiPriority w:val="99"/>
    <w:unhideWhenUsed/>
    <w:rsid w:val="00EC4166"/>
    <w:rPr>
      <w:sz w:val="20"/>
      <w:szCs w:val="20"/>
    </w:rPr>
  </w:style>
  <w:style w:type="character" w:customStyle="1" w:styleId="CommentSubjectChar">
    <w:name w:val="Comment Subject Char"/>
    <w:basedOn w:val="CommentTextChar"/>
    <w:link w:val="CommentSubject"/>
    <w:uiPriority w:val="99"/>
    <w:semiHidden/>
    <w:rsid w:val="00EC4166"/>
    <w:rPr>
      <w:b/>
      <w:bCs/>
      <w:sz w:val="20"/>
      <w:szCs w:val="20"/>
    </w:rPr>
  </w:style>
  <w:style w:type="paragraph" w:styleId="CommentSubject">
    <w:name w:val="annotation subject"/>
    <w:basedOn w:val="CommentText"/>
    <w:next w:val="CommentText"/>
    <w:link w:val="CommentSubjectChar"/>
    <w:uiPriority w:val="99"/>
    <w:semiHidden/>
    <w:unhideWhenUsed/>
    <w:rsid w:val="00EC4166"/>
    <w:rPr>
      <w:b/>
      <w:bCs/>
    </w:rPr>
  </w:style>
  <w:style w:type="character" w:styleId="PlaceholderText">
    <w:name w:val="Placeholder Text"/>
    <w:basedOn w:val="DefaultParagraphFont"/>
    <w:uiPriority w:val="99"/>
    <w:semiHidden/>
    <w:rsid w:val="00B14256"/>
    <w:rPr>
      <w:color w:val="808080"/>
    </w:rPr>
  </w:style>
  <w:style w:type="character" w:customStyle="1" w:styleId="Heading4Char">
    <w:name w:val="Heading 4 Char"/>
    <w:basedOn w:val="DefaultParagraphFont"/>
    <w:link w:val="Heading4"/>
    <w:uiPriority w:val="9"/>
    <w:rsid w:val="00942272"/>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DF7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646BD6"/>
    <w:pPr>
      <w:ind w:left="720"/>
    </w:pPr>
    <w:rPr>
      <w:rFonts w:cstheme="minorHAnsi"/>
      <w:sz w:val="18"/>
      <w:szCs w:val="18"/>
    </w:rPr>
  </w:style>
  <w:style w:type="paragraph" w:styleId="TOC5">
    <w:name w:val="toc 5"/>
    <w:basedOn w:val="Normal"/>
    <w:next w:val="Normal"/>
    <w:autoRedefine/>
    <w:uiPriority w:val="39"/>
    <w:semiHidden/>
    <w:unhideWhenUsed/>
    <w:rsid w:val="00646BD6"/>
    <w:pPr>
      <w:ind w:left="960"/>
    </w:pPr>
    <w:rPr>
      <w:rFonts w:cstheme="minorHAnsi"/>
      <w:sz w:val="18"/>
      <w:szCs w:val="18"/>
    </w:rPr>
  </w:style>
  <w:style w:type="paragraph" w:styleId="TOC6">
    <w:name w:val="toc 6"/>
    <w:basedOn w:val="Normal"/>
    <w:next w:val="Normal"/>
    <w:autoRedefine/>
    <w:uiPriority w:val="39"/>
    <w:semiHidden/>
    <w:unhideWhenUsed/>
    <w:rsid w:val="00646BD6"/>
    <w:pPr>
      <w:ind w:left="1200"/>
    </w:pPr>
    <w:rPr>
      <w:rFonts w:cstheme="minorHAnsi"/>
      <w:sz w:val="18"/>
      <w:szCs w:val="18"/>
    </w:rPr>
  </w:style>
  <w:style w:type="paragraph" w:styleId="TOC7">
    <w:name w:val="toc 7"/>
    <w:basedOn w:val="Normal"/>
    <w:next w:val="Normal"/>
    <w:autoRedefine/>
    <w:uiPriority w:val="39"/>
    <w:semiHidden/>
    <w:unhideWhenUsed/>
    <w:rsid w:val="00646BD6"/>
    <w:pPr>
      <w:ind w:left="1440"/>
    </w:pPr>
    <w:rPr>
      <w:rFonts w:cstheme="minorHAnsi"/>
      <w:sz w:val="18"/>
      <w:szCs w:val="18"/>
    </w:rPr>
  </w:style>
  <w:style w:type="paragraph" w:styleId="TOC8">
    <w:name w:val="toc 8"/>
    <w:basedOn w:val="Normal"/>
    <w:next w:val="Normal"/>
    <w:autoRedefine/>
    <w:uiPriority w:val="39"/>
    <w:semiHidden/>
    <w:unhideWhenUsed/>
    <w:rsid w:val="00646BD6"/>
    <w:pPr>
      <w:ind w:left="1680"/>
    </w:pPr>
    <w:rPr>
      <w:rFonts w:cstheme="minorHAnsi"/>
      <w:sz w:val="18"/>
      <w:szCs w:val="18"/>
    </w:rPr>
  </w:style>
  <w:style w:type="paragraph" w:styleId="TOC9">
    <w:name w:val="toc 9"/>
    <w:basedOn w:val="Normal"/>
    <w:next w:val="Normal"/>
    <w:autoRedefine/>
    <w:uiPriority w:val="39"/>
    <w:semiHidden/>
    <w:unhideWhenUsed/>
    <w:rsid w:val="00646BD6"/>
    <w:pPr>
      <w:ind w:left="1920"/>
    </w:pPr>
    <w:rPr>
      <w:rFonts w:cstheme="minorHAnsi"/>
      <w:sz w:val="18"/>
      <w:szCs w:val="18"/>
    </w:rPr>
  </w:style>
  <w:style w:type="paragraph" w:styleId="Caption">
    <w:name w:val="caption"/>
    <w:basedOn w:val="Normal"/>
    <w:next w:val="Normal"/>
    <w:link w:val="CaptionChar"/>
    <w:uiPriority w:val="35"/>
    <w:unhideWhenUsed/>
    <w:qFormat/>
    <w:rsid w:val="008517F2"/>
    <w:pPr>
      <w:spacing w:after="200"/>
    </w:pPr>
    <w:rPr>
      <w:i/>
      <w:iCs/>
      <w:color w:val="44546A" w:themeColor="text2"/>
      <w:sz w:val="18"/>
      <w:szCs w:val="18"/>
    </w:rPr>
  </w:style>
  <w:style w:type="paragraph" w:styleId="TableofFigures">
    <w:name w:val="table of figures"/>
    <w:basedOn w:val="Normal"/>
    <w:next w:val="Normal"/>
    <w:uiPriority w:val="99"/>
    <w:unhideWhenUsed/>
    <w:rsid w:val="006B4F81"/>
    <w:pPr>
      <w:ind w:left="480" w:hanging="480"/>
    </w:pPr>
    <w:rPr>
      <w:rFonts w:cstheme="minorHAnsi"/>
      <w:caps/>
      <w:sz w:val="20"/>
      <w:szCs w:val="20"/>
    </w:rPr>
  </w:style>
  <w:style w:type="table" w:styleId="LightGrid">
    <w:name w:val="Light Grid"/>
    <w:basedOn w:val="TableNormal"/>
    <w:uiPriority w:val="62"/>
    <w:rsid w:val="00D751AA"/>
    <w:rPr>
      <w:rFonts w:eastAsiaTheme="minorEastAsia"/>
      <w:sz w:val="22"/>
      <w:szCs w:val="22"/>
      <w:lang w:val="en-GB"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ageNumber">
    <w:name w:val="page number"/>
    <w:basedOn w:val="DefaultParagraphFont"/>
    <w:uiPriority w:val="99"/>
    <w:semiHidden/>
    <w:unhideWhenUsed/>
    <w:rsid w:val="004B1CA0"/>
  </w:style>
  <w:style w:type="character" w:styleId="CommentReference">
    <w:name w:val="annotation reference"/>
    <w:basedOn w:val="DefaultParagraphFont"/>
    <w:uiPriority w:val="99"/>
    <w:semiHidden/>
    <w:unhideWhenUsed/>
    <w:rsid w:val="00016092"/>
    <w:rPr>
      <w:sz w:val="16"/>
      <w:szCs w:val="16"/>
    </w:rPr>
  </w:style>
  <w:style w:type="character" w:customStyle="1" w:styleId="UnresolvedMention1">
    <w:name w:val="Unresolved Mention1"/>
    <w:basedOn w:val="DefaultParagraphFont"/>
    <w:uiPriority w:val="99"/>
    <w:rsid w:val="006C756A"/>
    <w:rPr>
      <w:color w:val="605E5C"/>
      <w:shd w:val="clear" w:color="auto" w:fill="E1DFDD"/>
    </w:rPr>
  </w:style>
  <w:style w:type="paragraph" w:styleId="Header">
    <w:name w:val="header"/>
    <w:basedOn w:val="Normal"/>
    <w:link w:val="HeaderChar"/>
    <w:uiPriority w:val="99"/>
    <w:unhideWhenUsed/>
    <w:rsid w:val="00124033"/>
    <w:pPr>
      <w:tabs>
        <w:tab w:val="center" w:pos="4680"/>
        <w:tab w:val="right" w:pos="9360"/>
      </w:tabs>
    </w:pPr>
  </w:style>
  <w:style w:type="character" w:customStyle="1" w:styleId="HeaderChar">
    <w:name w:val="Header Char"/>
    <w:basedOn w:val="DefaultParagraphFont"/>
    <w:link w:val="Header"/>
    <w:uiPriority w:val="99"/>
    <w:rsid w:val="00124033"/>
  </w:style>
  <w:style w:type="paragraph" w:styleId="Revision">
    <w:name w:val="Revision"/>
    <w:hidden/>
    <w:uiPriority w:val="99"/>
    <w:semiHidden/>
    <w:rsid w:val="005E5A55"/>
  </w:style>
  <w:style w:type="character" w:customStyle="1" w:styleId="hgkelc">
    <w:name w:val="hgkelc"/>
    <w:basedOn w:val="DefaultParagraphFont"/>
    <w:rsid w:val="0076018F"/>
  </w:style>
  <w:style w:type="character" w:customStyle="1" w:styleId="CaptionChar">
    <w:name w:val="Caption Char"/>
    <w:link w:val="Caption"/>
    <w:uiPriority w:val="35"/>
    <w:locked/>
    <w:rsid w:val="00F427F9"/>
    <w:rPr>
      <w:i/>
      <w:iCs/>
      <w:color w:val="44546A" w:themeColor="text2"/>
      <w:sz w:val="18"/>
      <w:szCs w:val="18"/>
    </w:rPr>
  </w:style>
  <w:style w:type="paragraph" w:customStyle="1" w:styleId="Default">
    <w:name w:val="Default"/>
    <w:rsid w:val="00F427F9"/>
    <w:pPr>
      <w:autoSpaceDE w:val="0"/>
      <w:autoSpaceDN w:val="0"/>
      <w:adjustRightInd w:val="0"/>
    </w:pPr>
    <w:rPr>
      <w:rFonts w:ascii="Garamond" w:hAnsi="Garamond" w:cs="Garamond"/>
      <w:color w:val="000000"/>
    </w:rPr>
  </w:style>
  <w:style w:type="character" w:styleId="FollowedHyperlink">
    <w:name w:val="FollowedHyperlink"/>
    <w:basedOn w:val="DefaultParagraphFont"/>
    <w:uiPriority w:val="99"/>
    <w:semiHidden/>
    <w:unhideWhenUsed/>
    <w:rsid w:val="008D6407"/>
    <w:rPr>
      <w:color w:val="954F72" w:themeColor="followedHyperlink"/>
      <w:u w:val="single"/>
    </w:rPr>
  </w:style>
  <w:style w:type="character" w:styleId="LineNumber">
    <w:name w:val="line number"/>
    <w:basedOn w:val="DefaultParagraphFont"/>
    <w:uiPriority w:val="99"/>
    <w:semiHidden/>
    <w:unhideWhenUsed/>
    <w:rsid w:val="00687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33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49BA6-1BD0-4770-90B7-492AB611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53299</Words>
  <Characters>303806</Characters>
  <Application>Microsoft Office Word</Application>
  <DocSecurity>0</DocSecurity>
  <Lines>2531</Lines>
  <Paragraphs>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Sachin Amrendra</dc:creator>
  <cp:keywords/>
  <dc:description/>
  <cp:lastModifiedBy>Sachin Silva</cp:lastModifiedBy>
  <cp:revision>6</cp:revision>
  <dcterms:created xsi:type="dcterms:W3CDTF">2022-08-15T22:49:00Z</dcterms:created>
  <dcterms:modified xsi:type="dcterms:W3CDTF">2022-11-18T20:05:00Z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zotero-version="6.0.11"&gt;&lt;session id="enyTVmxQ"/&gt;&lt;style id="http://www.zotero.org/styles/vancouver-brackets" locale="en-US" hasBibliography="1" bibliographyStyleHasBeenSet="1"/&gt;&lt;prefs&gt;&lt;pref name="fieldType" value="Field"/&gt;&lt;pref name=</vt:lpwstr>
  </property>
  <property fmtid="{D5CDD505-2E9C-101B-9397-08002B2CF9AE}" pid="3" name="ZOTERO_PREF_2">
    <vt:lpwstr>"dontAskDelayCitationUpdates" value="true"/&gt;&lt;/prefs&gt;&lt;/data&gt;</vt:lpwstr>
  </property>
</Properties>
</file>