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CFCC" w14:textId="65B81145" w:rsidR="00B615CE" w:rsidRDefault="00B615CE" w:rsidP="00B615CE">
      <w:r w:rsidRPr="00F2329A">
        <w:rPr>
          <w:b/>
          <w:bCs/>
        </w:rPr>
        <w:t>S</w:t>
      </w:r>
      <w:r>
        <w:rPr>
          <w:b/>
          <w:bCs/>
        </w:rPr>
        <w:t>19</w:t>
      </w:r>
      <w:r w:rsidR="00FD5BCB">
        <w:rPr>
          <w:b/>
          <w:bCs/>
        </w:rPr>
        <w:t xml:space="preserve"> Table</w:t>
      </w:r>
      <w:r w:rsidRPr="00F2329A">
        <w:rPr>
          <w:b/>
          <w:bCs/>
        </w:rPr>
        <w:t>.</w:t>
      </w:r>
      <w:r>
        <w:t xml:space="preserve"> C</w:t>
      </w:r>
      <w:r w:rsidRPr="00F40F8A">
        <w:t>hange</w:t>
      </w:r>
      <w:r>
        <w:t>s and percentage changes</w:t>
      </w:r>
      <w:r>
        <w:rPr>
          <w:b/>
          <w:bCs/>
        </w:rPr>
        <w:t xml:space="preserve"> </w:t>
      </w:r>
      <w:r>
        <w:t>in weekly household mean (95% CI) energy and nutrients purchased from HFSS products and packs of HFSS products purchased, in London (intervention group) compared to the counterfactual, 18 June 2018 to 15 December 2019.</w:t>
      </w:r>
    </w:p>
    <w:p w14:paraId="0DE2A8FE" w14:textId="77777777" w:rsidR="00B615CE" w:rsidRDefault="00B615CE" w:rsidP="00B615CE"/>
    <w:tbl>
      <w:tblPr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268"/>
        <w:gridCol w:w="2126"/>
        <w:gridCol w:w="1857"/>
        <w:gridCol w:w="2027"/>
        <w:gridCol w:w="2027"/>
        <w:gridCol w:w="2027"/>
      </w:tblGrid>
      <w:tr w:rsidR="00B615CE" w:rsidRPr="007F5FF6" w14:paraId="6EE44108" w14:textId="77777777" w:rsidTr="00BB3C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D09F" w14:textId="77777777" w:rsidR="00B615CE" w:rsidRPr="007F5FF6" w:rsidRDefault="00B615CE" w:rsidP="00BB3C11">
            <w:pPr>
              <w:widowControl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2E05" w14:textId="77777777" w:rsidR="00B615CE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32984" w14:textId="77777777" w:rsidR="00B615CE" w:rsidRPr="00D05BFA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05BFA">
              <w:rPr>
                <w:rFonts w:cs="Calibri"/>
                <w:b/>
                <w:bCs/>
                <w:sz w:val="16"/>
                <w:szCs w:val="16"/>
              </w:rPr>
              <w:t>Total HFSS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9388" w14:textId="77777777" w:rsidR="00B615CE" w:rsidRPr="00386AAB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Chocolate &amp; Confectionery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956F" w14:textId="77777777" w:rsidR="00B615CE" w:rsidRPr="00386AAB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Puddings &amp; Biscuits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92AC" w14:textId="77777777" w:rsidR="00B615CE" w:rsidRPr="00386AAB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Sugary Drinks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B80A" w14:textId="77777777" w:rsidR="00B615CE" w:rsidRPr="00386AAB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Sugary Cereals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0C28" w14:textId="77777777" w:rsidR="00B615CE" w:rsidRPr="00386AAB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Savoury Snacks</w:t>
            </w:r>
          </w:p>
        </w:tc>
      </w:tr>
      <w:tr w:rsidR="00B615CE" w:rsidRPr="007F5FF6" w14:paraId="7822F854" w14:textId="77777777" w:rsidTr="00BB3C1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9FBC54" w14:textId="77777777" w:rsidR="00B615CE" w:rsidRDefault="00B615CE" w:rsidP="00BB3C11">
            <w:pPr>
              <w:widowContro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Energy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B610" w14:textId="77777777" w:rsidR="00B615CE" w:rsidRPr="00DC65B9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Kcal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D4B99" w14:textId="77777777" w:rsidR="00B615CE" w:rsidRPr="00D05BFA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05BFA">
              <w:rPr>
                <w:b/>
                <w:sz w:val="16"/>
              </w:rPr>
              <w:t>-9</w:t>
            </w:r>
            <w:r w:rsidRPr="00886F9E">
              <w:rPr>
                <w:b/>
                <w:sz w:val="16"/>
              </w:rPr>
              <w:t>63</w:t>
            </w:r>
            <w:r w:rsidRPr="00D05BFA">
              <w:rPr>
                <w:b/>
                <w:sz w:val="16"/>
              </w:rPr>
              <w:t>.</w:t>
            </w:r>
            <w:r w:rsidRPr="00886F9E">
              <w:rPr>
                <w:b/>
                <w:sz w:val="16"/>
              </w:rPr>
              <w:t>3</w:t>
            </w:r>
            <w:r w:rsidRPr="00D05BFA">
              <w:rPr>
                <w:b/>
                <w:sz w:val="16"/>
              </w:rPr>
              <w:t xml:space="preserve"> (-1</w:t>
            </w:r>
            <w:r w:rsidRPr="00886F9E">
              <w:rPr>
                <w:b/>
                <w:sz w:val="16"/>
              </w:rPr>
              <w:t>,</w:t>
            </w:r>
            <w:r w:rsidRPr="00D05BFA">
              <w:rPr>
                <w:b/>
                <w:sz w:val="16"/>
              </w:rPr>
              <w:t>5</w:t>
            </w:r>
            <w:r w:rsidRPr="00886F9E">
              <w:rPr>
                <w:b/>
                <w:sz w:val="16"/>
              </w:rPr>
              <w:t>05</w:t>
            </w:r>
            <w:r w:rsidRPr="00D05BFA">
              <w:rPr>
                <w:b/>
                <w:sz w:val="16"/>
              </w:rPr>
              <w:t>.</w:t>
            </w:r>
            <w:r w:rsidRPr="00886F9E">
              <w:rPr>
                <w:b/>
                <w:sz w:val="16"/>
              </w:rPr>
              <w:t>5</w:t>
            </w:r>
            <w:r w:rsidRPr="00D05BFA">
              <w:rPr>
                <w:b/>
                <w:sz w:val="16"/>
              </w:rPr>
              <w:t xml:space="preserve"> to </w:t>
            </w:r>
            <w:r w:rsidRPr="00811AC1">
              <w:rPr>
                <w:b/>
                <w:sz w:val="16"/>
              </w:rPr>
              <w:t>-</w:t>
            </w:r>
            <w:r w:rsidRPr="00D05BFA">
              <w:rPr>
                <w:b/>
                <w:sz w:val="16"/>
              </w:rPr>
              <w:t>4</w:t>
            </w:r>
            <w:r w:rsidRPr="00886F9E">
              <w:rPr>
                <w:b/>
                <w:sz w:val="16"/>
              </w:rPr>
              <w:t>21.2</w:t>
            </w:r>
            <w:r w:rsidRPr="00D05BFA">
              <w:rPr>
                <w:b/>
                <w:sz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E081" w14:textId="77777777" w:rsidR="00B615CE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-322.3 (-437.4 to -207.2)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B059" w14:textId="77777777" w:rsidR="00B615CE" w:rsidRDefault="00B615CE" w:rsidP="00BB3C11">
            <w:pPr>
              <w:widowControl w:val="0"/>
              <w:jc w:val="center"/>
              <w:rPr>
                <w:sz w:val="16"/>
              </w:rPr>
            </w:pPr>
            <w:r w:rsidRPr="000707C4">
              <w:rPr>
                <w:bCs/>
                <w:sz w:val="16"/>
              </w:rPr>
              <w:t>-189.</w:t>
            </w:r>
            <w:r>
              <w:rPr>
                <w:bCs/>
                <w:sz w:val="16"/>
              </w:rPr>
              <w:t>1</w:t>
            </w:r>
            <w:r w:rsidRPr="000707C4">
              <w:rPr>
                <w:bCs/>
                <w:sz w:val="16"/>
              </w:rPr>
              <w:t xml:space="preserve"> (-380.</w:t>
            </w:r>
            <w:r>
              <w:rPr>
                <w:bCs/>
                <w:sz w:val="16"/>
              </w:rPr>
              <w:t>6</w:t>
            </w:r>
            <w:r w:rsidRPr="000707C4">
              <w:rPr>
                <w:bCs/>
                <w:sz w:val="16"/>
              </w:rPr>
              <w:t xml:space="preserve"> to 2.</w:t>
            </w:r>
            <w:r>
              <w:rPr>
                <w:bCs/>
                <w:sz w:val="16"/>
              </w:rPr>
              <w:t>5</w:t>
            </w:r>
            <w:r w:rsidRPr="000707C4">
              <w:rPr>
                <w:bCs/>
                <w:sz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06FF" w14:textId="77777777" w:rsidR="00B615CE" w:rsidRDefault="00B615CE" w:rsidP="00BB3C11">
            <w:pPr>
              <w:widowControl w:val="0"/>
              <w:jc w:val="center"/>
              <w:rPr>
                <w:sz w:val="16"/>
              </w:rPr>
            </w:pPr>
            <w:r>
              <w:rPr>
                <w:rFonts w:cs="Calibri"/>
                <w:sz w:val="16"/>
                <w:szCs w:val="16"/>
              </w:rPr>
              <w:t>20.0 (-14.0 to 54.0)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351D" w14:textId="77777777" w:rsidR="00B615CE" w:rsidRDefault="00B615CE" w:rsidP="00BB3C11">
            <w:pPr>
              <w:widowControl w:val="0"/>
              <w:jc w:val="center"/>
              <w:rPr>
                <w:sz w:val="16"/>
              </w:rPr>
            </w:pPr>
            <w:r>
              <w:rPr>
                <w:rFonts w:cs="Calibri"/>
                <w:sz w:val="16"/>
                <w:szCs w:val="16"/>
              </w:rPr>
              <w:t>5.0 (-83.9 to 93.8)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5028" w14:textId="77777777" w:rsidR="00B615CE" w:rsidRDefault="00B615CE" w:rsidP="00BB3C11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62.4 (-18.7 to 143.5)</w:t>
            </w:r>
          </w:p>
        </w:tc>
      </w:tr>
      <w:tr w:rsidR="00B615CE" w:rsidRPr="007F5FF6" w14:paraId="177CC168" w14:textId="77777777" w:rsidTr="00BB3C1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D9AA2" w14:textId="77777777" w:rsidR="00B615CE" w:rsidRDefault="00B615CE" w:rsidP="00BB3C11">
            <w:pPr>
              <w:widowControl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3D3F" w14:textId="77777777" w:rsidR="00B615CE" w:rsidRPr="00DC65B9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9898" w14:textId="77777777" w:rsidR="00B615CE" w:rsidRPr="00D05BFA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05BFA">
              <w:rPr>
                <w:rFonts w:cs="Calibri"/>
                <w:b/>
                <w:bCs/>
                <w:sz w:val="16"/>
                <w:szCs w:val="16"/>
              </w:rPr>
              <w:t>-6.</w:t>
            </w:r>
            <w:r w:rsidRPr="00886F9E">
              <w:rPr>
                <w:rFonts w:cs="Calibri"/>
                <w:b/>
                <w:bCs/>
                <w:sz w:val="16"/>
                <w:szCs w:val="16"/>
              </w:rPr>
              <w:t>5</w:t>
            </w:r>
            <w:r w:rsidRPr="00D05BFA">
              <w:rPr>
                <w:rFonts w:cs="Calibri"/>
                <w:b/>
                <w:bCs/>
                <w:sz w:val="16"/>
                <w:szCs w:val="16"/>
              </w:rPr>
              <w:t xml:space="preserve"> (-10.</w:t>
            </w:r>
            <w:r w:rsidRPr="00886F9E">
              <w:rPr>
                <w:rFonts w:cs="Calibri"/>
                <w:b/>
                <w:bCs/>
                <w:sz w:val="16"/>
                <w:szCs w:val="16"/>
              </w:rPr>
              <w:t>0</w:t>
            </w:r>
            <w:r w:rsidRPr="00D05BFA">
              <w:rPr>
                <w:rFonts w:cs="Calibri"/>
                <w:b/>
                <w:bCs/>
                <w:sz w:val="16"/>
                <w:szCs w:val="16"/>
              </w:rPr>
              <w:t xml:space="preserve"> to -3.</w:t>
            </w:r>
            <w:r w:rsidRPr="00886F9E">
              <w:rPr>
                <w:rFonts w:cs="Calibri"/>
                <w:b/>
                <w:bCs/>
                <w:sz w:val="16"/>
                <w:szCs w:val="16"/>
              </w:rPr>
              <w:t>0</w:t>
            </w:r>
            <w:r w:rsidRPr="00D05BFA">
              <w:rPr>
                <w:rFonts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B89D" w14:textId="77777777" w:rsidR="00B615CE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-20.0 (-25.9 to -14.1)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3E1E" w14:textId="77777777" w:rsidR="00B615CE" w:rsidRDefault="00B615CE" w:rsidP="00BB3C11">
            <w:pPr>
              <w:widowControl w:val="0"/>
              <w:jc w:val="center"/>
              <w:rPr>
                <w:sz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-6.4 (-12.5 to -0.3)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F1FF" w14:textId="77777777" w:rsidR="00B615CE" w:rsidRDefault="00B615CE" w:rsidP="00BB3C11">
            <w:pPr>
              <w:widowControl w:val="0"/>
              <w:jc w:val="center"/>
              <w:rPr>
                <w:sz w:val="16"/>
              </w:rPr>
            </w:pPr>
            <w:r>
              <w:rPr>
                <w:rFonts w:cs="Calibri"/>
                <w:sz w:val="16"/>
                <w:szCs w:val="16"/>
              </w:rPr>
              <w:t>10.6 (-9.1 to 30.3)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8919" w14:textId="77777777" w:rsidR="00B615CE" w:rsidRDefault="00B615CE" w:rsidP="00BB3C11">
            <w:pPr>
              <w:widowControl w:val="0"/>
              <w:jc w:val="center"/>
              <w:rPr>
                <w:sz w:val="16"/>
              </w:rPr>
            </w:pPr>
            <w:r>
              <w:rPr>
                <w:rFonts w:cs="Calibri"/>
                <w:sz w:val="16"/>
                <w:szCs w:val="16"/>
              </w:rPr>
              <w:t>1.2 (-21.0 to 23.5)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462B" w14:textId="77777777" w:rsidR="00B615CE" w:rsidRDefault="00B615CE" w:rsidP="00BB3C11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rFonts w:cs="Calibri"/>
                <w:sz w:val="16"/>
                <w:szCs w:val="16"/>
              </w:rPr>
              <w:t>6.3 (-2.4 to 14.9)</w:t>
            </w:r>
          </w:p>
        </w:tc>
      </w:tr>
      <w:tr w:rsidR="00B615CE" w:rsidRPr="007F5FF6" w14:paraId="6A58750E" w14:textId="77777777" w:rsidTr="00BB3C1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467D5" w14:textId="77777777" w:rsidR="00B615CE" w:rsidRPr="007F5FF6" w:rsidRDefault="00B615CE" w:rsidP="00BB3C11">
            <w:pPr>
              <w:widowContro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20EF" w14:textId="77777777" w:rsidR="00B615CE" w:rsidRPr="00DC65B9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4065" w14:textId="77777777" w:rsidR="00B615CE" w:rsidRPr="00D05BFA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05BFA">
              <w:rPr>
                <w:b/>
                <w:sz w:val="16"/>
              </w:rPr>
              <w:t>-</w:t>
            </w:r>
            <w:r w:rsidRPr="00886F9E">
              <w:rPr>
                <w:b/>
                <w:sz w:val="16"/>
              </w:rPr>
              <w:t>56</w:t>
            </w:r>
            <w:r>
              <w:rPr>
                <w:b/>
                <w:sz w:val="16"/>
              </w:rPr>
              <w:t>.</w:t>
            </w:r>
            <w:r w:rsidRPr="00886F9E">
              <w:rPr>
                <w:b/>
                <w:sz w:val="16"/>
              </w:rPr>
              <w:t>0</w:t>
            </w:r>
            <w:r w:rsidRPr="00D05BFA">
              <w:rPr>
                <w:b/>
                <w:sz w:val="16"/>
              </w:rPr>
              <w:t xml:space="preserve"> (-91.</w:t>
            </w:r>
            <w:r w:rsidRPr="00886F9E">
              <w:rPr>
                <w:b/>
                <w:sz w:val="16"/>
              </w:rPr>
              <w:t>7</w:t>
            </w:r>
            <w:r w:rsidRPr="00D05BFA">
              <w:rPr>
                <w:b/>
                <w:sz w:val="16"/>
              </w:rPr>
              <w:t xml:space="preserve"> to -</w:t>
            </w:r>
            <w:r w:rsidRPr="00886F9E">
              <w:rPr>
                <w:b/>
                <w:sz w:val="16"/>
              </w:rPr>
              <w:t>20.2</w:t>
            </w:r>
            <w:r w:rsidRPr="00D05BFA">
              <w:rPr>
                <w:b/>
                <w:sz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5F26" w14:textId="77777777" w:rsidR="00B615CE" w:rsidRPr="00F32E17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-13.3 (-18.8 to -7.7)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0368" w14:textId="77777777" w:rsidR="00B615CE" w:rsidRPr="00587A44" w:rsidRDefault="00B615CE" w:rsidP="00BB3C11">
            <w:pPr>
              <w:widowControl w:val="0"/>
              <w:jc w:val="center"/>
              <w:rPr>
                <w:sz w:val="16"/>
              </w:rPr>
            </w:pPr>
            <w:r>
              <w:rPr>
                <w:rFonts w:cs="Calibri"/>
                <w:sz w:val="16"/>
                <w:szCs w:val="16"/>
              </w:rPr>
              <w:t>-7.7 (-16.1 to 0.8)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7504" w14:textId="77777777" w:rsidR="00B615CE" w:rsidRPr="00587A44" w:rsidRDefault="00B615CE" w:rsidP="00BB3C11">
            <w:pPr>
              <w:widowControl w:val="0"/>
              <w:jc w:val="center"/>
              <w:rPr>
                <w:sz w:val="16"/>
              </w:rPr>
            </w:pPr>
            <w:r>
              <w:rPr>
                <w:rFonts w:cs="Calibri"/>
                <w:sz w:val="16"/>
                <w:szCs w:val="16"/>
              </w:rPr>
              <w:t>-0.2 (-1.0 to 0.7)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D1D3" w14:textId="77777777" w:rsidR="00B615CE" w:rsidRPr="00587A44" w:rsidRDefault="00B615CE" w:rsidP="00BB3C11">
            <w:pPr>
              <w:widowControl w:val="0"/>
              <w:jc w:val="center"/>
              <w:rPr>
                <w:sz w:val="16"/>
              </w:rPr>
            </w:pPr>
            <w:r>
              <w:rPr>
                <w:rFonts w:cs="Calibri"/>
                <w:sz w:val="16"/>
                <w:szCs w:val="16"/>
              </w:rPr>
              <w:t>-0.5 (-3.2 to 2.2)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6E68" w14:textId="77777777" w:rsidR="00B615CE" w:rsidRPr="00587A44" w:rsidRDefault="00B615CE" w:rsidP="00BB3C11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rFonts w:cs="Calibri"/>
                <w:sz w:val="16"/>
                <w:szCs w:val="16"/>
              </w:rPr>
              <w:t>4.0 (-0.9 to 8.8)</w:t>
            </w:r>
          </w:p>
        </w:tc>
      </w:tr>
      <w:tr w:rsidR="00B615CE" w:rsidRPr="007F5FF6" w14:paraId="5CDB2F02" w14:textId="77777777" w:rsidTr="00BB3C1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F7BCA" w14:textId="77777777" w:rsidR="00B615CE" w:rsidRPr="00587A44" w:rsidRDefault="00B615CE" w:rsidP="00BB3C11">
            <w:pPr>
              <w:widowControl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F31" w14:textId="77777777" w:rsidR="00B615CE" w:rsidRPr="00513D67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C65B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0F979" w14:textId="77777777" w:rsidR="00B615CE" w:rsidRPr="00D05BFA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05BFA">
              <w:rPr>
                <w:rFonts w:cs="Calibri"/>
                <w:b/>
                <w:bCs/>
                <w:sz w:val="16"/>
                <w:szCs w:val="16"/>
              </w:rPr>
              <w:t>-6.4</w:t>
            </w:r>
            <w:r w:rsidRPr="00811AC1">
              <w:rPr>
                <w:rFonts w:cs="Calibri"/>
                <w:b/>
                <w:bCs/>
                <w:sz w:val="16"/>
                <w:szCs w:val="16"/>
              </w:rPr>
              <w:t xml:space="preserve"> (-10.</w:t>
            </w:r>
            <w:r w:rsidRPr="00637B29">
              <w:rPr>
                <w:rFonts w:cs="Calibri"/>
                <w:b/>
                <w:bCs/>
                <w:sz w:val="16"/>
                <w:szCs w:val="16"/>
              </w:rPr>
              <w:t>3</w:t>
            </w:r>
            <w:r w:rsidRPr="00307B66">
              <w:rPr>
                <w:rFonts w:cs="Calibri"/>
                <w:b/>
                <w:bCs/>
                <w:sz w:val="16"/>
                <w:szCs w:val="16"/>
              </w:rPr>
              <w:t xml:space="preserve"> to -2.5)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8C85" w14:textId="77777777" w:rsidR="00B615CE" w:rsidRPr="003D0130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-18.8 (-25.4 to -12.2)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A3EE" w14:textId="77777777" w:rsidR="00B615CE" w:rsidRPr="00DB2DDF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 w:rsidRPr="000707C4">
              <w:rPr>
                <w:rFonts w:cs="Calibri"/>
                <w:sz w:val="16"/>
                <w:szCs w:val="16"/>
              </w:rPr>
              <w:t>-6.0 (-12.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0707C4">
              <w:rPr>
                <w:rFonts w:cs="Calibri"/>
                <w:sz w:val="16"/>
                <w:szCs w:val="16"/>
              </w:rPr>
              <w:t xml:space="preserve"> to 0.2)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C497" w14:textId="77777777" w:rsidR="00B615CE" w:rsidRPr="00DB2DDF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-6.7 (-36.3 to 22.9)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BAB0" w14:textId="77777777" w:rsidR="00B615CE" w:rsidRPr="00DB2DDF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-5.3 (-33.8 to 23.3)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9FB9" w14:textId="77777777" w:rsidR="00B615CE" w:rsidRPr="00F2329A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7.0 (-2.1 to 16.1)</w:t>
            </w:r>
          </w:p>
        </w:tc>
      </w:tr>
      <w:tr w:rsidR="00B615CE" w:rsidRPr="007F5FF6" w14:paraId="2D7F54D9" w14:textId="77777777" w:rsidTr="00BB3C1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3F69" w14:textId="77777777" w:rsidR="00B615CE" w:rsidRPr="007F5FF6" w:rsidRDefault="00B615CE" w:rsidP="00BB3C11">
            <w:pPr>
              <w:widowContro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Saturated fat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7743" w14:textId="77777777" w:rsidR="00B615CE" w:rsidRPr="007F5FF6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 w:rsidRPr="00DC65B9">
              <w:rPr>
                <w:rFonts w:cs="Calibri"/>
                <w:sz w:val="16"/>
                <w:szCs w:val="16"/>
              </w:rPr>
              <w:t>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1031" w14:textId="77777777" w:rsidR="00B615CE" w:rsidRPr="008E5430" w:rsidRDefault="00B615CE" w:rsidP="00BB3C11">
            <w:pPr>
              <w:widowControl w:val="0"/>
              <w:jc w:val="center"/>
              <w:rPr>
                <w:b/>
                <w:sz w:val="16"/>
                <w:highlight w:val="yellow"/>
              </w:rPr>
            </w:pPr>
            <w:r w:rsidRPr="00D05BFA">
              <w:rPr>
                <w:rFonts w:cs="Calibri"/>
                <w:b/>
                <w:bCs/>
                <w:sz w:val="16"/>
                <w:szCs w:val="16"/>
              </w:rPr>
              <w:t>-25.4 (-39.4</w:t>
            </w:r>
            <w:r w:rsidRPr="00811AC1">
              <w:rPr>
                <w:rFonts w:cs="Calibri"/>
                <w:b/>
                <w:bCs/>
                <w:sz w:val="16"/>
                <w:szCs w:val="16"/>
              </w:rPr>
              <w:t xml:space="preserve"> to -11.</w:t>
            </w:r>
            <w:r w:rsidRPr="00886F9E">
              <w:rPr>
                <w:rFonts w:cs="Calibri"/>
                <w:b/>
                <w:bCs/>
                <w:sz w:val="16"/>
                <w:szCs w:val="16"/>
              </w:rPr>
              <w:t>4</w:t>
            </w:r>
            <w:r w:rsidRPr="00D05BFA">
              <w:rPr>
                <w:rFonts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1340" w14:textId="77777777" w:rsidR="00B615CE" w:rsidRPr="00386AAB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-8.7 (-11.7 to -5.8)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43DC" w14:textId="77777777" w:rsidR="00B615CE" w:rsidRPr="00F2329A" w:rsidRDefault="00B615CE" w:rsidP="00BB3C11">
            <w:pPr>
              <w:widowControl w:val="0"/>
              <w:jc w:val="center"/>
              <w:rPr>
                <w:bCs/>
                <w:sz w:val="16"/>
              </w:rPr>
            </w:pPr>
            <w:r>
              <w:rPr>
                <w:rFonts w:cs="Calibri"/>
                <w:sz w:val="16"/>
                <w:szCs w:val="16"/>
              </w:rPr>
              <w:t>-2.8 (-7.3 to 1.7)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1EF2" w14:textId="77777777" w:rsidR="00B615CE" w:rsidRPr="00A92905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-0.1 (-0.8 to 0.6)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0374" w14:textId="77777777" w:rsidR="00B615CE" w:rsidRPr="00A92905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-0.3 (-1.1 to 0.5)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554E" w14:textId="77777777" w:rsidR="00B615CE" w:rsidRPr="00587A44" w:rsidRDefault="00B615CE" w:rsidP="00BB3C11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0.8 (-0.1 to 1.7)</w:t>
            </w:r>
          </w:p>
        </w:tc>
      </w:tr>
      <w:tr w:rsidR="00B615CE" w:rsidRPr="007F5FF6" w14:paraId="50CB5BFA" w14:textId="77777777" w:rsidTr="00BB3C1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D590" w14:textId="77777777" w:rsidR="00B615CE" w:rsidRPr="00587A44" w:rsidRDefault="00B615CE" w:rsidP="00BB3C11">
            <w:pPr>
              <w:widowControl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8CA" w14:textId="77777777" w:rsidR="00B615CE" w:rsidRPr="007F5FF6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 w:rsidRPr="00DC65B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71F0E" w14:textId="77777777" w:rsidR="00B615CE" w:rsidRPr="008E5430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  <w:highlight w:val="yellow"/>
              </w:rPr>
            </w:pPr>
            <w:r w:rsidRPr="00D05BFA">
              <w:rPr>
                <w:rFonts w:cs="Calibri"/>
                <w:b/>
                <w:bCs/>
                <w:sz w:val="16"/>
                <w:szCs w:val="16"/>
              </w:rPr>
              <w:t>-7.2 (-10.9 to -3.5</w:t>
            </w:r>
            <w:r w:rsidRPr="00811AC1">
              <w:rPr>
                <w:rFonts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357B" w14:textId="77777777" w:rsidR="00B615CE" w:rsidRPr="00DB2DDF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-23.4 (-29.8 to -17.1)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578D" w14:textId="77777777" w:rsidR="00B615CE" w:rsidRPr="00DB2DDF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-4.4 (-11.2 to 2.4)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619C" w14:textId="77777777" w:rsidR="00B615CE" w:rsidRPr="00A92905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-5.9 (-38.1 to 26.3)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9003" w14:textId="77777777" w:rsidR="00B615CE" w:rsidRPr="00A92905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-10.4 (-36.7 to 15.9)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A3F8" w14:textId="77777777" w:rsidR="00B615CE" w:rsidRPr="00A92905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9.8 (-1.7 to 21.2)</w:t>
            </w:r>
          </w:p>
        </w:tc>
      </w:tr>
      <w:tr w:rsidR="00B615CE" w:rsidRPr="007F5FF6" w14:paraId="04804109" w14:textId="77777777" w:rsidTr="00BB3C1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45B77" w14:textId="77777777" w:rsidR="00B615CE" w:rsidRPr="007F5FF6" w:rsidRDefault="00B615CE" w:rsidP="00BB3C11">
            <w:pPr>
              <w:widowContro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Sugar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AF4E" w14:textId="77777777" w:rsidR="00B615CE" w:rsidRPr="008070E2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 w:rsidRPr="00DC65B9">
              <w:rPr>
                <w:rFonts w:cs="Calibri"/>
                <w:sz w:val="16"/>
                <w:szCs w:val="16"/>
              </w:rPr>
              <w:t>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43B1" w14:textId="77777777" w:rsidR="00B615CE" w:rsidRPr="00811AC1" w:rsidRDefault="00B615CE" w:rsidP="00BB3C11">
            <w:pPr>
              <w:widowControl w:val="0"/>
              <w:jc w:val="center"/>
              <w:rPr>
                <w:b/>
                <w:sz w:val="16"/>
              </w:rPr>
            </w:pPr>
            <w:r w:rsidRPr="00811AC1">
              <w:rPr>
                <w:rFonts w:cs="Calibri"/>
                <w:b/>
                <w:bCs/>
                <w:sz w:val="16"/>
                <w:szCs w:val="16"/>
              </w:rPr>
              <w:t>-</w:t>
            </w:r>
            <w:r w:rsidRPr="00886F9E">
              <w:rPr>
                <w:rFonts w:cs="Calibri"/>
                <w:b/>
                <w:bCs/>
                <w:sz w:val="16"/>
                <w:szCs w:val="16"/>
              </w:rPr>
              <w:t>79.6</w:t>
            </w:r>
            <w:r w:rsidRPr="00811AC1">
              <w:rPr>
                <w:rFonts w:cs="Calibri"/>
                <w:b/>
                <w:bCs/>
                <w:sz w:val="16"/>
                <w:szCs w:val="16"/>
              </w:rPr>
              <w:t xml:space="preserve"> (-</w:t>
            </w:r>
            <w:r w:rsidRPr="00886F9E">
              <w:rPr>
                <w:rFonts w:cs="Calibri"/>
                <w:b/>
                <w:bCs/>
                <w:sz w:val="16"/>
                <w:szCs w:val="16"/>
              </w:rPr>
              <w:t>118.6</w:t>
            </w:r>
            <w:r w:rsidRPr="00811AC1">
              <w:rPr>
                <w:rFonts w:cs="Calibri"/>
                <w:b/>
                <w:bCs/>
                <w:sz w:val="16"/>
                <w:szCs w:val="16"/>
              </w:rPr>
              <w:t xml:space="preserve"> to -4</w:t>
            </w:r>
            <w:r w:rsidRPr="00886F9E">
              <w:rPr>
                <w:rFonts w:cs="Calibri"/>
                <w:b/>
                <w:bCs/>
                <w:sz w:val="16"/>
                <w:szCs w:val="16"/>
              </w:rPr>
              <w:t>0.6</w:t>
            </w:r>
            <w:r w:rsidRPr="00811AC1">
              <w:rPr>
                <w:rFonts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968D" w14:textId="77777777" w:rsidR="00B615CE" w:rsidRPr="00587A44" w:rsidRDefault="00B615CE" w:rsidP="00BB3C11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-42.0 (-55.7 to -28.3)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4A01" w14:textId="77777777" w:rsidR="00B615CE" w:rsidRPr="00386AAB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-6.9 (-22.9 to 9.2)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FDB3" w14:textId="77777777" w:rsidR="00B615CE" w:rsidRPr="00386AAB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4.9 (-0.9 to 10.8)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A71A" w14:textId="77777777" w:rsidR="00B615CE" w:rsidRPr="00386AAB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0.8 (-4.7 to 6.3)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5994" w14:textId="77777777" w:rsidR="00B615CE" w:rsidRPr="00A92905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</w:rPr>
              <w:t>0.8 (-0.4 to 1.9)</w:t>
            </w:r>
          </w:p>
        </w:tc>
      </w:tr>
      <w:tr w:rsidR="00B615CE" w:rsidRPr="007F5FF6" w14:paraId="7DBAA568" w14:textId="77777777" w:rsidTr="00BB3C1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A792" w14:textId="77777777" w:rsidR="00B615CE" w:rsidRPr="00587A44" w:rsidRDefault="00B615CE" w:rsidP="00BB3C11">
            <w:pPr>
              <w:widowControl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79CF" w14:textId="77777777" w:rsidR="00B615CE" w:rsidRPr="00DC65B9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 w:rsidRPr="00DC65B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5D803" w14:textId="77777777" w:rsidR="00B615CE" w:rsidRPr="00811AC1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811AC1">
              <w:rPr>
                <w:rFonts w:cs="Calibri"/>
                <w:b/>
                <w:bCs/>
                <w:sz w:val="16"/>
                <w:szCs w:val="16"/>
              </w:rPr>
              <w:t>-</w:t>
            </w:r>
            <w:r w:rsidRPr="00886F9E">
              <w:rPr>
                <w:rFonts w:cs="Calibri"/>
                <w:b/>
                <w:bCs/>
                <w:sz w:val="16"/>
                <w:szCs w:val="16"/>
              </w:rPr>
              <w:t>10.5</w:t>
            </w:r>
            <w:r w:rsidRPr="00811AC1">
              <w:rPr>
                <w:rFonts w:cs="Calibri"/>
                <w:b/>
                <w:bCs/>
                <w:sz w:val="16"/>
                <w:szCs w:val="16"/>
              </w:rPr>
              <w:t xml:space="preserve"> (-</w:t>
            </w:r>
            <w:r w:rsidRPr="00886F9E">
              <w:rPr>
                <w:rFonts w:cs="Calibri"/>
                <w:b/>
                <w:bCs/>
                <w:sz w:val="16"/>
                <w:szCs w:val="16"/>
              </w:rPr>
              <w:t>15.2</w:t>
            </w:r>
            <w:r w:rsidRPr="00811AC1">
              <w:rPr>
                <w:rFonts w:cs="Calibri"/>
                <w:b/>
                <w:bCs/>
                <w:sz w:val="16"/>
                <w:szCs w:val="16"/>
              </w:rPr>
              <w:t xml:space="preserve"> to -</w:t>
            </w:r>
            <w:r w:rsidRPr="00886F9E">
              <w:rPr>
                <w:rFonts w:cs="Calibri"/>
                <w:b/>
                <w:bCs/>
                <w:sz w:val="16"/>
                <w:szCs w:val="16"/>
              </w:rPr>
              <w:t>5.8</w:t>
            </w:r>
            <w:r w:rsidRPr="00811AC1">
              <w:rPr>
                <w:rFonts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AE73" w14:textId="77777777" w:rsidR="00B615CE" w:rsidRPr="00DB2DDF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-22.4 (-28.3 to -16.5)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56EF" w14:textId="77777777" w:rsidR="00B615CE" w:rsidRPr="00F2329A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-3.0 (-9.8 to 3.8)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CA8B" w14:textId="77777777" w:rsidR="00B615CE" w:rsidRPr="00422FA1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14.6 (-5.0 to 34.1)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076C" w14:textId="77777777" w:rsidR="00B615CE" w:rsidRPr="00A92905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3.2 (-20.2 to 26.7)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744F" w14:textId="77777777" w:rsidR="00B615CE" w:rsidRPr="00DB2DDF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8.8 (-5.0 to 22.5)</w:t>
            </w:r>
          </w:p>
        </w:tc>
      </w:tr>
      <w:tr w:rsidR="00B615CE" w:rsidRPr="007F5FF6" w14:paraId="27CBC493" w14:textId="77777777" w:rsidTr="00BB3C1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7526" w14:textId="77777777" w:rsidR="00B615CE" w:rsidRPr="007F5FF6" w:rsidRDefault="00B615CE" w:rsidP="00BB3C11">
            <w:pPr>
              <w:widowContro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3900" w14:textId="77777777" w:rsidR="00B615CE" w:rsidRPr="00DC65B9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 w:rsidRPr="00DC65B9">
              <w:rPr>
                <w:rFonts w:cs="Calibri"/>
                <w:sz w:val="16"/>
                <w:szCs w:val="16"/>
              </w:rPr>
              <w:t>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E9B20" w14:textId="77777777" w:rsidR="00B615CE" w:rsidRPr="008E5430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  <w:highlight w:val="yellow"/>
              </w:rPr>
            </w:pPr>
            <w:r w:rsidRPr="00811AC1">
              <w:rPr>
                <w:sz w:val="16"/>
              </w:rPr>
              <w:t>-2.</w:t>
            </w:r>
            <w:r w:rsidRPr="00886F9E">
              <w:rPr>
                <w:sz w:val="16"/>
              </w:rPr>
              <w:t>1</w:t>
            </w:r>
            <w:r w:rsidRPr="00811AC1">
              <w:rPr>
                <w:sz w:val="16"/>
              </w:rPr>
              <w:t xml:space="preserve"> (-9.6 to 5.5)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0A92" w14:textId="77777777" w:rsidR="00B615CE" w:rsidRPr="00587A44" w:rsidRDefault="00B615CE" w:rsidP="00BB3C11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-0.2 (-0.2 to -0.1)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44C0" w14:textId="77777777" w:rsidR="00B615CE" w:rsidRPr="00F94498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b/>
                <w:sz w:val="16"/>
              </w:rPr>
              <w:t>-0.4 (-0.8 to -0.1)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5F0E" w14:textId="77777777" w:rsidR="00B615CE" w:rsidRPr="00422FA1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-0.0 (-0.1 to 0.1)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65BE" w14:textId="77777777" w:rsidR="00B615CE" w:rsidRPr="00A92905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0.1 (-0.1 to 0.2)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F2B4" w14:textId="77777777" w:rsidR="00B615CE" w:rsidRPr="00587A44" w:rsidRDefault="00B615CE" w:rsidP="00BB3C11">
            <w:pPr>
              <w:widowControl w:val="0"/>
              <w:jc w:val="center"/>
              <w:rPr>
                <w:sz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0.4 (0.1 to 0.7)</w:t>
            </w:r>
          </w:p>
        </w:tc>
      </w:tr>
      <w:tr w:rsidR="00B615CE" w:rsidRPr="007F5FF6" w14:paraId="7FE20912" w14:textId="77777777" w:rsidTr="00BB3C1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056E" w14:textId="77777777" w:rsidR="00B615CE" w:rsidRPr="00587A44" w:rsidRDefault="00B615CE" w:rsidP="00BB3C11">
            <w:pPr>
              <w:widowControl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387D" w14:textId="77777777" w:rsidR="00B615CE" w:rsidRPr="00DC65B9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 w:rsidRPr="00DC65B9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5B9A0" w14:textId="77777777" w:rsidR="00B615CE" w:rsidRPr="008E5430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  <w:highlight w:val="yellow"/>
              </w:rPr>
            </w:pPr>
            <w:r w:rsidRPr="00811AC1">
              <w:rPr>
                <w:rFonts w:cs="Calibri"/>
                <w:sz w:val="16"/>
                <w:szCs w:val="16"/>
              </w:rPr>
              <w:t>-3.</w:t>
            </w:r>
            <w:r w:rsidRPr="00637B29">
              <w:rPr>
                <w:rFonts w:cs="Calibri"/>
                <w:sz w:val="16"/>
                <w:szCs w:val="16"/>
              </w:rPr>
              <w:t>4</w:t>
            </w:r>
            <w:r w:rsidRPr="00307B66">
              <w:rPr>
                <w:rFonts w:cs="Calibri"/>
                <w:sz w:val="16"/>
                <w:szCs w:val="16"/>
              </w:rPr>
              <w:t xml:space="preserve"> (-15.4 to 8.</w:t>
            </w:r>
            <w:r w:rsidRPr="00886F9E">
              <w:rPr>
                <w:rFonts w:cs="Calibri"/>
                <w:sz w:val="16"/>
                <w:szCs w:val="16"/>
              </w:rPr>
              <w:t>6</w:t>
            </w:r>
            <w:r w:rsidRPr="00811AC1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FB06" w14:textId="77777777" w:rsidR="00B615CE" w:rsidRPr="00DB2DDF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-18.0 (-25.9 to -10.0)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1575" w14:textId="77777777" w:rsidR="00B615CE" w:rsidRPr="003448A9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-11.8 (-19.5 to -4.1)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0226" w14:textId="77777777" w:rsidR="00B615CE" w:rsidRPr="00422FA1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-10.4 (-41.9 to 21.0)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1AB6" w14:textId="77777777" w:rsidR="00B615CE" w:rsidRPr="00A92905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9.5 (-15.4 to 34.3)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86B8" w14:textId="77777777" w:rsidR="00B615CE" w:rsidRPr="00DB2DDF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12.9 (2.5 to 23.2)</w:t>
            </w:r>
          </w:p>
        </w:tc>
      </w:tr>
      <w:tr w:rsidR="00B615CE" w:rsidRPr="007F5FF6" w14:paraId="4DB3A738" w14:textId="77777777" w:rsidTr="00BB3C1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2FBA4" w14:textId="77777777" w:rsidR="00B615CE" w:rsidRPr="007F5FF6" w:rsidRDefault="00B615CE" w:rsidP="00BB3C11">
            <w:pPr>
              <w:widowContro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Packs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7F0C" w14:textId="77777777" w:rsidR="00B615CE" w:rsidRPr="00DC65B9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 w:rsidRPr="00DC65B9">
              <w:rPr>
                <w:rFonts w:cs="Calibri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B93E" w14:textId="77777777" w:rsidR="00B615CE" w:rsidRPr="008E5430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-</w:t>
            </w:r>
            <w:r w:rsidRPr="00D05BFA">
              <w:rPr>
                <w:rFonts w:cs="Calibri"/>
                <w:b/>
                <w:bCs/>
                <w:sz w:val="16"/>
                <w:szCs w:val="16"/>
              </w:rPr>
              <w:t>0.</w:t>
            </w:r>
            <w:r w:rsidRPr="00886F9E">
              <w:rPr>
                <w:rFonts w:cs="Calibri"/>
                <w:b/>
                <w:bCs/>
                <w:sz w:val="16"/>
                <w:szCs w:val="16"/>
              </w:rPr>
              <w:t>6</w:t>
            </w:r>
            <w:r w:rsidRPr="00D05BFA">
              <w:rPr>
                <w:rFonts w:cs="Calibri"/>
                <w:b/>
                <w:bCs/>
                <w:sz w:val="16"/>
                <w:szCs w:val="16"/>
              </w:rPr>
              <w:t xml:space="preserve"> (-1.2</w:t>
            </w:r>
            <w:r w:rsidRPr="00811AC1">
              <w:rPr>
                <w:rFonts w:cs="Calibri"/>
                <w:b/>
                <w:bCs/>
                <w:sz w:val="16"/>
                <w:szCs w:val="16"/>
              </w:rPr>
              <w:t xml:space="preserve"> to -0.</w:t>
            </w:r>
            <w:r w:rsidRPr="00886F9E">
              <w:rPr>
                <w:rFonts w:cs="Calibri"/>
                <w:b/>
                <w:bCs/>
                <w:sz w:val="16"/>
                <w:szCs w:val="16"/>
              </w:rPr>
              <w:t>1</w:t>
            </w:r>
            <w:r w:rsidRPr="00D05BFA">
              <w:rPr>
                <w:rFonts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36BE" w14:textId="77777777" w:rsidR="00B615CE" w:rsidRPr="00587A44" w:rsidRDefault="00B615CE" w:rsidP="00BB3C11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-0.5 (-0.6 to -0.3)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1234" w14:textId="77777777" w:rsidR="00B615CE" w:rsidRPr="00F94498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</w:rPr>
              <w:t>-0.1 (-0.3 to 0.1)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4668" w14:textId="77777777" w:rsidR="00B615CE" w:rsidRPr="00422FA1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</w:rPr>
              <w:t>0.0 (-0.1 to 0.1)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E4D0" w14:textId="77777777" w:rsidR="00B615CE" w:rsidRPr="00A92905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</w:rPr>
              <w:t>-0.0 (-0.1 to 0.0)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E205" w14:textId="77777777" w:rsidR="00B615CE" w:rsidRPr="00587A44" w:rsidRDefault="00B615CE" w:rsidP="00BB3C11">
            <w:pPr>
              <w:widowControl w:val="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0.1 (0.0 to 0.2)</w:t>
            </w:r>
          </w:p>
        </w:tc>
      </w:tr>
      <w:tr w:rsidR="00B615CE" w:rsidRPr="007F5FF6" w14:paraId="3BEC64D3" w14:textId="77777777" w:rsidTr="00BB3C1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2DB2D" w14:textId="77777777" w:rsidR="00B615CE" w:rsidRPr="00587A44" w:rsidRDefault="00B615CE" w:rsidP="00BB3C11">
            <w:pPr>
              <w:widowControl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F9EE" w14:textId="77777777" w:rsidR="00B615CE" w:rsidRPr="00DC65B9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FC3A" w14:textId="77777777" w:rsidR="00B615CE" w:rsidRPr="008E5430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  <w:highlight w:val="yellow"/>
              </w:rPr>
            </w:pPr>
            <w:r w:rsidRPr="00D05BFA">
              <w:rPr>
                <w:rFonts w:cs="Calibri"/>
                <w:b/>
                <w:bCs/>
                <w:sz w:val="16"/>
                <w:szCs w:val="16"/>
              </w:rPr>
              <w:t>-</w:t>
            </w:r>
            <w:r w:rsidRPr="00886F9E">
              <w:rPr>
                <w:rFonts w:cs="Calibri"/>
                <w:b/>
                <w:bCs/>
                <w:sz w:val="16"/>
                <w:szCs w:val="16"/>
              </w:rPr>
              <w:t>4.8</w:t>
            </w:r>
            <w:r w:rsidRPr="00D05BFA">
              <w:rPr>
                <w:rFonts w:cs="Calibri"/>
                <w:b/>
                <w:bCs/>
                <w:sz w:val="16"/>
                <w:szCs w:val="16"/>
              </w:rPr>
              <w:t xml:space="preserve"> (-8.</w:t>
            </w:r>
            <w:r w:rsidRPr="00886F9E">
              <w:rPr>
                <w:rFonts w:cs="Calibri"/>
                <w:b/>
                <w:bCs/>
                <w:sz w:val="16"/>
                <w:szCs w:val="16"/>
              </w:rPr>
              <w:t>3</w:t>
            </w:r>
            <w:r w:rsidRPr="00D05BFA">
              <w:rPr>
                <w:rFonts w:cs="Calibri"/>
                <w:b/>
                <w:bCs/>
                <w:sz w:val="16"/>
                <w:szCs w:val="16"/>
              </w:rPr>
              <w:t xml:space="preserve"> to -1.</w:t>
            </w:r>
            <w:r w:rsidRPr="00886F9E">
              <w:rPr>
                <w:rFonts w:cs="Calibri"/>
                <w:b/>
                <w:bCs/>
                <w:sz w:val="16"/>
                <w:szCs w:val="16"/>
              </w:rPr>
              <w:t>2</w:t>
            </w:r>
            <w:r w:rsidRPr="00D05BFA">
              <w:rPr>
                <w:rFonts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F9FD" w14:textId="77777777" w:rsidR="00B615CE" w:rsidRPr="00DB2DDF" w:rsidRDefault="00B615CE" w:rsidP="00BB3C11">
            <w:pPr>
              <w:widowControl w:val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-21.9 (-28.4 to -15.4)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2C3D" w14:textId="77777777" w:rsidR="00B615CE" w:rsidRPr="00F94498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-2.0 (-8.6 to 4.7)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E505" w14:textId="77777777" w:rsidR="00B615CE" w:rsidRPr="00422FA1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4.4 (-11.5 to 20.3)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C7E2" w14:textId="77777777" w:rsidR="00B615CE" w:rsidRPr="00A92905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-6.8 (-26.2 to 12.6)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057C" w14:textId="77777777" w:rsidR="00B615CE" w:rsidRPr="00DB2DDF" w:rsidRDefault="00B615CE" w:rsidP="00BB3C11">
            <w:pPr>
              <w:widowControl w:val="0"/>
              <w:jc w:val="center"/>
              <w:rPr>
                <w:rFonts w:cs="Calibri"/>
                <w:sz w:val="16"/>
                <w:szCs w:val="16"/>
              </w:rPr>
            </w:pPr>
            <w:r w:rsidRPr="000707C4">
              <w:rPr>
                <w:rFonts w:cs="Calibri"/>
                <w:b/>
                <w:bCs/>
                <w:sz w:val="16"/>
                <w:szCs w:val="16"/>
              </w:rPr>
              <w:t>9.</w:t>
            </w:r>
            <w:r>
              <w:rPr>
                <w:rFonts w:cs="Calibri"/>
                <w:b/>
                <w:bCs/>
                <w:sz w:val="16"/>
                <w:szCs w:val="16"/>
              </w:rPr>
              <w:t>3</w:t>
            </w:r>
            <w:r w:rsidRPr="000707C4">
              <w:rPr>
                <w:rFonts w:cs="Calibri"/>
                <w:b/>
                <w:bCs/>
                <w:sz w:val="16"/>
                <w:szCs w:val="16"/>
              </w:rPr>
              <w:t xml:space="preserve"> (0.</w:t>
            </w:r>
            <w:r>
              <w:rPr>
                <w:rFonts w:cs="Calibri"/>
                <w:b/>
                <w:bCs/>
                <w:sz w:val="16"/>
                <w:szCs w:val="16"/>
              </w:rPr>
              <w:t>1</w:t>
            </w:r>
            <w:r w:rsidRPr="000707C4">
              <w:rPr>
                <w:rFonts w:cs="Calibri"/>
                <w:b/>
                <w:bCs/>
                <w:sz w:val="16"/>
                <w:szCs w:val="16"/>
              </w:rPr>
              <w:t xml:space="preserve"> to 18.4)</w:t>
            </w:r>
          </w:p>
        </w:tc>
      </w:tr>
      <w:tr w:rsidR="00B615CE" w:rsidRPr="007F5FF6" w14:paraId="44743934" w14:textId="77777777" w:rsidTr="00BB3C11">
        <w:tc>
          <w:tcPr>
            <w:tcW w:w="13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D960" w14:textId="77777777" w:rsidR="00B615CE" w:rsidRPr="00700A55" w:rsidRDefault="00B615CE" w:rsidP="00BB3C11">
            <w:pPr>
              <w:widowControl w:val="0"/>
              <w:rPr>
                <w:rFonts w:cs="Calibri"/>
                <w:sz w:val="16"/>
                <w:szCs w:val="16"/>
              </w:rPr>
            </w:pPr>
            <w:r w:rsidRPr="008D1F4C">
              <w:rPr>
                <w:rFonts w:cs="Calibri"/>
                <w:b/>
                <w:bCs/>
                <w:sz w:val="16"/>
                <w:szCs w:val="16"/>
              </w:rPr>
              <w:t>Bold</w:t>
            </w:r>
            <w:r w:rsidRPr="008D1F4C">
              <w:rPr>
                <w:rFonts w:cs="Calibri"/>
                <w:sz w:val="16"/>
                <w:szCs w:val="16"/>
              </w:rPr>
              <w:t>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C31EF3">
              <w:rPr>
                <w:rFonts w:cs="Calibri"/>
                <w:sz w:val="16"/>
                <w:szCs w:val="16"/>
              </w:rPr>
              <w:t>significant</w:t>
            </w:r>
            <w:r>
              <w:rPr>
                <w:rFonts w:cs="Calibri"/>
                <w:sz w:val="16"/>
                <w:szCs w:val="16"/>
              </w:rPr>
              <w:t xml:space="preserve"> at 95% confidence level</w:t>
            </w:r>
            <w:r w:rsidRPr="00C31EF3">
              <w:rPr>
                <w:rFonts w:cs="Calibri"/>
                <w:sz w:val="16"/>
                <w:szCs w:val="16"/>
              </w:rPr>
              <w:t>.</w:t>
            </w:r>
            <w:r>
              <w:rPr>
                <w:rFonts w:cs="Calibri"/>
                <w:sz w:val="16"/>
                <w:szCs w:val="16"/>
              </w:rPr>
              <w:t xml:space="preserve"> Weekly household mean purchases estimated from controlled interrupted time series t</w:t>
            </w:r>
            <w:r w:rsidRPr="00C31EF3">
              <w:rPr>
                <w:rFonts w:cs="Calibri"/>
                <w:sz w:val="16"/>
                <w:szCs w:val="16"/>
              </w:rPr>
              <w:t>wo-part mode</w:t>
            </w:r>
            <w:r>
              <w:rPr>
                <w:rFonts w:cs="Calibri"/>
                <w:sz w:val="16"/>
                <w:szCs w:val="16"/>
              </w:rPr>
              <w:t xml:space="preserve">l: part 1 (logit) </w:t>
            </w:r>
            <w:r w:rsidRPr="00C31EF3">
              <w:rPr>
                <w:rFonts w:cs="Calibri"/>
                <w:sz w:val="16"/>
                <w:szCs w:val="16"/>
              </w:rPr>
              <w:t>and</w:t>
            </w:r>
            <w:r>
              <w:rPr>
                <w:rFonts w:cs="Calibri"/>
                <w:sz w:val="16"/>
                <w:szCs w:val="16"/>
              </w:rPr>
              <w:t xml:space="preserve"> part 2 (generalised linear model) with</w:t>
            </w:r>
            <w:r w:rsidRPr="00C31EF3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gamma distribution for energy and nutrients</w:t>
            </w:r>
            <w:r w:rsidRPr="00C31EF3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and </w:t>
            </w:r>
            <w:r w:rsidRPr="00C31EF3">
              <w:rPr>
                <w:rFonts w:cs="Calibri"/>
                <w:sz w:val="16"/>
                <w:szCs w:val="16"/>
              </w:rPr>
              <w:t>n</w:t>
            </w:r>
            <w:r>
              <w:rPr>
                <w:rFonts w:cs="Calibri"/>
                <w:sz w:val="16"/>
                <w:szCs w:val="16"/>
              </w:rPr>
              <w:t xml:space="preserve">egative </w:t>
            </w:r>
            <w:r w:rsidRPr="00C31EF3">
              <w:rPr>
                <w:rFonts w:cs="Calibri"/>
                <w:sz w:val="16"/>
                <w:szCs w:val="16"/>
              </w:rPr>
              <w:t>binomial</w:t>
            </w:r>
            <w:r>
              <w:rPr>
                <w:rFonts w:cs="Calibri"/>
                <w:sz w:val="16"/>
                <w:szCs w:val="16"/>
              </w:rPr>
              <w:t xml:space="preserve"> distribution for packs</w:t>
            </w:r>
            <w:r w:rsidRPr="00C31EF3">
              <w:rPr>
                <w:rFonts w:cs="Calibri"/>
                <w:sz w:val="16"/>
                <w:szCs w:val="16"/>
              </w:rPr>
              <w:t>. Models adjusted for festivals, season, number of adults</w:t>
            </w:r>
            <w:r>
              <w:rPr>
                <w:rFonts w:cs="Calibri"/>
                <w:sz w:val="16"/>
                <w:szCs w:val="16"/>
              </w:rPr>
              <w:t xml:space="preserve"> in household</w:t>
            </w:r>
            <w:r w:rsidRPr="00C31EF3">
              <w:rPr>
                <w:rFonts w:cs="Calibri"/>
                <w:sz w:val="16"/>
                <w:szCs w:val="16"/>
              </w:rPr>
              <w:t>, number of children</w:t>
            </w:r>
            <w:r>
              <w:rPr>
                <w:rFonts w:cs="Calibri"/>
                <w:sz w:val="16"/>
                <w:szCs w:val="16"/>
              </w:rPr>
              <w:t xml:space="preserve"> in household, and </w:t>
            </w:r>
            <w:r w:rsidRPr="00C31EF3">
              <w:rPr>
                <w:rFonts w:cs="Calibri"/>
                <w:sz w:val="16"/>
                <w:szCs w:val="16"/>
              </w:rPr>
              <w:t>sex</w:t>
            </w:r>
            <w:r>
              <w:rPr>
                <w:rFonts w:cs="Calibri"/>
                <w:sz w:val="16"/>
                <w:szCs w:val="16"/>
              </w:rPr>
              <w:t xml:space="preserve">, </w:t>
            </w:r>
            <w:r w:rsidRPr="00C31EF3">
              <w:rPr>
                <w:rFonts w:cs="Calibri"/>
                <w:sz w:val="16"/>
                <w:szCs w:val="16"/>
              </w:rPr>
              <w:t>age</w:t>
            </w:r>
            <w:r>
              <w:rPr>
                <w:rFonts w:cs="Calibri"/>
                <w:sz w:val="16"/>
                <w:szCs w:val="16"/>
              </w:rPr>
              <w:t xml:space="preserve"> and socioeconomic position of main food shopper</w:t>
            </w:r>
            <w:r w:rsidRPr="00C31EF3">
              <w:rPr>
                <w:rFonts w:cs="Calibri"/>
                <w:sz w:val="16"/>
                <w:szCs w:val="16"/>
              </w:rPr>
              <w:t xml:space="preserve">. Cluster-robust standard errors used. Observations where households did not report </w:t>
            </w:r>
            <w:r>
              <w:rPr>
                <w:rFonts w:cs="Calibri"/>
                <w:sz w:val="16"/>
                <w:szCs w:val="16"/>
              </w:rPr>
              <w:t xml:space="preserve">any food and drink </w:t>
            </w:r>
            <w:r w:rsidRPr="00C31EF3">
              <w:rPr>
                <w:rFonts w:cs="Calibri"/>
                <w:sz w:val="16"/>
                <w:szCs w:val="16"/>
              </w:rPr>
              <w:t>purchases that week</w:t>
            </w:r>
            <w:r>
              <w:rPr>
                <w:rFonts w:cs="Calibri"/>
                <w:sz w:val="16"/>
                <w:szCs w:val="16"/>
              </w:rPr>
              <w:t xml:space="preserve"> were</w:t>
            </w:r>
            <w:r w:rsidRPr="00C31EF3">
              <w:rPr>
                <w:rFonts w:cs="Calibri"/>
                <w:sz w:val="16"/>
                <w:szCs w:val="16"/>
              </w:rPr>
              <w:t xml:space="preserve"> dropped</w:t>
            </w:r>
            <w:r>
              <w:rPr>
                <w:rFonts w:cs="Calibri"/>
                <w:sz w:val="16"/>
                <w:szCs w:val="16"/>
              </w:rPr>
              <w:t>. Data period=18 June 2018 to 15 December 2019.</w:t>
            </w:r>
          </w:p>
        </w:tc>
      </w:tr>
    </w:tbl>
    <w:p w14:paraId="5B58E76F" w14:textId="72A090D8" w:rsidR="00E51758" w:rsidRPr="00786119" w:rsidRDefault="00FD5BCB" w:rsidP="005E6341"/>
    <w:sectPr w:rsidR="00E51758" w:rsidRPr="00786119" w:rsidSect="0078611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B0"/>
    <w:rsid w:val="00115F0A"/>
    <w:rsid w:val="00116885"/>
    <w:rsid w:val="0026340D"/>
    <w:rsid w:val="003E4A95"/>
    <w:rsid w:val="00452926"/>
    <w:rsid w:val="00492562"/>
    <w:rsid w:val="005430DE"/>
    <w:rsid w:val="005C1F7D"/>
    <w:rsid w:val="005E6341"/>
    <w:rsid w:val="00641886"/>
    <w:rsid w:val="006528D5"/>
    <w:rsid w:val="00710AB1"/>
    <w:rsid w:val="00786119"/>
    <w:rsid w:val="007970BB"/>
    <w:rsid w:val="008745C8"/>
    <w:rsid w:val="008B3DCA"/>
    <w:rsid w:val="0097648F"/>
    <w:rsid w:val="00A4235C"/>
    <w:rsid w:val="00B615CE"/>
    <w:rsid w:val="00B74630"/>
    <w:rsid w:val="00C805B0"/>
    <w:rsid w:val="00CF67E0"/>
    <w:rsid w:val="00FC4E4A"/>
    <w:rsid w:val="00F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F62A2"/>
  <w15:chartTrackingRefBased/>
  <w15:docId w15:val="{29762429-568D-EC48-8FE8-EAD3935A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5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05B0"/>
    <w:pPr>
      <w:suppressLineNumbers/>
      <w:tabs>
        <w:tab w:val="center" w:pos="4513"/>
        <w:tab w:val="right" w:pos="9026"/>
      </w:tabs>
      <w:suppressAutoHyphens/>
    </w:pPr>
    <w:rPr>
      <w:rFonts w:ascii="Calibri" w:eastAsia="DengXian" w:hAnsi="Calibri" w:cs="DejaVu San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805B0"/>
    <w:rPr>
      <w:rFonts w:ascii="Calibri" w:eastAsia="DengXian" w:hAnsi="Calibri" w:cs="DejaVu Sans"/>
    </w:rPr>
  </w:style>
  <w:style w:type="table" w:styleId="TableGrid">
    <w:name w:val="Table Grid"/>
    <w:basedOn w:val="TableNormal"/>
    <w:uiPriority w:val="39"/>
    <w:rsid w:val="005E6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Yau</dc:creator>
  <cp:keywords/>
  <dc:description/>
  <cp:lastModifiedBy>Amy Yau</cp:lastModifiedBy>
  <cp:revision>3</cp:revision>
  <dcterms:created xsi:type="dcterms:W3CDTF">2022-01-17T14:33:00Z</dcterms:created>
  <dcterms:modified xsi:type="dcterms:W3CDTF">2022-01-17T14:56:00Z</dcterms:modified>
</cp:coreProperties>
</file>