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625"/>
        <w:gridCol w:w="993"/>
        <w:gridCol w:w="6477"/>
      </w:tblGrid>
      <w:tr w:rsidR="008E4987" w14:paraId="05BBCB4A" w14:textId="77777777" w:rsidTr="009F2A6B">
        <w:trPr>
          <w:trHeight w:val="189"/>
          <w:tblHeader/>
        </w:trPr>
        <w:tc>
          <w:tcPr>
            <w:tcW w:w="10095" w:type="dxa"/>
            <w:gridSpan w:val="3"/>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0FA9F229" w14:textId="0BD40167" w:rsidR="008E4987" w:rsidRDefault="008E4987" w:rsidP="008E4987">
            <w:pPr>
              <w:pStyle w:val="Heading2"/>
              <w:jc w:val="left"/>
            </w:pPr>
            <w:bookmarkStart w:id="0" w:name="_GoBack" w:colFirst="0" w:colLast="0"/>
            <w:r>
              <w:t>Note: Any changes to the original protocol are underlined and prefaced using the heading “</w:t>
            </w:r>
            <w:r w:rsidRPr="00962C1C">
              <w:rPr>
                <w:u w:val="single"/>
              </w:rPr>
              <w:t>P</w:t>
            </w:r>
            <w:r>
              <w:rPr>
                <w:u w:val="single"/>
              </w:rPr>
              <w:t>ost-h</w:t>
            </w:r>
            <w:r w:rsidRPr="00962C1C">
              <w:rPr>
                <w:u w:val="single"/>
              </w:rPr>
              <w:t>oc</w:t>
            </w:r>
            <w:r>
              <w:rPr>
                <w:u w:val="single"/>
              </w:rPr>
              <w:t xml:space="preserve"> after reviewer comments</w:t>
            </w:r>
            <w:r w:rsidRPr="00962C1C">
              <w:rPr>
                <w:u w:val="single"/>
              </w:rPr>
              <w:t>:</w:t>
            </w:r>
            <w:r>
              <w:rPr>
                <w:u w:val="single"/>
              </w:rPr>
              <w:t>”</w:t>
            </w:r>
          </w:p>
        </w:tc>
      </w:tr>
      <w:tr w:rsidR="00F504D9" w14:paraId="1D20B8A9" w14:textId="77777777" w:rsidTr="009F2A6B">
        <w:trPr>
          <w:trHeight w:val="189"/>
          <w:tblHeader/>
        </w:trPr>
        <w:tc>
          <w:tcPr>
            <w:tcW w:w="10095" w:type="dxa"/>
            <w:gridSpan w:val="3"/>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482DB90B" w14:textId="77777777" w:rsidR="00F504D9" w:rsidRPr="00050356" w:rsidRDefault="00F504D9" w:rsidP="009F2A6B">
            <w:pPr>
              <w:pStyle w:val="Heading2"/>
            </w:pPr>
            <w:r>
              <w:t xml:space="preserve">Project </w:t>
            </w:r>
            <w:r w:rsidRPr="00050356">
              <w:t>Cohort</w:t>
            </w:r>
          </w:p>
        </w:tc>
      </w:tr>
      <w:tr w:rsidR="00F504D9" w14:paraId="7894F34D" w14:textId="77777777" w:rsidTr="00E63293">
        <w:tc>
          <w:tcPr>
            <w:tcW w:w="2625" w:type="dxa"/>
            <w:tcBorders>
              <w:top w:val="double" w:sz="4" w:space="0" w:color="auto"/>
              <w:right w:val="single" w:sz="4" w:space="0" w:color="A6A6A6" w:themeColor="background1" w:themeShade="A6"/>
            </w:tcBorders>
            <w:noWrap/>
            <w:tcMar>
              <w:top w:w="15" w:type="dxa"/>
              <w:left w:w="15" w:type="dxa"/>
              <w:bottom w:w="0" w:type="dxa"/>
              <w:right w:w="15" w:type="dxa"/>
            </w:tcMar>
          </w:tcPr>
          <w:p w14:paraId="0B58E0D2" w14:textId="77777777" w:rsidR="00F504D9" w:rsidRPr="00542D33" w:rsidRDefault="00F504D9" w:rsidP="009F2A6B">
            <w:pPr>
              <w:spacing w:beforeLines="60" w:before="144" w:after="60"/>
              <w:rPr>
                <w:b/>
              </w:rPr>
            </w:pPr>
            <w:r>
              <w:rPr>
                <w:b/>
              </w:rPr>
              <w:t>Study Design</w:t>
            </w:r>
          </w:p>
        </w:tc>
        <w:tc>
          <w:tcPr>
            <w:tcW w:w="7470" w:type="dxa"/>
            <w:gridSpan w:val="2"/>
            <w:tcBorders>
              <w:top w:val="double" w:sz="4" w:space="0" w:color="auto"/>
              <w:left w:val="single" w:sz="4" w:space="0" w:color="A6A6A6" w:themeColor="background1" w:themeShade="A6"/>
              <w:bottom w:val="single" w:sz="4" w:space="0" w:color="auto"/>
            </w:tcBorders>
            <w:shd w:val="clear" w:color="auto" w:fill="auto"/>
            <w:noWrap/>
            <w:tcMar>
              <w:top w:w="15" w:type="dxa"/>
              <w:left w:w="15" w:type="dxa"/>
              <w:bottom w:w="0" w:type="dxa"/>
              <w:right w:w="15" w:type="dxa"/>
            </w:tcMar>
          </w:tcPr>
          <w:p w14:paraId="31ADEE1F" w14:textId="0919ACCF" w:rsidR="00F504D9" w:rsidRDefault="00403490" w:rsidP="00403490">
            <w:pPr>
              <w:spacing w:beforeLines="60" w:before="144" w:after="60"/>
            </w:pPr>
            <w:r>
              <w:t>Cohort study</w:t>
            </w:r>
            <w:r w:rsidR="00F504D9">
              <w:t xml:space="preserve"> </w:t>
            </w:r>
          </w:p>
        </w:tc>
      </w:tr>
      <w:tr w:rsidR="003204CA" w14:paraId="178B7891" w14:textId="77777777" w:rsidTr="0060753C">
        <w:trPr>
          <w:trHeight w:val="753"/>
        </w:trPr>
        <w:tc>
          <w:tcPr>
            <w:tcW w:w="2625" w:type="dxa"/>
            <w:tcBorders>
              <w:top w:val="single" w:sz="4" w:space="0" w:color="auto"/>
              <w:right w:val="single" w:sz="4" w:space="0" w:color="A6A6A6" w:themeColor="background1" w:themeShade="A6"/>
            </w:tcBorders>
            <w:noWrap/>
            <w:tcMar>
              <w:top w:w="15" w:type="dxa"/>
              <w:left w:w="15" w:type="dxa"/>
              <w:bottom w:w="0" w:type="dxa"/>
              <w:right w:w="15" w:type="dxa"/>
            </w:tcMar>
          </w:tcPr>
          <w:p w14:paraId="61AB15A0" w14:textId="77777777" w:rsidR="003204CA" w:rsidRPr="00542D33" w:rsidRDefault="003204CA" w:rsidP="0060753C">
            <w:pPr>
              <w:spacing w:before="60"/>
              <w:rPr>
                <w:b/>
              </w:rPr>
            </w:pPr>
            <w:r>
              <w:rPr>
                <w:b/>
              </w:rPr>
              <w:t>Cohort</w:t>
            </w:r>
          </w:p>
        </w:tc>
        <w:tc>
          <w:tcPr>
            <w:tcW w:w="7470" w:type="dxa"/>
            <w:gridSpan w:val="2"/>
            <w:tcBorders>
              <w:top w:val="single" w:sz="4" w:space="0" w:color="auto"/>
              <w:left w:val="single" w:sz="4" w:space="0" w:color="A6A6A6" w:themeColor="background1" w:themeShade="A6"/>
            </w:tcBorders>
            <w:shd w:val="clear" w:color="auto" w:fill="auto"/>
            <w:noWrap/>
            <w:tcMar>
              <w:top w:w="15" w:type="dxa"/>
              <w:left w:w="15" w:type="dxa"/>
              <w:bottom w:w="0" w:type="dxa"/>
              <w:right w:w="15" w:type="dxa"/>
            </w:tcMar>
          </w:tcPr>
          <w:p w14:paraId="6E9493DD" w14:textId="114354A4" w:rsidR="00D100D0" w:rsidRPr="0033390E" w:rsidRDefault="00D100D0" w:rsidP="00D100D0">
            <w:pPr>
              <w:pStyle w:val="ListParagraph"/>
              <w:numPr>
                <w:ilvl w:val="0"/>
                <w:numId w:val="13"/>
              </w:numPr>
              <w:rPr>
                <w:rFonts w:cstheme="minorHAnsi"/>
              </w:rPr>
            </w:pPr>
            <w:r>
              <w:rPr>
                <w:rFonts w:cstheme="minorHAnsi"/>
              </w:rPr>
              <w:t xml:space="preserve">Identify </w:t>
            </w:r>
            <w:r w:rsidR="0033390E" w:rsidRPr="0033390E">
              <w:rPr>
                <w:rFonts w:cstheme="minorHAnsi"/>
              </w:rPr>
              <w:t xml:space="preserve">Ontario residents alive and eligible for </w:t>
            </w:r>
            <w:r>
              <w:rPr>
                <w:rFonts w:cstheme="minorHAnsi"/>
              </w:rPr>
              <w:t>the Ontario Health Insurance Plan (OHIP)</w:t>
            </w:r>
            <w:r w:rsidR="003204CA" w:rsidRPr="0033390E">
              <w:rPr>
                <w:rFonts w:cstheme="minorHAnsi"/>
              </w:rPr>
              <w:t xml:space="preserve"> </w:t>
            </w:r>
            <w:r>
              <w:rPr>
                <w:rFonts w:cstheme="minorHAnsi"/>
              </w:rPr>
              <w:t>on December 31, 2015</w:t>
            </w:r>
          </w:p>
          <w:p w14:paraId="54F9765A" w14:textId="75C94FB7" w:rsidR="00D100D0" w:rsidRDefault="00D100D0" w:rsidP="00D100D0">
            <w:pPr>
              <w:pStyle w:val="ListParagraph"/>
              <w:numPr>
                <w:ilvl w:val="1"/>
                <w:numId w:val="13"/>
              </w:numPr>
            </w:pPr>
            <w:r w:rsidRPr="0033390E">
              <w:t>Death date</w:t>
            </w:r>
            <w:r>
              <w:t xml:space="preserve"> in Registered Persons Database</w:t>
            </w:r>
            <w:r w:rsidRPr="0033390E">
              <w:t xml:space="preserve"> missing or after December 31, 2015</w:t>
            </w:r>
          </w:p>
          <w:p w14:paraId="013E3849" w14:textId="3BC2E4DF" w:rsidR="00D100D0" w:rsidRDefault="00D100D0" w:rsidP="00D100D0">
            <w:pPr>
              <w:pStyle w:val="ListParagraph"/>
              <w:numPr>
                <w:ilvl w:val="1"/>
                <w:numId w:val="13"/>
              </w:numPr>
            </w:pPr>
            <w:r w:rsidRPr="007C48BD">
              <w:t>Birth</w:t>
            </w:r>
            <w:r>
              <w:t xml:space="preserve"> </w:t>
            </w:r>
            <w:r w:rsidRPr="007C48BD">
              <w:t xml:space="preserve">date </w:t>
            </w:r>
            <w:r>
              <w:t>in Registered Persons Database</w:t>
            </w:r>
            <w:r w:rsidRPr="0033390E">
              <w:t xml:space="preserve"> </w:t>
            </w:r>
            <w:r w:rsidRPr="007C48BD">
              <w:t xml:space="preserve">prior to or on </w:t>
            </w:r>
            <w:r w:rsidRPr="0033390E">
              <w:t>December 31, 2015</w:t>
            </w:r>
          </w:p>
          <w:p w14:paraId="4B01F6FA" w14:textId="43732C53" w:rsidR="00D100D0" w:rsidRPr="0033390E" w:rsidRDefault="00D100D0" w:rsidP="00D100D0">
            <w:pPr>
              <w:pStyle w:val="ListParagraph"/>
              <w:numPr>
                <w:ilvl w:val="1"/>
                <w:numId w:val="13"/>
              </w:numPr>
            </w:pPr>
            <w:r>
              <w:t>Ontario resident</w:t>
            </w:r>
            <w:r w:rsidRPr="0033390E">
              <w:t xml:space="preserve"> in </w:t>
            </w:r>
            <w:r>
              <w:t>Registered Persons Database</w:t>
            </w:r>
            <w:r w:rsidRPr="0033390E">
              <w:t xml:space="preserve"> on December 31, 2015</w:t>
            </w:r>
          </w:p>
          <w:p w14:paraId="40309C5F" w14:textId="1BCB6E0F" w:rsidR="00D100D0" w:rsidRPr="00D100D0" w:rsidRDefault="00D100D0" w:rsidP="00D100D0">
            <w:pPr>
              <w:pStyle w:val="ListParagraph"/>
              <w:numPr>
                <w:ilvl w:val="1"/>
                <w:numId w:val="13"/>
              </w:numPr>
            </w:pPr>
            <w:r w:rsidRPr="0033390E">
              <w:t xml:space="preserve">Eligible for OHIP on December 31, 2015 </w:t>
            </w:r>
          </w:p>
          <w:p w14:paraId="7B6997F4" w14:textId="21B135A9" w:rsidR="003204CA" w:rsidRPr="009D0B82" w:rsidRDefault="008A1ABB" w:rsidP="007E6F15">
            <w:pPr>
              <w:pStyle w:val="ListParagraph"/>
              <w:numPr>
                <w:ilvl w:val="0"/>
                <w:numId w:val="13"/>
              </w:numPr>
              <w:rPr>
                <w:rFonts w:cstheme="minorHAnsi"/>
              </w:rPr>
            </w:pPr>
            <w:r>
              <w:rPr>
                <w:rFonts w:cstheme="minorHAnsi"/>
              </w:rPr>
              <w:t xml:space="preserve">Further identify people meeting the above criteria who were also </w:t>
            </w:r>
            <w:r w:rsidR="009D0B82">
              <w:rPr>
                <w:rFonts w:cstheme="minorHAnsi"/>
              </w:rPr>
              <w:t>r</w:t>
            </w:r>
            <w:r w:rsidR="003204CA" w:rsidRPr="009D0B82">
              <w:rPr>
                <w:rFonts w:cstheme="minorHAnsi"/>
              </w:rPr>
              <w:t xml:space="preserve">ostered to a primary care provider </w:t>
            </w:r>
            <w:r w:rsidR="00B04B28" w:rsidRPr="009D0B82">
              <w:rPr>
                <w:rFonts w:cstheme="minorHAnsi"/>
              </w:rPr>
              <w:t xml:space="preserve">on December 31, 2015, </w:t>
            </w:r>
            <w:r w:rsidR="003E4216">
              <w:rPr>
                <w:rFonts w:cstheme="minorHAnsi"/>
              </w:rPr>
              <w:t xml:space="preserve">and </w:t>
            </w:r>
            <w:r w:rsidR="003204CA" w:rsidRPr="009D0B82">
              <w:rPr>
                <w:rFonts w:cstheme="minorHAnsi"/>
              </w:rPr>
              <w:t xml:space="preserve">whose relationship with their provider </w:t>
            </w:r>
            <w:r w:rsidR="00B04B28" w:rsidRPr="009D0B82">
              <w:rPr>
                <w:rFonts w:cstheme="minorHAnsi"/>
              </w:rPr>
              <w:t xml:space="preserve">ended </w:t>
            </w:r>
            <w:r w:rsidR="00DA5DF7" w:rsidRPr="009D0B82">
              <w:rPr>
                <w:rFonts w:cstheme="minorHAnsi"/>
              </w:rPr>
              <w:t>between January 1, 2016 and December 31, 2017</w:t>
            </w:r>
          </w:p>
          <w:p w14:paraId="45A6D823" w14:textId="27D3A7FE" w:rsidR="0033390E" w:rsidRDefault="00163F0F" w:rsidP="007E6F15">
            <w:pPr>
              <w:pStyle w:val="ListParagraph"/>
              <w:numPr>
                <w:ilvl w:val="1"/>
                <w:numId w:val="13"/>
              </w:numPr>
              <w:rPr>
                <w:rFonts w:cstheme="minorHAnsi"/>
              </w:rPr>
            </w:pPr>
            <w:r w:rsidRPr="0033390E">
              <w:rPr>
                <w:rFonts w:cstheme="minorHAnsi"/>
              </w:rPr>
              <w:t xml:space="preserve">Identify individuals in </w:t>
            </w:r>
            <w:r w:rsidR="003E4216">
              <w:rPr>
                <w:rFonts w:cstheme="minorHAnsi"/>
              </w:rPr>
              <w:t>the Client Agency Program Enrolment</w:t>
            </w:r>
            <w:r w:rsidR="00C75568">
              <w:rPr>
                <w:rFonts w:cstheme="minorHAnsi"/>
              </w:rPr>
              <w:t xml:space="preserve"> (CAPE)</w:t>
            </w:r>
            <w:r w:rsidR="003E4216">
              <w:rPr>
                <w:rFonts w:cstheme="minorHAnsi"/>
              </w:rPr>
              <w:t xml:space="preserve"> database (which contains people enrolled in a primary care enrolment model and dates of enrolment)</w:t>
            </w:r>
            <w:r w:rsidRPr="0033390E">
              <w:rPr>
                <w:rFonts w:cstheme="minorHAnsi"/>
              </w:rPr>
              <w:t xml:space="preserve"> </w:t>
            </w:r>
            <w:r w:rsidR="003204CA" w:rsidRPr="0033390E">
              <w:rPr>
                <w:rFonts w:cstheme="minorHAnsi"/>
              </w:rPr>
              <w:t xml:space="preserve">who </w:t>
            </w:r>
            <w:r w:rsidRPr="0033390E">
              <w:rPr>
                <w:rFonts w:cstheme="minorHAnsi"/>
              </w:rPr>
              <w:t>were</w:t>
            </w:r>
            <w:r w:rsidR="003204CA" w:rsidRPr="0033390E">
              <w:rPr>
                <w:rFonts w:cstheme="minorHAnsi"/>
              </w:rPr>
              <w:t xml:space="preserve"> rostered to a primary care provider </w:t>
            </w:r>
            <w:r w:rsidRPr="0033390E">
              <w:rPr>
                <w:rFonts w:cstheme="minorHAnsi"/>
              </w:rPr>
              <w:t>on</w:t>
            </w:r>
            <w:r w:rsidR="003E4216">
              <w:rPr>
                <w:rFonts w:cstheme="minorHAnsi"/>
              </w:rPr>
              <w:t xml:space="preserve"> December 31, 2015</w:t>
            </w:r>
          </w:p>
          <w:p w14:paraId="226BAAFD" w14:textId="35530233" w:rsidR="0033390E" w:rsidRPr="008A1ABB" w:rsidRDefault="004977A8" w:rsidP="00D26EBE">
            <w:pPr>
              <w:pStyle w:val="ListParagraph"/>
              <w:numPr>
                <w:ilvl w:val="1"/>
                <w:numId w:val="13"/>
              </w:numPr>
              <w:rPr>
                <w:rFonts w:cstheme="minorHAnsi"/>
              </w:rPr>
            </w:pPr>
            <w:r>
              <w:rPr>
                <w:rFonts w:cstheme="minorHAnsi"/>
              </w:rPr>
              <w:t>Among those rostered to a primary care provider on December 31, 2015, identify individuals who had an ‘ENDCAPE’ date between January 1, 2016 and December 31, 2017, indicating that their</w:t>
            </w:r>
            <w:r w:rsidR="002034C1">
              <w:rPr>
                <w:rFonts w:cstheme="minorHAnsi"/>
              </w:rPr>
              <w:t xml:space="preserve"> </w:t>
            </w:r>
            <w:r>
              <w:rPr>
                <w:rFonts w:cstheme="minorHAnsi"/>
              </w:rPr>
              <w:t>enrolment</w:t>
            </w:r>
            <w:r w:rsidR="002034C1">
              <w:rPr>
                <w:rFonts w:cstheme="minorHAnsi"/>
              </w:rPr>
              <w:t xml:space="preserve"> with the physician they were rostered to on December 31, 2015</w:t>
            </w:r>
            <w:r>
              <w:rPr>
                <w:rFonts w:cstheme="minorHAnsi"/>
              </w:rPr>
              <w:t xml:space="preserve"> ended between </w:t>
            </w:r>
            <w:r w:rsidR="002034C1" w:rsidRPr="002034C1">
              <w:rPr>
                <w:rFonts w:cstheme="minorHAnsi"/>
              </w:rPr>
              <w:t>January 1, 2016 and December 31, 2017</w:t>
            </w:r>
            <w:r w:rsidR="00192CE5">
              <w:rPr>
                <w:rFonts w:cstheme="minorHAnsi"/>
              </w:rPr>
              <w:t>. Classify these individuals according to</w:t>
            </w:r>
            <w:r w:rsidR="00F12C80">
              <w:rPr>
                <w:rFonts w:cstheme="minorHAnsi"/>
              </w:rPr>
              <w:t xml:space="preserve"> their</w:t>
            </w:r>
            <w:r w:rsidR="00192CE5">
              <w:rPr>
                <w:rFonts w:cstheme="minorHAnsi"/>
              </w:rPr>
              <w:t xml:space="preserve"> opioid exposure </w:t>
            </w:r>
            <w:r w:rsidR="00F12C80">
              <w:rPr>
                <w:rFonts w:cstheme="minorHAnsi"/>
              </w:rPr>
              <w:t xml:space="preserve">(defined below) on the </w:t>
            </w:r>
            <w:r w:rsidR="00D26EBE">
              <w:rPr>
                <w:rFonts w:cstheme="minorHAnsi"/>
              </w:rPr>
              <w:t>date of primary care provider loss</w:t>
            </w:r>
            <w:r w:rsidR="00F12C80">
              <w:rPr>
                <w:rFonts w:cstheme="minorHAnsi"/>
              </w:rPr>
              <w:t xml:space="preserve"> </w:t>
            </w:r>
          </w:p>
        </w:tc>
      </w:tr>
      <w:tr w:rsidR="006254F6" w14:paraId="02E9FE51" w14:textId="77777777" w:rsidTr="00B57CFB">
        <w:trPr>
          <w:trHeight w:val="2720"/>
        </w:trPr>
        <w:tc>
          <w:tcPr>
            <w:tcW w:w="2625" w:type="dxa"/>
            <w:tcBorders>
              <w:top w:val="single" w:sz="4" w:space="0" w:color="auto"/>
              <w:right w:val="single" w:sz="4" w:space="0" w:color="A6A6A6" w:themeColor="background1" w:themeShade="A6"/>
            </w:tcBorders>
            <w:noWrap/>
            <w:tcMar>
              <w:top w:w="15" w:type="dxa"/>
              <w:left w:w="15" w:type="dxa"/>
              <w:bottom w:w="0" w:type="dxa"/>
              <w:right w:w="15" w:type="dxa"/>
            </w:tcMar>
          </w:tcPr>
          <w:p w14:paraId="0794B7AE" w14:textId="7EF1682A" w:rsidR="006254F6" w:rsidRDefault="006254F6" w:rsidP="00B57CFB">
            <w:pPr>
              <w:spacing w:before="60"/>
              <w:rPr>
                <w:b/>
              </w:rPr>
            </w:pPr>
            <w:r>
              <w:rPr>
                <w:b/>
              </w:rPr>
              <w:t>Study Period</w:t>
            </w:r>
          </w:p>
        </w:tc>
        <w:tc>
          <w:tcPr>
            <w:tcW w:w="7470" w:type="dxa"/>
            <w:gridSpan w:val="2"/>
            <w:tcBorders>
              <w:top w:val="single" w:sz="4" w:space="0" w:color="auto"/>
              <w:left w:val="single" w:sz="4" w:space="0" w:color="A6A6A6" w:themeColor="background1" w:themeShade="A6"/>
            </w:tcBorders>
            <w:shd w:val="clear" w:color="auto" w:fill="auto"/>
            <w:noWrap/>
            <w:tcMar>
              <w:top w:w="15" w:type="dxa"/>
              <w:left w:w="15" w:type="dxa"/>
              <w:bottom w:w="0" w:type="dxa"/>
              <w:right w:w="15" w:type="dxa"/>
            </w:tcMar>
          </w:tcPr>
          <w:p w14:paraId="632DA550" w14:textId="77777777" w:rsidR="006254F6" w:rsidRPr="00017600" w:rsidRDefault="006254F6" w:rsidP="007E6F15">
            <w:pPr>
              <w:pStyle w:val="ListParagraph"/>
              <w:numPr>
                <w:ilvl w:val="0"/>
                <w:numId w:val="9"/>
              </w:numPr>
              <w:spacing w:after="160"/>
            </w:pPr>
            <w:r w:rsidRPr="00F346FE">
              <w:rPr>
                <w:b/>
              </w:rPr>
              <w:t>Reference date to identify rostered individuals</w:t>
            </w:r>
            <w:r>
              <w:t>: December 31, 2015</w:t>
            </w:r>
          </w:p>
          <w:p w14:paraId="692BE5CC" w14:textId="691A3760" w:rsidR="006254F6" w:rsidRDefault="006254F6" w:rsidP="007E6F15">
            <w:pPr>
              <w:pStyle w:val="ListParagraph"/>
              <w:numPr>
                <w:ilvl w:val="0"/>
                <w:numId w:val="9"/>
              </w:numPr>
              <w:spacing w:after="160"/>
            </w:pPr>
            <w:r w:rsidRPr="00F346FE">
              <w:rPr>
                <w:b/>
              </w:rPr>
              <w:t>Accrual</w:t>
            </w:r>
            <w:r>
              <w:rPr>
                <w:b/>
              </w:rPr>
              <w:t xml:space="preserve"> of individuals who lose their primary care provider</w:t>
            </w:r>
            <w:r w:rsidRPr="002A0A64">
              <w:t>: January 1, 201</w:t>
            </w:r>
            <w:r>
              <w:t>6</w:t>
            </w:r>
            <w:r w:rsidRPr="002A0A64">
              <w:t xml:space="preserve"> – December 31, 2017</w:t>
            </w:r>
          </w:p>
          <w:p w14:paraId="2DCB4397" w14:textId="714A2599" w:rsidR="006254F6" w:rsidRPr="002A0A64" w:rsidRDefault="006254F6" w:rsidP="007E6F15">
            <w:pPr>
              <w:pStyle w:val="ListParagraph"/>
              <w:numPr>
                <w:ilvl w:val="0"/>
                <w:numId w:val="9"/>
              </w:numPr>
              <w:spacing w:after="160"/>
            </w:pPr>
            <w:r>
              <w:rPr>
                <w:b/>
              </w:rPr>
              <w:t>Period during which to exclude anyone who died or had an outcome</w:t>
            </w:r>
            <w:r w:rsidRPr="007E6F15">
              <w:t>:</w:t>
            </w:r>
            <w:r>
              <w:t xml:space="preserve"> </w:t>
            </w:r>
            <w:r w:rsidR="00D435DE">
              <w:t xml:space="preserve">Within the </w:t>
            </w:r>
            <w:r>
              <w:t xml:space="preserve">14 days following </w:t>
            </w:r>
            <w:r w:rsidR="00D435DE">
              <w:t xml:space="preserve">date of </w:t>
            </w:r>
            <w:r w:rsidR="008A1ABB">
              <w:t>primary care provider loss</w:t>
            </w:r>
          </w:p>
          <w:p w14:paraId="631152AA" w14:textId="5C9DA23B" w:rsidR="006254F6" w:rsidRDefault="006254F6" w:rsidP="007E6F15">
            <w:pPr>
              <w:pStyle w:val="ListParagraph"/>
              <w:numPr>
                <w:ilvl w:val="0"/>
                <w:numId w:val="9"/>
              </w:numPr>
              <w:spacing w:after="160"/>
            </w:pPr>
            <w:r w:rsidRPr="00F346FE">
              <w:rPr>
                <w:b/>
              </w:rPr>
              <w:t>Cohort entry date</w:t>
            </w:r>
            <w:r w:rsidRPr="002A0A64">
              <w:t xml:space="preserve">: </w:t>
            </w:r>
            <w:r w:rsidRPr="007E6F15">
              <w:t>14 days</w:t>
            </w:r>
            <w:r>
              <w:t xml:space="preserve"> following</w:t>
            </w:r>
            <w:r w:rsidR="00D435DE">
              <w:t xml:space="preserve"> date of primary care provider loss</w:t>
            </w:r>
          </w:p>
          <w:p w14:paraId="51EE3161" w14:textId="252AD51F" w:rsidR="006254F6" w:rsidRPr="0063527C" w:rsidRDefault="006254F6" w:rsidP="007E6F15">
            <w:pPr>
              <w:pStyle w:val="ListParagraph"/>
              <w:numPr>
                <w:ilvl w:val="0"/>
                <w:numId w:val="9"/>
              </w:numPr>
              <w:rPr>
                <w:b/>
              </w:rPr>
            </w:pPr>
            <w:r w:rsidRPr="0063527C">
              <w:rPr>
                <w:b/>
              </w:rPr>
              <w:t xml:space="preserve">Follow-up </w:t>
            </w:r>
            <w:r>
              <w:rPr>
                <w:b/>
              </w:rPr>
              <w:t xml:space="preserve">from cohort entry </w:t>
            </w:r>
            <w:r w:rsidRPr="0063527C">
              <w:rPr>
                <w:b/>
              </w:rPr>
              <w:t>until:</w:t>
            </w:r>
          </w:p>
          <w:p w14:paraId="0FE4B39F" w14:textId="77777777" w:rsidR="006254F6" w:rsidRPr="0063527C" w:rsidRDefault="006254F6" w:rsidP="007E6F15">
            <w:pPr>
              <w:pStyle w:val="ListParagraph"/>
              <w:numPr>
                <w:ilvl w:val="1"/>
                <w:numId w:val="9"/>
              </w:numPr>
              <w:spacing w:after="160"/>
            </w:pPr>
            <w:r w:rsidRPr="0063527C">
              <w:t>Outcome (defined below)</w:t>
            </w:r>
          </w:p>
          <w:p w14:paraId="42AA832E" w14:textId="77777777" w:rsidR="006254F6" w:rsidRPr="0063527C" w:rsidRDefault="006254F6" w:rsidP="007E6F15">
            <w:pPr>
              <w:pStyle w:val="ListParagraph"/>
              <w:numPr>
                <w:ilvl w:val="1"/>
                <w:numId w:val="9"/>
              </w:numPr>
              <w:spacing w:after="160"/>
            </w:pPr>
            <w:r w:rsidRPr="0063527C">
              <w:t>Death</w:t>
            </w:r>
          </w:p>
          <w:p w14:paraId="5D97A1B2" w14:textId="3813712F" w:rsidR="006254F6" w:rsidRPr="0063527C" w:rsidRDefault="006254F6" w:rsidP="007E6F15">
            <w:pPr>
              <w:pStyle w:val="ListParagraph"/>
              <w:numPr>
                <w:ilvl w:val="1"/>
                <w:numId w:val="9"/>
              </w:numPr>
              <w:spacing w:after="160"/>
            </w:pPr>
            <w:r>
              <w:t>351 days</w:t>
            </w:r>
            <w:r w:rsidRPr="0063527C">
              <w:t xml:space="preserve"> following the cohort entry date</w:t>
            </w:r>
          </w:p>
          <w:p w14:paraId="6F574B20" w14:textId="480B8402" w:rsidR="006254F6" w:rsidRDefault="006254F6" w:rsidP="007E6F15">
            <w:pPr>
              <w:pStyle w:val="ListParagraph"/>
              <w:numPr>
                <w:ilvl w:val="1"/>
                <w:numId w:val="9"/>
              </w:numPr>
            </w:pPr>
            <w:r w:rsidRPr="0063527C">
              <w:t>End of study period (</w:t>
            </w:r>
            <w:r>
              <w:t>December 31, 2018</w:t>
            </w:r>
            <w:r w:rsidRPr="0063527C">
              <w:t>)</w:t>
            </w:r>
          </w:p>
        </w:tc>
      </w:tr>
      <w:tr w:rsidR="002A50B4" w14:paraId="63ED9982" w14:textId="77777777" w:rsidTr="00D0585E">
        <w:trPr>
          <w:trHeight w:val="227"/>
        </w:trPr>
        <w:tc>
          <w:tcPr>
            <w:tcW w:w="2625" w:type="dxa"/>
            <w:vMerge w:val="restart"/>
            <w:tcBorders>
              <w:right w:val="single" w:sz="4" w:space="0" w:color="A6A6A6" w:themeColor="background1" w:themeShade="A6"/>
            </w:tcBorders>
            <w:noWrap/>
            <w:tcMar>
              <w:top w:w="15" w:type="dxa"/>
              <w:left w:w="15" w:type="dxa"/>
              <w:bottom w:w="0" w:type="dxa"/>
              <w:right w:w="15" w:type="dxa"/>
            </w:tcMar>
          </w:tcPr>
          <w:p w14:paraId="51999947" w14:textId="25E58525" w:rsidR="002A50B4" w:rsidRPr="005D20F3" w:rsidRDefault="002A50B4" w:rsidP="009F2A6B">
            <w:pPr>
              <w:rPr>
                <w:b/>
              </w:rPr>
            </w:pPr>
            <w:r>
              <w:rPr>
                <w:b/>
              </w:rPr>
              <w:t>Excl</w:t>
            </w:r>
            <w:r w:rsidRPr="005D20F3">
              <w:rPr>
                <w:b/>
              </w:rPr>
              <w:t>usions</w:t>
            </w:r>
            <w:r>
              <w:rPr>
                <w:b/>
              </w:rPr>
              <w:t xml:space="preserve"> (in order)</w:t>
            </w:r>
          </w:p>
        </w:tc>
        <w:tc>
          <w:tcPr>
            <w:tcW w:w="993" w:type="dxa"/>
            <w:tcBorders>
              <w:top w:val="single" w:sz="4" w:space="0" w:color="auto"/>
              <w:left w:val="single" w:sz="4" w:space="0" w:color="A6A6A6" w:themeColor="background1" w:themeShade="A6"/>
              <w:bottom w:val="single" w:sz="12" w:space="0" w:color="969696"/>
            </w:tcBorders>
            <w:noWrap/>
            <w:tcMar>
              <w:top w:w="15" w:type="dxa"/>
              <w:left w:w="15" w:type="dxa"/>
              <w:bottom w:w="0" w:type="dxa"/>
              <w:right w:w="15" w:type="dxa"/>
            </w:tcMar>
            <w:vAlign w:val="center"/>
          </w:tcPr>
          <w:p w14:paraId="0C9A1722" w14:textId="77777777" w:rsidR="002A50B4" w:rsidRPr="008C383E" w:rsidRDefault="002A50B4" w:rsidP="009F2A6B">
            <w:pPr>
              <w:jc w:val="center"/>
              <w:rPr>
                <w:i/>
              </w:rPr>
            </w:pPr>
            <w:r w:rsidRPr="008C383E">
              <w:rPr>
                <w:i/>
              </w:rPr>
              <w:t>Step</w:t>
            </w:r>
          </w:p>
        </w:tc>
        <w:tc>
          <w:tcPr>
            <w:tcW w:w="6477" w:type="dxa"/>
            <w:tcBorders>
              <w:top w:val="single" w:sz="4" w:space="0" w:color="auto"/>
              <w:bottom w:val="single" w:sz="12" w:space="0" w:color="969696"/>
            </w:tcBorders>
            <w:vAlign w:val="center"/>
          </w:tcPr>
          <w:p w14:paraId="0E761AC4" w14:textId="77777777" w:rsidR="002A50B4" w:rsidRPr="008C383E" w:rsidRDefault="002A50B4" w:rsidP="009F2A6B">
            <w:pPr>
              <w:jc w:val="both"/>
              <w:rPr>
                <w:i/>
              </w:rPr>
            </w:pPr>
            <w:r w:rsidRPr="00874E72">
              <w:t>Description</w:t>
            </w:r>
          </w:p>
        </w:tc>
      </w:tr>
      <w:tr w:rsidR="002A50B4" w14:paraId="64FB1CA5" w14:textId="77777777" w:rsidTr="00D0585E">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ECE955E" w14:textId="77777777" w:rsidR="002A50B4" w:rsidRDefault="002A50B4" w:rsidP="009F2A6B"/>
        </w:tc>
        <w:tc>
          <w:tcPr>
            <w:tcW w:w="993" w:type="dxa"/>
            <w:tcBorders>
              <w:top w:val="single" w:sz="12" w:space="0" w:color="969696"/>
              <w:left w:val="single" w:sz="4" w:space="0" w:color="A6A6A6" w:themeColor="background1" w:themeShade="A6"/>
              <w:bottom w:val="single" w:sz="8" w:space="0" w:color="969696"/>
            </w:tcBorders>
            <w:noWrap/>
            <w:tcMar>
              <w:top w:w="15" w:type="dxa"/>
              <w:left w:w="15" w:type="dxa"/>
              <w:bottom w:w="0" w:type="dxa"/>
              <w:right w:w="15" w:type="dxa"/>
            </w:tcMar>
          </w:tcPr>
          <w:p w14:paraId="06451BC8" w14:textId="5BE775F0" w:rsidR="002A50B4" w:rsidRDefault="002A50B4" w:rsidP="009F2A6B">
            <w:pPr>
              <w:spacing w:before="60" w:after="60"/>
              <w:jc w:val="center"/>
              <w:rPr>
                <w:rFonts w:cstheme="minorHAnsi"/>
              </w:rPr>
            </w:pPr>
            <w:r>
              <w:rPr>
                <w:rFonts w:cstheme="minorHAnsi"/>
              </w:rPr>
              <w:t>1</w:t>
            </w:r>
          </w:p>
        </w:tc>
        <w:tc>
          <w:tcPr>
            <w:tcW w:w="6477" w:type="dxa"/>
            <w:tcBorders>
              <w:top w:val="single" w:sz="12" w:space="0" w:color="969696"/>
              <w:bottom w:val="single" w:sz="8" w:space="0" w:color="969696"/>
            </w:tcBorders>
          </w:tcPr>
          <w:p w14:paraId="24477909" w14:textId="29F9051E" w:rsidR="002A50B4" w:rsidRPr="00935258" w:rsidRDefault="002A50B4" w:rsidP="00B57CFB">
            <w:pPr>
              <w:spacing w:before="60" w:after="60"/>
              <w:rPr>
                <w:rFonts w:cstheme="minorHAnsi"/>
              </w:rPr>
            </w:pPr>
            <w:r>
              <w:rPr>
                <w:rFonts w:cstheme="minorHAnsi"/>
              </w:rPr>
              <w:t xml:space="preserve">Age &lt;18 or &gt;105 on </w:t>
            </w:r>
            <w:r w:rsidR="00B57CFB">
              <w:rPr>
                <w:rFonts w:cstheme="minorHAnsi"/>
              </w:rPr>
              <w:t xml:space="preserve">date of </w:t>
            </w:r>
            <w:r>
              <w:rPr>
                <w:rFonts w:cstheme="minorHAnsi"/>
              </w:rPr>
              <w:t>p</w:t>
            </w:r>
            <w:r w:rsidR="00B57CFB">
              <w:rPr>
                <w:rFonts w:cstheme="minorHAnsi"/>
              </w:rPr>
              <w:t>rimary care provider loss</w:t>
            </w:r>
          </w:p>
        </w:tc>
      </w:tr>
      <w:tr w:rsidR="002A50B4" w14:paraId="6240DD28" w14:textId="77777777" w:rsidTr="00D0585E">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135B9B71" w14:textId="77777777" w:rsidR="002A50B4" w:rsidRDefault="002A50B4" w:rsidP="009F2A6B"/>
        </w:tc>
        <w:tc>
          <w:tcPr>
            <w:tcW w:w="993" w:type="dxa"/>
            <w:tcBorders>
              <w:top w:val="single" w:sz="8" w:space="0" w:color="969696"/>
              <w:left w:val="single" w:sz="4" w:space="0" w:color="A6A6A6" w:themeColor="background1" w:themeShade="A6"/>
              <w:bottom w:val="single" w:sz="8" w:space="0" w:color="969696"/>
            </w:tcBorders>
            <w:noWrap/>
            <w:tcMar>
              <w:top w:w="15" w:type="dxa"/>
              <w:left w:w="15" w:type="dxa"/>
              <w:bottom w:w="0" w:type="dxa"/>
              <w:right w:w="15" w:type="dxa"/>
            </w:tcMar>
          </w:tcPr>
          <w:p w14:paraId="3C66FDAA" w14:textId="6560245D" w:rsidR="002A50B4" w:rsidRDefault="002A50B4" w:rsidP="009F2A6B">
            <w:pPr>
              <w:spacing w:before="60" w:after="60"/>
              <w:jc w:val="center"/>
              <w:rPr>
                <w:rFonts w:cstheme="minorHAnsi"/>
              </w:rPr>
            </w:pPr>
            <w:r>
              <w:rPr>
                <w:rFonts w:cstheme="minorHAnsi"/>
              </w:rPr>
              <w:t>2</w:t>
            </w:r>
          </w:p>
        </w:tc>
        <w:tc>
          <w:tcPr>
            <w:tcW w:w="6477" w:type="dxa"/>
            <w:tcBorders>
              <w:top w:val="single" w:sz="8" w:space="0" w:color="969696"/>
              <w:bottom w:val="single" w:sz="8" w:space="0" w:color="969696"/>
            </w:tcBorders>
          </w:tcPr>
          <w:p w14:paraId="561E44C3" w14:textId="48EDB1B2" w:rsidR="002A50B4" w:rsidRPr="00935258" w:rsidRDefault="002A50B4" w:rsidP="00FE4A1E">
            <w:pPr>
              <w:spacing w:before="60" w:after="60"/>
              <w:rPr>
                <w:rFonts w:cstheme="minorHAnsi"/>
              </w:rPr>
            </w:pPr>
            <w:r>
              <w:rPr>
                <w:rFonts w:cstheme="minorHAnsi"/>
              </w:rPr>
              <w:t>Date of last health care contact (DOLC) falls prior to 8 years before the date of primary care provider loss</w:t>
            </w:r>
          </w:p>
        </w:tc>
      </w:tr>
      <w:tr w:rsidR="002A50B4" w14:paraId="56A86D6F" w14:textId="77777777" w:rsidTr="00D0585E">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1B135B3A" w14:textId="77777777" w:rsidR="002A50B4" w:rsidRDefault="002A50B4" w:rsidP="009F2A6B"/>
        </w:tc>
        <w:tc>
          <w:tcPr>
            <w:tcW w:w="993" w:type="dxa"/>
            <w:tcBorders>
              <w:top w:val="single" w:sz="8" w:space="0" w:color="969696"/>
              <w:left w:val="single" w:sz="4" w:space="0" w:color="A6A6A6" w:themeColor="background1" w:themeShade="A6"/>
              <w:bottom w:val="single" w:sz="8" w:space="0" w:color="969696"/>
            </w:tcBorders>
            <w:noWrap/>
            <w:tcMar>
              <w:top w:w="15" w:type="dxa"/>
              <w:left w:w="15" w:type="dxa"/>
              <w:bottom w:w="0" w:type="dxa"/>
              <w:right w:w="15" w:type="dxa"/>
            </w:tcMar>
          </w:tcPr>
          <w:p w14:paraId="509F726C" w14:textId="20A74525" w:rsidR="002A50B4" w:rsidRDefault="002A50B4" w:rsidP="009F2A6B">
            <w:pPr>
              <w:spacing w:before="60" w:after="60"/>
              <w:jc w:val="center"/>
              <w:rPr>
                <w:rFonts w:cstheme="minorHAnsi"/>
              </w:rPr>
            </w:pPr>
            <w:r>
              <w:rPr>
                <w:rFonts w:cstheme="minorHAnsi"/>
              </w:rPr>
              <w:t>3</w:t>
            </w:r>
          </w:p>
        </w:tc>
        <w:tc>
          <w:tcPr>
            <w:tcW w:w="6477" w:type="dxa"/>
            <w:tcBorders>
              <w:top w:val="single" w:sz="8" w:space="0" w:color="969696"/>
              <w:bottom w:val="single" w:sz="8" w:space="0" w:color="969696"/>
            </w:tcBorders>
          </w:tcPr>
          <w:p w14:paraId="0FF57579" w14:textId="06801512" w:rsidR="002A50B4" w:rsidRPr="00935258" w:rsidRDefault="002A50B4" w:rsidP="00FE4A1E">
            <w:pPr>
              <w:spacing w:before="60" w:after="60"/>
              <w:rPr>
                <w:rFonts w:cstheme="minorHAnsi"/>
              </w:rPr>
            </w:pPr>
            <w:r w:rsidRPr="002F4E55">
              <w:rPr>
                <w:rFonts w:cstheme="minorHAnsi"/>
              </w:rPr>
              <w:t xml:space="preserve">Died prior to or on the </w:t>
            </w:r>
            <w:r>
              <w:rPr>
                <w:rFonts w:cstheme="minorHAnsi"/>
              </w:rPr>
              <w:t>primary care provider loss date</w:t>
            </w:r>
            <w:r w:rsidRPr="002F4E55">
              <w:rPr>
                <w:rFonts w:cstheme="minorHAnsi"/>
              </w:rPr>
              <w:t xml:space="preserve"> </w:t>
            </w:r>
          </w:p>
        </w:tc>
      </w:tr>
      <w:tr w:rsidR="002A50B4" w14:paraId="35098356" w14:textId="77777777" w:rsidTr="00D0585E">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2D26F4EF" w14:textId="77777777" w:rsidR="002A50B4" w:rsidRDefault="002A50B4" w:rsidP="009F2A6B"/>
        </w:tc>
        <w:tc>
          <w:tcPr>
            <w:tcW w:w="993" w:type="dxa"/>
            <w:tcBorders>
              <w:top w:val="single" w:sz="8" w:space="0" w:color="969696"/>
              <w:left w:val="single" w:sz="4" w:space="0" w:color="A6A6A6" w:themeColor="background1" w:themeShade="A6"/>
              <w:bottom w:val="single" w:sz="4" w:space="0" w:color="969696"/>
            </w:tcBorders>
            <w:noWrap/>
            <w:tcMar>
              <w:top w:w="15" w:type="dxa"/>
              <w:left w:w="15" w:type="dxa"/>
              <w:bottom w:w="0" w:type="dxa"/>
              <w:right w:w="15" w:type="dxa"/>
            </w:tcMar>
          </w:tcPr>
          <w:p w14:paraId="4A8F2D18" w14:textId="7B66F40C" w:rsidR="002A50B4" w:rsidRPr="002C016F" w:rsidRDefault="002A50B4" w:rsidP="009F2A6B">
            <w:pPr>
              <w:spacing w:before="60" w:after="60"/>
              <w:jc w:val="center"/>
              <w:rPr>
                <w:rFonts w:cstheme="minorHAnsi"/>
              </w:rPr>
            </w:pPr>
            <w:r>
              <w:rPr>
                <w:rFonts w:cstheme="minorHAnsi"/>
              </w:rPr>
              <w:t>4</w:t>
            </w:r>
          </w:p>
        </w:tc>
        <w:tc>
          <w:tcPr>
            <w:tcW w:w="6477" w:type="dxa"/>
            <w:tcBorders>
              <w:top w:val="single" w:sz="8" w:space="0" w:color="969696"/>
              <w:bottom w:val="single" w:sz="4" w:space="0" w:color="969696"/>
            </w:tcBorders>
          </w:tcPr>
          <w:p w14:paraId="71C1DB5D" w14:textId="0F65DDDB" w:rsidR="002A50B4" w:rsidRPr="00577C71" w:rsidRDefault="002A50B4" w:rsidP="00FE4A1E">
            <w:pPr>
              <w:spacing w:before="60" w:after="60"/>
              <w:rPr>
                <w:rFonts w:cstheme="minorHAnsi"/>
                <w:highlight w:val="yellow"/>
              </w:rPr>
            </w:pPr>
            <w:r w:rsidRPr="002F4E55">
              <w:rPr>
                <w:rFonts w:cstheme="minorHAnsi"/>
              </w:rPr>
              <w:t xml:space="preserve">Resided out of province on the </w:t>
            </w:r>
            <w:r>
              <w:rPr>
                <w:rFonts w:cstheme="minorHAnsi"/>
              </w:rPr>
              <w:t>primary care provider loss date</w:t>
            </w:r>
            <w:r w:rsidRPr="002F4E55">
              <w:rPr>
                <w:rFonts w:cstheme="minorHAnsi"/>
              </w:rPr>
              <w:t xml:space="preserve"> </w:t>
            </w:r>
          </w:p>
        </w:tc>
      </w:tr>
      <w:tr w:rsidR="002A50B4" w14:paraId="5909E1DA"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49003A28" w14:textId="77777777" w:rsidR="002A50B4" w:rsidRDefault="002A50B4"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28C3E80D" w14:textId="2BC009B3" w:rsidR="002A50B4" w:rsidRPr="002C016F" w:rsidRDefault="002A50B4" w:rsidP="009F2A6B">
            <w:pPr>
              <w:spacing w:before="60" w:after="60"/>
              <w:jc w:val="center"/>
              <w:rPr>
                <w:rFonts w:cstheme="minorHAnsi"/>
              </w:rPr>
            </w:pPr>
            <w:r>
              <w:rPr>
                <w:rFonts w:cstheme="minorHAnsi"/>
              </w:rPr>
              <w:t>5</w:t>
            </w:r>
          </w:p>
        </w:tc>
        <w:tc>
          <w:tcPr>
            <w:tcW w:w="6477" w:type="dxa"/>
            <w:tcBorders>
              <w:top w:val="single" w:sz="4" w:space="0" w:color="969696"/>
              <w:bottom w:val="single" w:sz="4" w:space="0" w:color="969696"/>
            </w:tcBorders>
          </w:tcPr>
          <w:p w14:paraId="7EA9F430" w14:textId="08B13EF4" w:rsidR="002A50B4" w:rsidRPr="002C016F" w:rsidRDefault="002A50B4" w:rsidP="00FE4A1E">
            <w:pPr>
              <w:spacing w:before="60" w:after="60"/>
              <w:rPr>
                <w:rFonts w:cstheme="minorHAnsi"/>
              </w:rPr>
            </w:pPr>
            <w:r w:rsidRPr="002F4E55">
              <w:rPr>
                <w:rFonts w:cstheme="minorHAnsi"/>
              </w:rPr>
              <w:t xml:space="preserve">Not eligible for OHIP on the </w:t>
            </w:r>
            <w:r>
              <w:rPr>
                <w:rFonts w:cstheme="minorHAnsi"/>
              </w:rPr>
              <w:t>primary care provider loss date</w:t>
            </w:r>
          </w:p>
        </w:tc>
      </w:tr>
      <w:tr w:rsidR="002A50B4" w14:paraId="74503CFA"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3122995F" w14:textId="77777777" w:rsidR="002A50B4" w:rsidRDefault="002A50B4"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176293C0" w14:textId="6F12E826" w:rsidR="002A50B4" w:rsidRPr="00AC3BE1" w:rsidRDefault="002A50B4" w:rsidP="00CA7E2D">
            <w:pPr>
              <w:spacing w:before="60" w:after="60"/>
              <w:jc w:val="center"/>
              <w:rPr>
                <w:rFonts w:cstheme="minorHAnsi"/>
              </w:rPr>
            </w:pPr>
            <w:r>
              <w:rPr>
                <w:rFonts w:cstheme="minorHAnsi"/>
              </w:rPr>
              <w:t>6</w:t>
            </w:r>
          </w:p>
        </w:tc>
        <w:tc>
          <w:tcPr>
            <w:tcW w:w="6477" w:type="dxa"/>
            <w:tcBorders>
              <w:top w:val="single" w:sz="4" w:space="0" w:color="969696"/>
              <w:bottom w:val="single" w:sz="4" w:space="0" w:color="969696"/>
            </w:tcBorders>
          </w:tcPr>
          <w:p w14:paraId="3BCAF61B" w14:textId="6C6F5DA2" w:rsidR="002A50B4" w:rsidRPr="00AC3BE1" w:rsidRDefault="002A50B4" w:rsidP="00720E97">
            <w:pPr>
              <w:spacing w:before="60" w:after="60"/>
            </w:pPr>
            <w:r w:rsidRPr="002F4E55">
              <w:rPr>
                <w:rFonts w:cstheme="minorHAnsi"/>
              </w:rPr>
              <w:t>Terminated for reasons other than physician ended patient enrolment,</w:t>
            </w:r>
            <w:r>
              <w:rPr>
                <w:rFonts w:cstheme="minorHAnsi"/>
              </w:rPr>
              <w:t xml:space="preserve"> physician ended enrolment because patient moved out of physician’s </w:t>
            </w:r>
            <w:r>
              <w:rPr>
                <w:rFonts w:cstheme="minorHAnsi"/>
              </w:rPr>
              <w:lastRenderedPageBreak/>
              <w:t xml:space="preserve">catchment area, physician ended enrolment per patient request, </w:t>
            </w:r>
            <w:r w:rsidRPr="002F4E55">
              <w:rPr>
                <w:rFonts w:cstheme="minorHAnsi"/>
              </w:rPr>
              <w:t xml:space="preserve">or </w:t>
            </w:r>
            <w:r>
              <w:rPr>
                <w:rFonts w:cstheme="minorHAnsi"/>
              </w:rPr>
              <w:t>enrolment terminated by patient</w:t>
            </w:r>
            <w:r w:rsidRPr="002F4E55">
              <w:rPr>
                <w:rFonts w:cstheme="minorHAnsi"/>
              </w:rPr>
              <w:t xml:space="preserve"> (i.e., CAPE ‘TERMINATION’ not in (‘44’, ‘53’, ‘56’, ‘57’))</w:t>
            </w:r>
          </w:p>
        </w:tc>
      </w:tr>
      <w:tr w:rsidR="002A50B4" w14:paraId="72463C6E"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CF93BF1" w14:textId="77777777" w:rsidR="002A50B4" w:rsidRDefault="002A50B4"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307D851D" w14:textId="7423CC76" w:rsidR="002A50B4" w:rsidRDefault="002A50B4" w:rsidP="009F2A6B">
            <w:pPr>
              <w:spacing w:before="60" w:after="60"/>
              <w:jc w:val="center"/>
              <w:rPr>
                <w:rFonts w:cstheme="minorHAnsi"/>
              </w:rPr>
            </w:pPr>
            <w:r>
              <w:rPr>
                <w:rFonts w:cstheme="minorHAnsi"/>
              </w:rPr>
              <w:t>7</w:t>
            </w:r>
          </w:p>
        </w:tc>
        <w:tc>
          <w:tcPr>
            <w:tcW w:w="6477" w:type="dxa"/>
            <w:tcBorders>
              <w:top w:val="single" w:sz="4" w:space="0" w:color="969696"/>
              <w:bottom w:val="single" w:sz="4" w:space="0" w:color="969696"/>
            </w:tcBorders>
          </w:tcPr>
          <w:p w14:paraId="5A68670D" w14:textId="0C09325B" w:rsidR="002A50B4" w:rsidRDefault="002A50B4" w:rsidP="00FE4A1E">
            <w:pPr>
              <w:spacing w:before="60" w:after="60"/>
              <w:rPr>
                <w:rFonts w:cstheme="minorHAnsi"/>
              </w:rPr>
            </w:pPr>
            <w:r w:rsidRPr="002F4E55">
              <w:rPr>
                <w:rFonts w:cstheme="minorHAnsi"/>
              </w:rPr>
              <w:t xml:space="preserve">Less than 1 year of CAPE enrolment prior to </w:t>
            </w:r>
            <w:r>
              <w:rPr>
                <w:rFonts w:cstheme="minorHAnsi"/>
              </w:rPr>
              <w:t>primary care provider loss</w:t>
            </w:r>
            <w:r w:rsidRPr="002F4E55">
              <w:rPr>
                <w:rFonts w:cstheme="minorHAnsi"/>
              </w:rPr>
              <w:t xml:space="preserve"> </w:t>
            </w:r>
          </w:p>
        </w:tc>
      </w:tr>
      <w:tr w:rsidR="00D0585E" w14:paraId="76CDCD19"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F879DD3" w14:textId="77777777" w:rsidR="00D0585E" w:rsidRDefault="00D0585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40BEA635" w14:textId="3AFB145C" w:rsidR="00D0585E" w:rsidRDefault="00D0585E" w:rsidP="009F2A6B">
            <w:pPr>
              <w:spacing w:before="60" w:after="60"/>
              <w:jc w:val="center"/>
              <w:rPr>
                <w:rFonts w:cstheme="minorHAnsi"/>
              </w:rPr>
            </w:pPr>
            <w:r>
              <w:rPr>
                <w:rFonts w:cstheme="minorHAnsi"/>
              </w:rPr>
              <w:t>8</w:t>
            </w:r>
          </w:p>
        </w:tc>
        <w:tc>
          <w:tcPr>
            <w:tcW w:w="6477" w:type="dxa"/>
            <w:tcBorders>
              <w:top w:val="single" w:sz="4" w:space="0" w:color="969696"/>
              <w:bottom w:val="single" w:sz="4" w:space="0" w:color="969696"/>
            </w:tcBorders>
          </w:tcPr>
          <w:p w14:paraId="6CFB1126" w14:textId="5EFE030F" w:rsidR="00D0585E" w:rsidRPr="002F4E55" w:rsidRDefault="00D0585E" w:rsidP="00FE4A1E">
            <w:pPr>
              <w:spacing w:before="60" w:after="60"/>
              <w:rPr>
                <w:rFonts w:cstheme="minorHAnsi"/>
              </w:rPr>
            </w:pPr>
            <w:r w:rsidRPr="00C64CF6">
              <w:rPr>
                <w:rFonts w:cstheme="minorHAnsi"/>
              </w:rPr>
              <w:t xml:space="preserve">Re-enrolled in CAPE with physicians from the same group as the previous rostering physician in any period of time after </w:t>
            </w:r>
            <w:r>
              <w:rPr>
                <w:rFonts w:cstheme="minorHAnsi"/>
              </w:rPr>
              <w:t>primary care provider loss</w:t>
            </w:r>
          </w:p>
        </w:tc>
      </w:tr>
      <w:tr w:rsidR="00D0585E" w14:paraId="67F36CDE"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0FBCB6F7" w14:textId="77777777" w:rsidR="00D0585E" w:rsidRDefault="00D0585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55C3E564" w14:textId="1A5E2BAC" w:rsidR="00D0585E" w:rsidRDefault="00D0585E" w:rsidP="009F2A6B">
            <w:pPr>
              <w:spacing w:before="60" w:after="60"/>
              <w:jc w:val="center"/>
              <w:rPr>
                <w:rFonts w:cstheme="minorHAnsi"/>
              </w:rPr>
            </w:pPr>
            <w:r>
              <w:rPr>
                <w:rFonts w:cstheme="minorHAnsi"/>
              </w:rPr>
              <w:t>9</w:t>
            </w:r>
          </w:p>
        </w:tc>
        <w:tc>
          <w:tcPr>
            <w:tcW w:w="6477" w:type="dxa"/>
            <w:tcBorders>
              <w:top w:val="single" w:sz="4" w:space="0" w:color="969696"/>
              <w:bottom w:val="single" w:sz="4" w:space="0" w:color="969696"/>
            </w:tcBorders>
          </w:tcPr>
          <w:p w14:paraId="574407FE" w14:textId="0DA84063" w:rsidR="00D0585E" w:rsidRPr="002F4E55" w:rsidRDefault="00D0585E" w:rsidP="00FE4A1E">
            <w:pPr>
              <w:spacing w:before="60" w:after="60"/>
              <w:rPr>
                <w:rFonts w:cstheme="minorHAnsi"/>
              </w:rPr>
            </w:pPr>
            <w:r w:rsidRPr="00C64CF6">
              <w:rPr>
                <w:rFonts w:cstheme="minorHAnsi"/>
              </w:rPr>
              <w:t xml:space="preserve">Had an OHIP claim with the previous rostering physician in any period of time after </w:t>
            </w:r>
            <w:r>
              <w:rPr>
                <w:rFonts w:cstheme="minorHAnsi"/>
              </w:rPr>
              <w:t>primary care provider loss</w:t>
            </w:r>
          </w:p>
        </w:tc>
      </w:tr>
      <w:tr w:rsidR="00D0585E" w14:paraId="26865CB9"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9B7B9B3" w14:textId="77777777" w:rsidR="00D0585E" w:rsidRDefault="00D0585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485BF8CB" w14:textId="492AA98C" w:rsidR="00D0585E" w:rsidRDefault="00D0585E" w:rsidP="009F2A6B">
            <w:pPr>
              <w:spacing w:before="60" w:after="60"/>
              <w:jc w:val="center"/>
              <w:rPr>
                <w:rFonts w:cstheme="minorHAnsi"/>
              </w:rPr>
            </w:pPr>
            <w:r>
              <w:rPr>
                <w:rFonts w:cstheme="minorHAnsi"/>
              </w:rPr>
              <w:t>10</w:t>
            </w:r>
          </w:p>
        </w:tc>
        <w:tc>
          <w:tcPr>
            <w:tcW w:w="6477" w:type="dxa"/>
            <w:tcBorders>
              <w:top w:val="single" w:sz="4" w:space="0" w:color="969696"/>
              <w:bottom w:val="single" w:sz="4" w:space="0" w:color="969696"/>
            </w:tcBorders>
          </w:tcPr>
          <w:p w14:paraId="0B646BC0" w14:textId="2EDDFB44" w:rsidR="00D0585E" w:rsidRPr="002F4E55" w:rsidRDefault="00D0585E" w:rsidP="00FE4A1E">
            <w:pPr>
              <w:spacing w:before="60" w:after="60"/>
              <w:rPr>
                <w:rFonts w:cstheme="minorHAnsi"/>
              </w:rPr>
            </w:pPr>
            <w:r>
              <w:rPr>
                <w:rFonts w:cstheme="minorHAnsi"/>
              </w:rPr>
              <w:t>Died within the 14 days following primary care provider loss</w:t>
            </w:r>
          </w:p>
        </w:tc>
      </w:tr>
      <w:tr w:rsidR="00D0585E" w14:paraId="70CBB096"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328421C" w14:textId="77777777" w:rsidR="00D0585E" w:rsidRDefault="00D0585E" w:rsidP="00D0585E"/>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1A7D0723" w14:textId="5527D5F7" w:rsidR="00D0585E" w:rsidRDefault="00D0585E" w:rsidP="00D0585E">
            <w:pPr>
              <w:spacing w:before="60" w:after="60"/>
              <w:jc w:val="center"/>
              <w:rPr>
                <w:rFonts w:cstheme="minorHAnsi"/>
              </w:rPr>
            </w:pPr>
            <w:r>
              <w:rPr>
                <w:rFonts w:cstheme="minorHAnsi"/>
              </w:rPr>
              <w:t>11</w:t>
            </w:r>
          </w:p>
        </w:tc>
        <w:tc>
          <w:tcPr>
            <w:tcW w:w="6477" w:type="dxa"/>
            <w:tcBorders>
              <w:top w:val="single" w:sz="4" w:space="0" w:color="969696"/>
              <w:bottom w:val="single" w:sz="4" w:space="0" w:color="969696"/>
            </w:tcBorders>
          </w:tcPr>
          <w:p w14:paraId="498790D2" w14:textId="697ACA97" w:rsidR="00D0585E" w:rsidRDefault="00D0585E" w:rsidP="00D0585E">
            <w:pPr>
              <w:spacing w:before="60" w:after="60"/>
              <w:rPr>
                <w:rFonts w:cstheme="minorHAnsi"/>
              </w:rPr>
            </w:pPr>
            <w:r>
              <w:rPr>
                <w:rFonts w:cstheme="minorHAnsi"/>
              </w:rPr>
              <w:t>Experienced primary care attachment within the 14 days following primary care provider loss</w:t>
            </w:r>
          </w:p>
        </w:tc>
      </w:tr>
      <w:tr w:rsidR="00D0585E" w14:paraId="2D2DCB05"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308825D3" w14:textId="77777777" w:rsidR="00D0585E" w:rsidRDefault="00D0585E" w:rsidP="00D0585E"/>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721FEC30" w14:textId="727B0A04" w:rsidR="00D0585E" w:rsidRDefault="00D0585E" w:rsidP="00D0585E">
            <w:pPr>
              <w:spacing w:before="60" w:after="60"/>
              <w:jc w:val="center"/>
              <w:rPr>
                <w:rFonts w:cstheme="minorHAnsi"/>
              </w:rPr>
            </w:pPr>
            <w:r>
              <w:rPr>
                <w:rFonts w:cstheme="minorHAnsi"/>
              </w:rPr>
              <w:t>12</w:t>
            </w:r>
          </w:p>
        </w:tc>
        <w:tc>
          <w:tcPr>
            <w:tcW w:w="6477" w:type="dxa"/>
            <w:tcBorders>
              <w:top w:val="single" w:sz="4" w:space="0" w:color="969696"/>
              <w:bottom w:val="single" w:sz="4" w:space="0" w:color="969696"/>
            </w:tcBorders>
          </w:tcPr>
          <w:p w14:paraId="4DB4D3CA" w14:textId="65F5D4B4" w:rsidR="00D0585E" w:rsidRDefault="00D0585E" w:rsidP="00D0585E">
            <w:pPr>
              <w:spacing w:before="60" w:after="60"/>
              <w:rPr>
                <w:rFonts w:cstheme="minorHAnsi"/>
              </w:rPr>
            </w:pPr>
            <w:r w:rsidRPr="002F4E55">
              <w:rPr>
                <w:rFonts w:cstheme="minorHAnsi"/>
              </w:rPr>
              <w:t xml:space="preserve">In exposure group 1 (defined below) and also </w:t>
            </w:r>
            <w:r>
              <w:rPr>
                <w:rFonts w:cstheme="minorHAnsi"/>
              </w:rPr>
              <w:t>receiving</w:t>
            </w:r>
            <w:r w:rsidRPr="002F4E55">
              <w:rPr>
                <w:rFonts w:cstheme="minorHAnsi"/>
              </w:rPr>
              <w:t xml:space="preserve"> chronic opioid therapy </w:t>
            </w:r>
          </w:p>
        </w:tc>
      </w:tr>
      <w:tr w:rsidR="00D0585E" w14:paraId="20738CD7"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79089A05" w14:textId="77777777" w:rsidR="00D0585E" w:rsidRDefault="00D0585E" w:rsidP="00D0585E"/>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5A09B53D" w14:textId="703226AA" w:rsidR="00D0585E" w:rsidRDefault="00D0585E" w:rsidP="00D0585E">
            <w:pPr>
              <w:spacing w:before="60" w:after="60"/>
              <w:jc w:val="center"/>
              <w:rPr>
                <w:rFonts w:cstheme="minorHAnsi"/>
              </w:rPr>
            </w:pPr>
            <w:r>
              <w:rPr>
                <w:rFonts w:cstheme="minorHAnsi"/>
              </w:rPr>
              <w:t>13</w:t>
            </w:r>
          </w:p>
        </w:tc>
        <w:tc>
          <w:tcPr>
            <w:tcW w:w="6477" w:type="dxa"/>
            <w:tcBorders>
              <w:top w:val="single" w:sz="4" w:space="0" w:color="969696"/>
              <w:bottom w:val="single" w:sz="4" w:space="0" w:color="969696"/>
            </w:tcBorders>
          </w:tcPr>
          <w:p w14:paraId="417AD614" w14:textId="42393D6C" w:rsidR="00D0585E" w:rsidRDefault="00D0585E" w:rsidP="00D0585E">
            <w:pPr>
              <w:spacing w:before="60" w:after="60"/>
              <w:rPr>
                <w:rFonts w:cstheme="minorHAnsi"/>
              </w:rPr>
            </w:pPr>
            <w:r w:rsidRPr="002F4E55">
              <w:rPr>
                <w:rFonts w:cstheme="minorHAnsi"/>
              </w:rPr>
              <w:t xml:space="preserve">In exposure group 2 (defined below) with an </w:t>
            </w:r>
            <w:r>
              <w:rPr>
                <w:rFonts w:cstheme="minorHAnsi"/>
              </w:rPr>
              <w:t>opioid agonist therapy (OAT)</w:t>
            </w:r>
            <w:r w:rsidRPr="002F4E55">
              <w:rPr>
                <w:rFonts w:cstheme="minorHAnsi"/>
              </w:rPr>
              <w:t xml:space="preserve"> prescription dispensed in the year prior to or including </w:t>
            </w:r>
            <w:r>
              <w:rPr>
                <w:rFonts w:cstheme="minorHAnsi"/>
              </w:rPr>
              <w:t>primary care provider loss</w:t>
            </w:r>
            <w:r w:rsidRPr="002F4E55">
              <w:rPr>
                <w:rFonts w:cstheme="minorHAnsi"/>
              </w:rPr>
              <w:t xml:space="preserve"> </w:t>
            </w:r>
          </w:p>
        </w:tc>
      </w:tr>
      <w:tr w:rsidR="00D0585E" w14:paraId="5DF14D79"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3D7CF9AC" w14:textId="77777777" w:rsidR="00D0585E" w:rsidRDefault="00D0585E" w:rsidP="00D0585E"/>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7E8311A6" w14:textId="6E6A14A2" w:rsidR="00D0585E" w:rsidRDefault="00D0585E" w:rsidP="00D0585E">
            <w:pPr>
              <w:spacing w:before="60" w:after="60"/>
              <w:jc w:val="center"/>
              <w:rPr>
                <w:rFonts w:cstheme="minorHAnsi"/>
              </w:rPr>
            </w:pPr>
            <w:r>
              <w:rPr>
                <w:rFonts w:cstheme="minorHAnsi"/>
              </w:rPr>
              <w:t>14</w:t>
            </w:r>
          </w:p>
        </w:tc>
        <w:tc>
          <w:tcPr>
            <w:tcW w:w="6477" w:type="dxa"/>
            <w:tcBorders>
              <w:top w:val="single" w:sz="4" w:space="0" w:color="969696"/>
              <w:bottom w:val="single" w:sz="4" w:space="0" w:color="969696"/>
            </w:tcBorders>
          </w:tcPr>
          <w:p w14:paraId="0549092A" w14:textId="0C9BF8C9" w:rsidR="00D0585E" w:rsidRPr="002F4E55" w:rsidRDefault="00D0585E" w:rsidP="00D0585E">
            <w:pPr>
              <w:spacing w:before="60" w:after="60"/>
              <w:rPr>
                <w:rFonts w:cstheme="minorHAnsi"/>
              </w:rPr>
            </w:pPr>
            <w:r w:rsidRPr="002F4E55">
              <w:rPr>
                <w:rFonts w:cstheme="minorHAnsi"/>
              </w:rPr>
              <w:t>Not defined in exposure group 1 or e</w:t>
            </w:r>
            <w:r>
              <w:rPr>
                <w:rFonts w:cstheme="minorHAnsi"/>
              </w:rPr>
              <w:t xml:space="preserve">xposure group 2 (defined below), but has </w:t>
            </w:r>
            <w:r w:rsidRPr="002F4E55">
              <w:rPr>
                <w:rFonts w:cstheme="minorHAnsi"/>
              </w:rPr>
              <w:t xml:space="preserve">a history of opioid dispensing or health services use for opioid toxicity in the 3 years prior to or including </w:t>
            </w:r>
            <w:r>
              <w:rPr>
                <w:rFonts w:cstheme="minorHAnsi"/>
              </w:rPr>
              <w:t>primary care provider loss</w:t>
            </w:r>
          </w:p>
        </w:tc>
      </w:tr>
      <w:tr w:rsidR="00D0585E" w14:paraId="322810A8"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46C564D" w14:textId="77777777" w:rsidR="00D0585E" w:rsidRDefault="00D0585E" w:rsidP="00D0585E"/>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2B37BEF6" w14:textId="1DC3E88F" w:rsidR="00D0585E" w:rsidRDefault="00D0585E" w:rsidP="00D0585E">
            <w:pPr>
              <w:spacing w:before="60" w:after="60"/>
              <w:jc w:val="center"/>
              <w:rPr>
                <w:rFonts w:cstheme="minorHAnsi"/>
              </w:rPr>
            </w:pPr>
            <w:r>
              <w:rPr>
                <w:rFonts w:cstheme="minorHAnsi"/>
              </w:rPr>
              <w:t>15</w:t>
            </w:r>
          </w:p>
        </w:tc>
        <w:tc>
          <w:tcPr>
            <w:tcW w:w="6477" w:type="dxa"/>
            <w:tcBorders>
              <w:top w:val="single" w:sz="4" w:space="0" w:color="969696"/>
              <w:bottom w:val="single" w:sz="4" w:space="0" w:color="969696"/>
            </w:tcBorders>
          </w:tcPr>
          <w:p w14:paraId="3C78CBAB" w14:textId="77607D1E" w:rsidR="00D0585E" w:rsidRDefault="00D0585E" w:rsidP="00D0585E">
            <w:pPr>
              <w:spacing w:before="60" w:after="60"/>
              <w:rPr>
                <w:rFonts w:cstheme="minorHAnsi"/>
              </w:rPr>
            </w:pPr>
            <w:r>
              <w:rPr>
                <w:rFonts w:cstheme="minorHAnsi"/>
              </w:rPr>
              <w:t xml:space="preserve">Received palliative care services in the 1 year prior to/including </w:t>
            </w:r>
            <w:r w:rsidR="00240A58">
              <w:rPr>
                <w:rFonts w:cstheme="minorHAnsi"/>
              </w:rPr>
              <w:t>date of provider loss</w:t>
            </w:r>
            <w:r>
              <w:rPr>
                <w:rFonts w:cstheme="minorHAnsi"/>
              </w:rPr>
              <w:t>:</w:t>
            </w:r>
          </w:p>
          <w:p w14:paraId="4CFBD59F" w14:textId="7976E08D" w:rsidR="00D0585E" w:rsidRPr="00955905" w:rsidRDefault="00D0585E" w:rsidP="00D0585E">
            <w:pPr>
              <w:pStyle w:val="ListParagraph"/>
              <w:numPr>
                <w:ilvl w:val="0"/>
                <w:numId w:val="42"/>
              </w:numPr>
              <w:spacing w:before="60" w:after="60"/>
              <w:rPr>
                <w:rFonts w:cstheme="minorHAnsi"/>
              </w:rPr>
            </w:pPr>
            <w:r w:rsidRPr="00955905">
              <w:rPr>
                <w:rFonts w:cstheme="minorHAnsi"/>
              </w:rPr>
              <w:t xml:space="preserve">Any CIHI-DAD hospitalization with patient service (PATSERV) = 58. </w:t>
            </w:r>
            <w:r w:rsidRPr="002A50B4">
              <w:rPr>
                <w:rFonts w:cstheme="minorHAnsi"/>
                <w:b/>
              </w:rPr>
              <w:t>OR</w:t>
            </w:r>
          </w:p>
          <w:p w14:paraId="1EE70D61" w14:textId="404FFED5" w:rsidR="00D0585E" w:rsidRPr="00955905" w:rsidRDefault="00D0585E" w:rsidP="00D0585E">
            <w:pPr>
              <w:pStyle w:val="ListParagraph"/>
              <w:numPr>
                <w:ilvl w:val="0"/>
                <w:numId w:val="42"/>
              </w:numPr>
              <w:spacing w:before="60" w:after="60"/>
              <w:rPr>
                <w:rFonts w:cstheme="minorHAnsi"/>
              </w:rPr>
            </w:pPr>
            <w:r w:rsidRPr="00955905">
              <w:rPr>
                <w:rFonts w:cstheme="minorHAnsi"/>
              </w:rPr>
              <w:t xml:space="preserve">Any OHIP billing with one of the following billing codes: OHIP FEECODE A945, B998, C945, C882, C982, K023, W872, W882, W972 or W982. </w:t>
            </w:r>
            <w:r w:rsidRPr="002A50B4">
              <w:rPr>
                <w:rFonts w:cstheme="minorHAnsi"/>
                <w:b/>
              </w:rPr>
              <w:t>OR</w:t>
            </w:r>
          </w:p>
          <w:p w14:paraId="1C28BCD1" w14:textId="32528262" w:rsidR="00D0585E" w:rsidRPr="00955905" w:rsidRDefault="00D0585E" w:rsidP="00D0585E">
            <w:pPr>
              <w:pStyle w:val="ListParagraph"/>
              <w:numPr>
                <w:ilvl w:val="0"/>
                <w:numId w:val="42"/>
              </w:numPr>
              <w:spacing w:before="60" w:after="60"/>
              <w:rPr>
                <w:rFonts w:cstheme="minorHAnsi"/>
              </w:rPr>
            </w:pPr>
            <w:r w:rsidRPr="00955905">
              <w:rPr>
                <w:rFonts w:cstheme="minorHAnsi"/>
              </w:rPr>
              <w:t xml:space="preserve">Any ALR </w:t>
            </w:r>
            <w:r w:rsidR="00720E97">
              <w:rPr>
                <w:rFonts w:cstheme="minorHAnsi"/>
              </w:rPr>
              <w:t>record</w:t>
            </w:r>
            <w:r w:rsidRPr="00955905">
              <w:rPr>
                <w:rFonts w:cstheme="minorHAnsi"/>
              </w:rPr>
              <w:t xml:space="preserve"> (use </w:t>
            </w:r>
            <w:proofErr w:type="spellStart"/>
            <w:r w:rsidRPr="00955905">
              <w:rPr>
                <w:rFonts w:cstheme="minorHAnsi"/>
              </w:rPr>
              <w:t>Visit_Date</w:t>
            </w:r>
            <w:proofErr w:type="spellEnd"/>
            <w:r w:rsidRPr="00955905">
              <w:rPr>
                <w:rFonts w:cstheme="minorHAnsi"/>
              </w:rPr>
              <w:t xml:space="preserve"> variable) with one of the following:</w:t>
            </w:r>
          </w:p>
          <w:p w14:paraId="61E05153" w14:textId="0BE9A800" w:rsidR="00D0585E" w:rsidRPr="00955905" w:rsidRDefault="00D0585E" w:rsidP="00D0585E">
            <w:pPr>
              <w:pStyle w:val="ListParagraph"/>
              <w:numPr>
                <w:ilvl w:val="1"/>
                <w:numId w:val="42"/>
              </w:numPr>
              <w:spacing w:before="60" w:after="60"/>
              <w:rPr>
                <w:rFonts w:cstheme="minorHAnsi"/>
              </w:rPr>
            </w:pPr>
            <w:proofErr w:type="spellStart"/>
            <w:r w:rsidRPr="00955905">
              <w:rPr>
                <w:rFonts w:cstheme="minorHAnsi"/>
              </w:rPr>
              <w:t>Visit_Program_Code</w:t>
            </w:r>
            <w:proofErr w:type="spellEnd"/>
            <w:r w:rsidRPr="00955905">
              <w:rPr>
                <w:rFonts w:cstheme="minorHAnsi"/>
              </w:rPr>
              <w:t>=PA (ALR Clinic Visit dataset)</w:t>
            </w:r>
          </w:p>
          <w:p w14:paraId="759CCE37" w14:textId="06ED306D" w:rsidR="00D0585E" w:rsidRPr="00955905" w:rsidRDefault="00D0585E" w:rsidP="00D0585E">
            <w:pPr>
              <w:pStyle w:val="ListParagraph"/>
              <w:numPr>
                <w:ilvl w:val="1"/>
                <w:numId w:val="42"/>
              </w:numPr>
              <w:spacing w:before="60" w:after="60"/>
              <w:rPr>
                <w:rFonts w:cstheme="minorHAnsi"/>
              </w:rPr>
            </w:pPr>
            <w:proofErr w:type="spellStart"/>
            <w:r w:rsidRPr="00955905">
              <w:rPr>
                <w:rFonts w:cstheme="minorHAnsi"/>
              </w:rPr>
              <w:t>Intent_of_systemic_treatment</w:t>
            </w:r>
            <w:proofErr w:type="spellEnd"/>
            <w:r w:rsidRPr="00955905">
              <w:rPr>
                <w:rFonts w:cstheme="minorHAnsi"/>
              </w:rPr>
              <w:t>=P (ALR Systemic dataset)</w:t>
            </w:r>
          </w:p>
          <w:p w14:paraId="14A5A7EE" w14:textId="1E2FBB83" w:rsidR="00D0585E" w:rsidRPr="00955905" w:rsidRDefault="00D0585E" w:rsidP="00D0585E">
            <w:pPr>
              <w:pStyle w:val="ListParagraph"/>
              <w:numPr>
                <w:ilvl w:val="1"/>
                <w:numId w:val="42"/>
              </w:numPr>
              <w:spacing w:before="60" w:after="60"/>
              <w:rPr>
                <w:rFonts w:cstheme="minorHAnsi"/>
              </w:rPr>
            </w:pPr>
            <w:proofErr w:type="spellStart"/>
            <w:r w:rsidRPr="00955905">
              <w:rPr>
                <w:rFonts w:cstheme="minorHAnsi"/>
              </w:rPr>
              <w:t>Intent_of_radiation</w:t>
            </w:r>
            <w:proofErr w:type="spellEnd"/>
            <w:r w:rsidRPr="00955905">
              <w:rPr>
                <w:rFonts w:cstheme="minorHAnsi"/>
              </w:rPr>
              <w:t>=P (ALR Radiation dataset)</w:t>
            </w:r>
          </w:p>
        </w:tc>
      </w:tr>
      <w:bookmarkEnd w:id="0"/>
    </w:tbl>
    <w:p w14:paraId="42E1C0B0" w14:textId="612FA33E" w:rsidR="008C541C" w:rsidRDefault="008C541C"/>
    <w:p w14:paraId="58E00967" w14:textId="77777777" w:rsidR="00F504D9" w:rsidRDefault="00F504D9"/>
    <w:tbl>
      <w:tblPr>
        <w:tblW w:w="10110"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896"/>
        <w:gridCol w:w="7199"/>
        <w:gridCol w:w="15"/>
      </w:tblGrid>
      <w:tr w:rsidR="00260402" w14:paraId="2C1A8BE2" w14:textId="77777777" w:rsidTr="00C85FB4">
        <w:trPr>
          <w:trHeight w:val="189"/>
          <w:tblHeader/>
        </w:trPr>
        <w:tc>
          <w:tcPr>
            <w:tcW w:w="10110" w:type="dxa"/>
            <w:gridSpan w:val="3"/>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2C1A8BE1" w14:textId="5AFFF04E" w:rsidR="00443C97" w:rsidRPr="00443C97" w:rsidRDefault="00532284" w:rsidP="00443C97">
            <w:pPr>
              <w:pStyle w:val="Heading2"/>
            </w:pPr>
            <w:r>
              <w:br w:type="page"/>
            </w:r>
            <w:r w:rsidR="00777861">
              <w:br w:type="page"/>
            </w:r>
            <w:r w:rsidR="00F94B24">
              <w:br w:type="page"/>
            </w:r>
            <w:r w:rsidR="006C02CA">
              <w:br w:type="page"/>
            </w:r>
            <w:r w:rsidR="00260402">
              <w:t>Variable Definitions</w:t>
            </w:r>
          </w:p>
        </w:tc>
      </w:tr>
      <w:tr w:rsidR="00684899" w:rsidRPr="002F6DB4" w14:paraId="2C1A8BE6" w14:textId="77777777" w:rsidTr="008D6CEC">
        <w:trPr>
          <w:gridAfter w:val="1"/>
          <w:wAfter w:w="15" w:type="dxa"/>
        </w:trPr>
        <w:tc>
          <w:tcPr>
            <w:tcW w:w="2896" w:type="dxa"/>
            <w:tcBorders>
              <w:top w:val="double" w:sz="4" w:space="0" w:color="auto"/>
              <w:bottom w:val="single" w:sz="4" w:space="0" w:color="999999"/>
              <w:right w:val="single" w:sz="4" w:space="0" w:color="A6A6A6" w:themeColor="background1" w:themeShade="A6"/>
            </w:tcBorders>
            <w:noWrap/>
            <w:tcMar>
              <w:top w:w="15" w:type="dxa"/>
              <w:left w:w="15" w:type="dxa"/>
              <w:bottom w:w="0" w:type="dxa"/>
              <w:right w:w="15" w:type="dxa"/>
            </w:tcMar>
          </w:tcPr>
          <w:p w14:paraId="2C1A8BE4" w14:textId="49981BB9" w:rsidR="00684899" w:rsidRPr="00FA1D90" w:rsidRDefault="00684899" w:rsidP="00D53FC3">
            <w:pPr>
              <w:rPr>
                <w:i/>
              </w:rPr>
            </w:pPr>
            <w:r w:rsidRPr="004750DC">
              <w:rPr>
                <w:b/>
              </w:rPr>
              <w:t>Main Exposure</w:t>
            </w:r>
          </w:p>
        </w:tc>
        <w:tc>
          <w:tcPr>
            <w:tcW w:w="7199" w:type="dxa"/>
            <w:tcBorders>
              <w:top w:val="double" w:sz="4" w:space="0" w:color="auto"/>
              <w:left w:val="single" w:sz="4" w:space="0" w:color="A6A6A6" w:themeColor="background1" w:themeShade="A6"/>
              <w:bottom w:val="single" w:sz="4" w:space="0" w:color="999999"/>
            </w:tcBorders>
          </w:tcPr>
          <w:p w14:paraId="2C42DDB2" w14:textId="01F2AFD6" w:rsidR="00684899" w:rsidRPr="006843DE" w:rsidRDefault="00CC2EBF" w:rsidP="007E6F15">
            <w:pPr>
              <w:pStyle w:val="ListBullet2"/>
              <w:numPr>
                <w:ilvl w:val="0"/>
                <w:numId w:val="0"/>
              </w:numPr>
              <w:rPr>
                <w:b/>
              </w:rPr>
            </w:pPr>
            <w:r w:rsidRPr="006843DE">
              <w:rPr>
                <w:b/>
              </w:rPr>
              <w:t xml:space="preserve">Among </w:t>
            </w:r>
            <w:r w:rsidR="00240A58">
              <w:rPr>
                <w:b/>
              </w:rPr>
              <w:t xml:space="preserve">the </w:t>
            </w:r>
            <w:r w:rsidR="00D0585E">
              <w:rPr>
                <w:b/>
              </w:rPr>
              <w:t>cohort,</w:t>
            </w:r>
            <w:r w:rsidRPr="006843DE">
              <w:rPr>
                <w:b/>
              </w:rPr>
              <w:t xml:space="preserve"> assign</w:t>
            </w:r>
            <w:r w:rsidR="0084018D" w:rsidRPr="006843DE">
              <w:rPr>
                <w:b/>
              </w:rPr>
              <w:t xml:space="preserve"> individuals to one of three groups based on</w:t>
            </w:r>
            <w:r w:rsidR="006402A5" w:rsidRPr="006843DE">
              <w:rPr>
                <w:b/>
              </w:rPr>
              <w:t xml:space="preserve"> their</w:t>
            </w:r>
            <w:r w:rsidR="0084018D" w:rsidRPr="006843DE">
              <w:rPr>
                <w:b/>
              </w:rPr>
              <w:t xml:space="preserve"> </w:t>
            </w:r>
            <w:r w:rsidR="00EC150C" w:rsidRPr="006843DE">
              <w:rPr>
                <w:b/>
              </w:rPr>
              <w:t xml:space="preserve">opioid </w:t>
            </w:r>
            <w:r w:rsidR="0084018D" w:rsidRPr="006843DE">
              <w:rPr>
                <w:b/>
              </w:rPr>
              <w:t xml:space="preserve">exposure on the </w:t>
            </w:r>
            <w:r w:rsidR="00D0585E">
              <w:rPr>
                <w:b/>
              </w:rPr>
              <w:t>date of primary care provider loss</w:t>
            </w:r>
            <w:r w:rsidR="006402A5" w:rsidRPr="006843DE">
              <w:rPr>
                <w:b/>
              </w:rPr>
              <w:t>:</w:t>
            </w:r>
          </w:p>
          <w:p w14:paraId="70CD4A35" w14:textId="77777777" w:rsidR="006843DE" w:rsidRDefault="006843DE" w:rsidP="00CD6D99">
            <w:pPr>
              <w:pStyle w:val="ListBullet2"/>
              <w:numPr>
                <w:ilvl w:val="0"/>
                <w:numId w:val="0"/>
              </w:numPr>
            </w:pPr>
          </w:p>
          <w:p w14:paraId="70FE81E9" w14:textId="476DE5E3" w:rsidR="006402A5" w:rsidRDefault="006402A5" w:rsidP="00091810">
            <w:pPr>
              <w:pStyle w:val="ListParagraph"/>
              <w:numPr>
                <w:ilvl w:val="0"/>
                <w:numId w:val="16"/>
              </w:numPr>
            </w:pPr>
            <w:r w:rsidRPr="002A0A64">
              <w:t>People recently dispensed a prescription for</w:t>
            </w:r>
            <w:r w:rsidR="007D39E6">
              <w:t xml:space="preserve"> opioid agonist therapy (OAT; </w:t>
            </w:r>
            <w:r w:rsidRPr="002A0A64">
              <w:t>methadone or buprenorphine/naloxone</w:t>
            </w:r>
            <w:r w:rsidR="007D39E6">
              <w:t>)</w:t>
            </w:r>
          </w:p>
          <w:p w14:paraId="393223A4" w14:textId="1E3E9C73" w:rsidR="007D39E6" w:rsidRDefault="007D39E6" w:rsidP="00091810">
            <w:pPr>
              <w:pStyle w:val="ListParagraph"/>
              <w:numPr>
                <w:ilvl w:val="1"/>
                <w:numId w:val="16"/>
              </w:numPr>
            </w:pPr>
            <w:r w:rsidRPr="007D39E6">
              <w:t xml:space="preserve">To identify prescriptions for OAT, use the ODPRN NMS master </w:t>
            </w:r>
            <w:proofErr w:type="spellStart"/>
            <w:r w:rsidRPr="007D39E6">
              <w:t>druglist</w:t>
            </w:r>
            <w:proofErr w:type="spellEnd"/>
            <w:r w:rsidRPr="007D39E6">
              <w:t xml:space="preserve"> to identify drug identification </w:t>
            </w:r>
            <w:r w:rsidR="00915D85">
              <w:t>numbers (DINs) where NMS_GROUP=</w:t>
            </w:r>
            <w:r w:rsidRPr="007D39E6">
              <w:t>‘OPIOID’ and OMT=‘Y’</w:t>
            </w:r>
            <w:r w:rsidR="005B44AF">
              <w:t xml:space="preserve">. Use </w:t>
            </w:r>
            <w:proofErr w:type="spellStart"/>
            <w:r w:rsidR="005B44AF" w:rsidRPr="005B44AF">
              <w:t>dclass</w:t>
            </w:r>
            <w:proofErr w:type="spellEnd"/>
            <w:r w:rsidR="005B44AF" w:rsidRPr="005B44AF">
              <w:t xml:space="preserve">=‘METHADONE_OMT’ for methadone, and </w:t>
            </w:r>
            <w:proofErr w:type="spellStart"/>
            <w:r w:rsidR="005B44AF" w:rsidRPr="005B44AF">
              <w:t>dclass</w:t>
            </w:r>
            <w:proofErr w:type="spellEnd"/>
            <w:r w:rsidR="005B44AF" w:rsidRPr="005B44AF">
              <w:t xml:space="preserve">=‘BUPRENORPHINE’ for </w:t>
            </w:r>
            <w:r w:rsidR="00D0585E">
              <w:t xml:space="preserve">the combination product </w:t>
            </w:r>
            <w:r w:rsidR="005B44AF" w:rsidRPr="005B44AF">
              <w:t>buprenorphine/naloxone</w:t>
            </w:r>
          </w:p>
          <w:p w14:paraId="1FE6B557" w14:textId="0DF401F9" w:rsidR="00FA43FF" w:rsidRDefault="006402A5" w:rsidP="00091810">
            <w:pPr>
              <w:pStyle w:val="ListParagraph"/>
              <w:numPr>
                <w:ilvl w:val="1"/>
                <w:numId w:val="16"/>
              </w:numPr>
            </w:pPr>
            <w:r w:rsidRPr="005B44AF">
              <w:lastRenderedPageBreak/>
              <w:t>Use NMS</w:t>
            </w:r>
            <w:r w:rsidR="007D39E6" w:rsidRPr="005B44AF">
              <w:t xml:space="preserve"> to</w:t>
            </w:r>
            <w:r w:rsidRPr="005B44AF">
              <w:t xml:space="preserve"> capture any </w:t>
            </w:r>
            <w:r w:rsidR="005B44AF">
              <w:t>methadone claim dispensed</w:t>
            </w:r>
            <w:r w:rsidRPr="005B44AF">
              <w:t xml:space="preserve"> in the </w:t>
            </w:r>
            <w:r w:rsidRPr="005B44AF">
              <w:rPr>
                <w:u w:val="single"/>
              </w:rPr>
              <w:t xml:space="preserve">14 days prior to </w:t>
            </w:r>
            <w:r w:rsidR="00915D85" w:rsidRPr="005B44AF">
              <w:rPr>
                <w:u w:val="single"/>
              </w:rPr>
              <w:t>or</w:t>
            </w:r>
            <w:r w:rsidRPr="005B44AF">
              <w:rPr>
                <w:u w:val="single"/>
              </w:rPr>
              <w:t xml:space="preserve"> including</w:t>
            </w:r>
            <w:r w:rsidRPr="005B44AF">
              <w:t xml:space="preserve"> </w:t>
            </w:r>
            <w:r w:rsidR="00915D85" w:rsidRPr="005B44AF">
              <w:t xml:space="preserve">the </w:t>
            </w:r>
            <w:r w:rsidR="00D0585E">
              <w:t>date of primary care provider loss</w:t>
            </w:r>
          </w:p>
          <w:p w14:paraId="3AE0ACBE" w14:textId="71C61DCE" w:rsidR="005B44AF" w:rsidRDefault="005B44AF" w:rsidP="00091810">
            <w:pPr>
              <w:pStyle w:val="ListParagraph"/>
              <w:numPr>
                <w:ilvl w:val="1"/>
                <w:numId w:val="16"/>
              </w:numPr>
            </w:pPr>
            <w:r>
              <w:t xml:space="preserve">Use NMS to extract buprenorphine/naloxone claims dispensed in the 30 days prior to or including </w:t>
            </w:r>
            <w:r w:rsidR="00D0585E">
              <w:t>the date of primary care provider loss</w:t>
            </w:r>
            <w:r w:rsidR="007A5AFC">
              <w:t xml:space="preserve"> that also have</w:t>
            </w:r>
            <w:r>
              <w:t xml:space="preserve"> a days’ supply overlapping the </w:t>
            </w:r>
            <w:r w:rsidRPr="005B44AF">
              <w:rPr>
                <w:u w:val="single"/>
              </w:rPr>
              <w:t>14 days prior to or including</w:t>
            </w:r>
            <w:r>
              <w:t xml:space="preserve"> the </w:t>
            </w:r>
            <w:r w:rsidR="00D0585E">
              <w:t>date of primary care provider loss</w:t>
            </w:r>
          </w:p>
          <w:p w14:paraId="757BEE2B" w14:textId="1F67CD32" w:rsidR="00F12C80" w:rsidRDefault="00F12C80" w:rsidP="00091810">
            <w:pPr>
              <w:pStyle w:val="ListParagraph"/>
              <w:numPr>
                <w:ilvl w:val="2"/>
                <w:numId w:val="16"/>
              </w:numPr>
            </w:pPr>
            <w:r>
              <w:t xml:space="preserve">We checked the days’ supply of buprenorphine/naloxone prescriptions dispensed in the 90 days prior to or including the </w:t>
            </w:r>
            <w:r w:rsidR="00D0585E">
              <w:t xml:space="preserve">date of primary care provider loss </w:t>
            </w:r>
            <w:r>
              <w:t xml:space="preserve">and found that 99.27% had a days’ supply of 14 or less, and </w:t>
            </w:r>
            <w:r w:rsidRPr="00F12C80">
              <w:t>99.93</w:t>
            </w:r>
            <w:r>
              <w:t xml:space="preserve">% had a days’ supply of 30 or less. </w:t>
            </w:r>
            <w:r w:rsidRPr="00F12C80">
              <w:t>30 days was</w:t>
            </w:r>
            <w:r>
              <w:t xml:space="preserve"> therefore</w:t>
            </w:r>
            <w:r w:rsidRPr="00F12C80">
              <w:t xml:space="preserve"> chosen </w:t>
            </w:r>
            <w:r>
              <w:t>as the lookback period since almost all dispensed buprenorphine/naloxone prescriptions have a days’ supply within this period</w:t>
            </w:r>
          </w:p>
          <w:p w14:paraId="6C37B0DB" w14:textId="2DD637AF" w:rsidR="00091810" w:rsidRPr="005B44AF" w:rsidRDefault="00091810" w:rsidP="00091810">
            <w:pPr>
              <w:pStyle w:val="ListParagraph"/>
              <w:numPr>
                <w:ilvl w:val="1"/>
                <w:numId w:val="16"/>
              </w:numPr>
            </w:pPr>
            <w:r w:rsidRPr="002A0A64">
              <w:t xml:space="preserve">Exclude individuals </w:t>
            </w:r>
            <w:r>
              <w:t>meeting the above criteria that are also captured in group 2 below (exclusion 12)</w:t>
            </w:r>
          </w:p>
          <w:p w14:paraId="6ECAB8DC" w14:textId="0D676C3B" w:rsidR="006402A5" w:rsidRDefault="00B259D4" w:rsidP="00091810">
            <w:pPr>
              <w:pStyle w:val="ListParagraph"/>
              <w:numPr>
                <w:ilvl w:val="1"/>
                <w:numId w:val="16"/>
              </w:numPr>
            </w:pPr>
            <w:r>
              <w:t xml:space="preserve">Individuals </w:t>
            </w:r>
            <w:r w:rsidR="007A5AFC">
              <w:t>meeting these criteria will</w:t>
            </w:r>
            <w:r>
              <w:t xml:space="preserve"> be defined </w:t>
            </w:r>
            <w:r w:rsidR="00B3627D">
              <w:t>as</w:t>
            </w:r>
            <w:r>
              <w:t xml:space="preserve"> exposure group 1</w:t>
            </w:r>
            <w:r w:rsidR="00DA7DB6">
              <w:t xml:space="preserve"> – OAT recipients</w:t>
            </w:r>
          </w:p>
          <w:p w14:paraId="763BD027" w14:textId="77777777" w:rsidR="006843DE" w:rsidRDefault="006843DE" w:rsidP="006843DE">
            <w:pPr>
              <w:pStyle w:val="ListParagraph"/>
              <w:spacing w:line="259" w:lineRule="auto"/>
              <w:ind w:left="1440"/>
            </w:pPr>
          </w:p>
          <w:p w14:paraId="397DD111" w14:textId="3F449508" w:rsidR="006402A5" w:rsidRPr="00540E0C" w:rsidRDefault="006402A5" w:rsidP="00091810">
            <w:pPr>
              <w:pStyle w:val="ListParagraph"/>
              <w:numPr>
                <w:ilvl w:val="0"/>
                <w:numId w:val="16"/>
              </w:numPr>
              <w:spacing w:line="259" w:lineRule="auto"/>
            </w:pPr>
            <w:r w:rsidRPr="00540E0C">
              <w:t xml:space="preserve">People </w:t>
            </w:r>
            <w:r w:rsidR="00091810">
              <w:t xml:space="preserve">receiving long-term therapy </w:t>
            </w:r>
            <w:r w:rsidRPr="00540E0C">
              <w:t>with opioids</w:t>
            </w:r>
            <w:r w:rsidR="00915D85" w:rsidRPr="00540E0C">
              <w:t xml:space="preserve"> for pain</w:t>
            </w:r>
          </w:p>
          <w:p w14:paraId="6F35F510" w14:textId="3740D868" w:rsidR="00915D85" w:rsidRPr="00540E0C" w:rsidRDefault="00915D85" w:rsidP="00091810">
            <w:pPr>
              <w:pStyle w:val="ListParagraph"/>
              <w:numPr>
                <w:ilvl w:val="1"/>
                <w:numId w:val="16"/>
              </w:numPr>
            </w:pPr>
            <w:r w:rsidRPr="00540E0C">
              <w:t xml:space="preserve">To identify prescription opioids for pain, use the ODPRN NMS master </w:t>
            </w:r>
            <w:proofErr w:type="spellStart"/>
            <w:r w:rsidRPr="00540E0C">
              <w:t>druglist</w:t>
            </w:r>
            <w:proofErr w:type="spellEnd"/>
            <w:r w:rsidRPr="00540E0C">
              <w:t xml:space="preserve"> to identify DINs where NMS_GROUP=‘OPIOID’, OMT=‘N’, </w:t>
            </w:r>
            <w:proofErr w:type="spellStart"/>
            <w:r w:rsidRPr="00540E0C">
              <w:t>dclass</w:t>
            </w:r>
            <w:proofErr w:type="spellEnd"/>
            <w:r w:rsidRPr="00540E0C">
              <w:t xml:space="preserve">^=(‘EXCL’, ‘COUGH’), and </w:t>
            </w:r>
            <w:proofErr w:type="spellStart"/>
            <w:r w:rsidRPr="00540E0C">
              <w:t>dclass_broad</w:t>
            </w:r>
            <w:proofErr w:type="spellEnd"/>
            <w:r w:rsidRPr="00540E0C">
              <w:t>^=(‘RUNS’, ‘MAID’).</w:t>
            </w:r>
          </w:p>
          <w:p w14:paraId="55FC02E9" w14:textId="729936CD" w:rsidR="00915D85" w:rsidRDefault="00915D85" w:rsidP="00091810">
            <w:pPr>
              <w:pStyle w:val="ListParagraph"/>
              <w:numPr>
                <w:ilvl w:val="1"/>
                <w:numId w:val="16"/>
              </w:numPr>
            </w:pPr>
            <w:r w:rsidRPr="00540E0C">
              <w:t xml:space="preserve">Use NMS to capture prescription opioid claims dispensed </w:t>
            </w:r>
            <w:r w:rsidR="006402A5" w:rsidRPr="00540E0C">
              <w:t xml:space="preserve">in the </w:t>
            </w:r>
            <w:r w:rsidR="00540E0C">
              <w:rPr>
                <w:u w:val="single"/>
              </w:rPr>
              <w:t>19</w:t>
            </w:r>
            <w:r w:rsidR="006402A5" w:rsidRPr="00540E0C">
              <w:rPr>
                <w:u w:val="single"/>
              </w:rPr>
              <w:t>0</w:t>
            </w:r>
            <w:r w:rsidR="006402A5" w:rsidRPr="00B259D4">
              <w:rPr>
                <w:u w:val="single"/>
              </w:rPr>
              <w:t xml:space="preserve"> days prior to </w:t>
            </w:r>
            <w:r w:rsidRPr="00B259D4">
              <w:rPr>
                <w:u w:val="single"/>
              </w:rPr>
              <w:t>or</w:t>
            </w:r>
            <w:r w:rsidR="006402A5" w:rsidRPr="00B259D4">
              <w:rPr>
                <w:u w:val="single"/>
              </w:rPr>
              <w:t xml:space="preserve"> including</w:t>
            </w:r>
            <w:r w:rsidR="006402A5" w:rsidRPr="00901982">
              <w:t xml:space="preserve"> </w:t>
            </w:r>
            <w:r>
              <w:t xml:space="preserve">the </w:t>
            </w:r>
            <w:r w:rsidR="00091810">
              <w:t>date of primary care provider loss</w:t>
            </w:r>
            <w:r w:rsidR="0059593D">
              <w:t xml:space="preserve"> (</w:t>
            </w:r>
            <w:r w:rsidR="00091810">
              <w:t xml:space="preserve">so that there is a </w:t>
            </w:r>
            <w:r w:rsidR="0059593D">
              <w:t xml:space="preserve">100 day period to review use of prescription opioids, </w:t>
            </w:r>
            <w:r w:rsidR="00091810">
              <w:t>and</w:t>
            </w:r>
            <w:r w:rsidR="0059593D">
              <w:t xml:space="preserve"> 90 days </w:t>
            </w:r>
            <w:r w:rsidR="00091810">
              <w:t xml:space="preserve">prior to that </w:t>
            </w:r>
            <w:r w:rsidR="0059593D">
              <w:t>to assess prior prescriptions</w:t>
            </w:r>
            <w:r w:rsidR="00091810">
              <w:t xml:space="preserve"> dispensed that overlap the</w:t>
            </w:r>
            <w:r w:rsidR="0059593D">
              <w:t xml:space="preserve"> 100 day review period)</w:t>
            </w:r>
          </w:p>
          <w:p w14:paraId="2ACA4C1F" w14:textId="62155332" w:rsidR="006402A5" w:rsidRPr="00A05A0B" w:rsidRDefault="00915D85" w:rsidP="00091810">
            <w:pPr>
              <w:pStyle w:val="ListParagraph"/>
              <w:numPr>
                <w:ilvl w:val="1"/>
                <w:numId w:val="16"/>
              </w:numPr>
            </w:pPr>
            <w:r w:rsidRPr="00A05A0B">
              <w:t xml:space="preserve">People </w:t>
            </w:r>
            <w:r w:rsidR="00091810">
              <w:t>receiving long-term therapy with opioids for pain</w:t>
            </w:r>
            <w:r w:rsidR="006402A5" w:rsidRPr="00A05A0B">
              <w:t xml:space="preserve"> will be defined as individuals who had 90</w:t>
            </w:r>
            <w:r w:rsidR="00B31496" w:rsidRPr="00A05A0B">
              <w:t xml:space="preserve"> unique</w:t>
            </w:r>
            <w:r w:rsidR="006402A5" w:rsidRPr="00A05A0B">
              <w:t xml:space="preserve"> days</w:t>
            </w:r>
            <w:r w:rsidR="00B31496" w:rsidRPr="00A05A0B">
              <w:t xml:space="preserve"> </w:t>
            </w:r>
            <w:r w:rsidR="00091810">
              <w:t xml:space="preserve">covered with prescription opioid use </w:t>
            </w:r>
            <w:r w:rsidR="006402A5" w:rsidRPr="00A05A0B">
              <w:t xml:space="preserve">in </w:t>
            </w:r>
            <w:r w:rsidR="00540E0C" w:rsidRPr="00A05A0B">
              <w:t>the</w:t>
            </w:r>
            <w:r w:rsidR="006402A5" w:rsidRPr="00A05A0B">
              <w:t xml:space="preserve"> 100 day</w:t>
            </w:r>
            <w:r w:rsidR="00540E0C" w:rsidRPr="00A05A0B">
              <w:t xml:space="preserve">s prior to or including the </w:t>
            </w:r>
            <w:r w:rsidR="00240A58">
              <w:rPr>
                <w:rFonts w:cstheme="minorHAnsi"/>
              </w:rPr>
              <w:t>date of provider loss</w:t>
            </w:r>
            <w:r w:rsidR="00091810">
              <w:t>, determined based on days’ supply on claims dispensed in the 190 day period</w:t>
            </w:r>
          </w:p>
          <w:p w14:paraId="2DD71E06" w14:textId="6D7B0C46" w:rsidR="006402A5" w:rsidRDefault="006402A5" w:rsidP="00091810">
            <w:pPr>
              <w:pStyle w:val="ListParagraph"/>
              <w:numPr>
                <w:ilvl w:val="1"/>
                <w:numId w:val="16"/>
              </w:numPr>
            </w:pPr>
            <w:r w:rsidRPr="002A0A64">
              <w:t xml:space="preserve">Exclude individuals with an OAT prescription dispensed in the </w:t>
            </w:r>
            <w:r w:rsidRPr="00CB5C3C">
              <w:rPr>
                <w:u w:val="single"/>
              </w:rPr>
              <w:t xml:space="preserve">year prior to </w:t>
            </w:r>
            <w:r w:rsidR="00CB5C3C" w:rsidRPr="00CB5C3C">
              <w:rPr>
                <w:u w:val="single"/>
              </w:rPr>
              <w:t>or</w:t>
            </w:r>
            <w:r w:rsidRPr="00CB5C3C">
              <w:rPr>
                <w:u w:val="single"/>
              </w:rPr>
              <w:t xml:space="preserve"> including </w:t>
            </w:r>
            <w:r w:rsidR="007A5AFC" w:rsidRPr="007A5AFC">
              <w:t xml:space="preserve">the </w:t>
            </w:r>
            <w:r w:rsidR="00240A58">
              <w:rPr>
                <w:rFonts w:cstheme="minorHAnsi"/>
              </w:rPr>
              <w:t>date of provider loss</w:t>
            </w:r>
            <w:r w:rsidRPr="002A0A64">
              <w:t xml:space="preserve"> </w:t>
            </w:r>
            <w:r w:rsidR="00091810">
              <w:t>(exclusion 13)</w:t>
            </w:r>
          </w:p>
          <w:p w14:paraId="3F88D3B2" w14:textId="04350427" w:rsidR="00E93A75" w:rsidRDefault="00B259D4" w:rsidP="00091810">
            <w:pPr>
              <w:pStyle w:val="ListParagraph"/>
              <w:numPr>
                <w:ilvl w:val="1"/>
                <w:numId w:val="16"/>
              </w:numPr>
            </w:pPr>
            <w:r>
              <w:t xml:space="preserve">Individuals who meet </w:t>
            </w:r>
            <w:r w:rsidR="00A2154D">
              <w:t>these</w:t>
            </w:r>
            <w:r>
              <w:t xml:space="preserve"> criteria will be defined</w:t>
            </w:r>
            <w:r w:rsidR="00B3627D">
              <w:t xml:space="preserve"> as</w:t>
            </w:r>
            <w:r>
              <w:t xml:space="preserve"> exposure group 2</w:t>
            </w:r>
            <w:r w:rsidR="00091810">
              <w:t xml:space="preserve"> – long-term opioid pain therapy recipients </w:t>
            </w:r>
          </w:p>
          <w:p w14:paraId="12766FEC" w14:textId="77777777" w:rsidR="006843DE" w:rsidRPr="002A0A64" w:rsidRDefault="006843DE" w:rsidP="006843DE">
            <w:pPr>
              <w:pStyle w:val="ListParagraph"/>
              <w:spacing w:line="259" w:lineRule="auto"/>
              <w:ind w:left="1440"/>
            </w:pPr>
          </w:p>
          <w:p w14:paraId="4F7A154A" w14:textId="15AAA377" w:rsidR="000D2DF7" w:rsidRPr="00A05A0B" w:rsidRDefault="00C73780" w:rsidP="00091810">
            <w:pPr>
              <w:pStyle w:val="ListParagraph"/>
              <w:numPr>
                <w:ilvl w:val="0"/>
                <w:numId w:val="16"/>
              </w:numPr>
              <w:spacing w:after="200" w:line="259" w:lineRule="auto"/>
            </w:pPr>
            <w:r>
              <w:t xml:space="preserve">People without a </w:t>
            </w:r>
            <w:r w:rsidR="006402A5" w:rsidRPr="00A05A0B">
              <w:t xml:space="preserve">history of opioid dispensing </w:t>
            </w:r>
            <w:r>
              <w:t>or health services use for opioid toxicity</w:t>
            </w:r>
            <w:r w:rsidR="008F5974">
              <w:t xml:space="preserve"> </w:t>
            </w:r>
            <w:r>
              <w:t xml:space="preserve">in </w:t>
            </w:r>
            <w:r w:rsidR="006402A5" w:rsidRPr="00A05A0B">
              <w:t xml:space="preserve">the </w:t>
            </w:r>
            <w:r w:rsidR="00257743">
              <w:t xml:space="preserve">3 </w:t>
            </w:r>
            <w:r w:rsidR="006402A5" w:rsidRPr="00A05A0B">
              <w:t>year</w:t>
            </w:r>
            <w:r w:rsidR="00257743">
              <w:t>s</w:t>
            </w:r>
            <w:r w:rsidR="006402A5" w:rsidRPr="00A05A0B">
              <w:t xml:space="preserve"> prior to </w:t>
            </w:r>
            <w:r w:rsidR="000D2DF7" w:rsidRPr="00A05A0B">
              <w:t>or</w:t>
            </w:r>
            <w:r w:rsidR="004F6E76" w:rsidRPr="00A05A0B">
              <w:t xml:space="preserve"> including </w:t>
            </w:r>
            <w:r w:rsidR="00240A58">
              <w:t xml:space="preserve">the </w:t>
            </w:r>
            <w:r w:rsidR="00240A58">
              <w:rPr>
                <w:rFonts w:cstheme="minorHAnsi"/>
              </w:rPr>
              <w:t>date of provider loss</w:t>
            </w:r>
          </w:p>
          <w:p w14:paraId="10D1052E" w14:textId="6AACEB2A" w:rsidR="000D2DF7" w:rsidRDefault="000D2DF7" w:rsidP="00091810">
            <w:pPr>
              <w:pStyle w:val="ListParagraph"/>
              <w:numPr>
                <w:ilvl w:val="1"/>
                <w:numId w:val="16"/>
              </w:numPr>
              <w:spacing w:after="200"/>
            </w:pPr>
            <w:r>
              <w:t xml:space="preserve">To identify claims for prescription opioids for any indication, use the ODPRN </w:t>
            </w:r>
            <w:r w:rsidRPr="000D2DF7">
              <w:t xml:space="preserve">NMS master </w:t>
            </w:r>
            <w:proofErr w:type="spellStart"/>
            <w:r w:rsidRPr="000D2DF7">
              <w:t>druglist</w:t>
            </w:r>
            <w:proofErr w:type="spellEnd"/>
            <w:r w:rsidRPr="000D2DF7">
              <w:t xml:space="preserve"> to identify DINs where NMS_GROUP=‘OPIOID’</w:t>
            </w:r>
          </w:p>
          <w:p w14:paraId="7623FB6B" w14:textId="603D8FBC" w:rsidR="00CB7081" w:rsidRDefault="00CB7081" w:rsidP="00091810">
            <w:pPr>
              <w:pStyle w:val="ListParagraph"/>
              <w:numPr>
                <w:ilvl w:val="1"/>
                <w:numId w:val="16"/>
              </w:numPr>
              <w:spacing w:after="200"/>
            </w:pPr>
            <w:r>
              <w:t>Use NMS to capture prescription opioid claims dispensed</w:t>
            </w:r>
            <w:r w:rsidR="00192CE5">
              <w:t xml:space="preserve"> to individuals in the study cohort</w:t>
            </w:r>
            <w:r>
              <w:t xml:space="preserve"> in the </w:t>
            </w:r>
            <w:r w:rsidR="008F5974">
              <w:rPr>
                <w:u w:val="single"/>
              </w:rPr>
              <w:t>3</w:t>
            </w:r>
            <w:r w:rsidR="00C73780" w:rsidRPr="00C73780">
              <w:rPr>
                <w:u w:val="single"/>
              </w:rPr>
              <w:t xml:space="preserve"> </w:t>
            </w:r>
            <w:r w:rsidR="009339C8" w:rsidRPr="009339C8">
              <w:rPr>
                <w:u w:val="single"/>
              </w:rPr>
              <w:t>year</w:t>
            </w:r>
            <w:r w:rsidR="008F5974">
              <w:rPr>
                <w:u w:val="single"/>
              </w:rPr>
              <w:t>s</w:t>
            </w:r>
            <w:r w:rsidRPr="00B259D4">
              <w:rPr>
                <w:u w:val="single"/>
              </w:rPr>
              <w:t xml:space="preserve"> prior to or including</w:t>
            </w:r>
            <w:r>
              <w:t xml:space="preserve"> the </w:t>
            </w:r>
            <w:r w:rsidR="00383079">
              <w:t>date of primary care provider loss</w:t>
            </w:r>
          </w:p>
          <w:p w14:paraId="5C3346BD" w14:textId="181E4E16" w:rsidR="00B31496" w:rsidRDefault="00C73780" w:rsidP="00091810">
            <w:pPr>
              <w:pStyle w:val="ListParagraph"/>
              <w:numPr>
                <w:ilvl w:val="1"/>
                <w:numId w:val="16"/>
              </w:numPr>
            </w:pPr>
            <w:r>
              <w:t>Use DAD and NACRS to identify e</w:t>
            </w:r>
            <w:r w:rsidR="00A05A0B">
              <w:t>mergency department</w:t>
            </w:r>
            <w:r w:rsidR="0092303D">
              <w:t xml:space="preserve"> (ED)</w:t>
            </w:r>
            <w:r w:rsidR="00A05A0B">
              <w:t xml:space="preserve"> visit</w:t>
            </w:r>
            <w:r>
              <w:t>s</w:t>
            </w:r>
            <w:r w:rsidR="00A05A0B">
              <w:t xml:space="preserve"> </w:t>
            </w:r>
            <w:r>
              <w:t>and</w:t>
            </w:r>
            <w:r w:rsidR="00A05A0B">
              <w:t xml:space="preserve"> hospitalization</w:t>
            </w:r>
            <w:r>
              <w:t>s</w:t>
            </w:r>
            <w:r w:rsidR="00A05A0B">
              <w:t xml:space="preserve"> for opioid toxicity</w:t>
            </w:r>
            <w:r w:rsidR="00192CE5">
              <w:t xml:space="preserve"> among individuals </w:t>
            </w:r>
            <w:r w:rsidR="00A05A0B">
              <w:t xml:space="preserve">in the </w:t>
            </w:r>
            <w:r w:rsidR="008F5974">
              <w:rPr>
                <w:u w:val="single"/>
              </w:rPr>
              <w:t>3</w:t>
            </w:r>
            <w:r w:rsidR="00A05A0B" w:rsidRPr="00115A0E">
              <w:rPr>
                <w:u w:val="single"/>
              </w:rPr>
              <w:t xml:space="preserve"> year</w:t>
            </w:r>
            <w:r w:rsidR="00257743">
              <w:rPr>
                <w:u w:val="single"/>
              </w:rPr>
              <w:t>s</w:t>
            </w:r>
            <w:r w:rsidR="00A05A0B" w:rsidRPr="00115A0E">
              <w:rPr>
                <w:u w:val="single"/>
              </w:rPr>
              <w:t xml:space="preserve"> prior to</w:t>
            </w:r>
            <w:r w:rsidR="006843DE" w:rsidRPr="00115A0E">
              <w:rPr>
                <w:u w:val="single"/>
              </w:rPr>
              <w:t xml:space="preserve"> or including</w:t>
            </w:r>
            <w:r w:rsidR="00A05A0B">
              <w:t xml:space="preserve"> </w:t>
            </w:r>
            <w:r w:rsidR="00383079">
              <w:t>the date of primary care provider loss</w:t>
            </w:r>
            <w:r w:rsidR="00A05A0B">
              <w:t xml:space="preserve"> (</w:t>
            </w:r>
            <w:r w:rsidR="00A05A0B" w:rsidRPr="00A05A0B">
              <w:t xml:space="preserve">See </w:t>
            </w:r>
            <w:hyperlink w:anchor="_Appendix_A:_Codes" w:history="1">
              <w:r w:rsidR="00A05A0B" w:rsidRPr="00192CE5">
                <w:rPr>
                  <w:rStyle w:val="Hyperlink"/>
                </w:rPr>
                <w:t>Appendix A</w:t>
              </w:r>
            </w:hyperlink>
            <w:r w:rsidR="00A05A0B" w:rsidRPr="00A05A0B">
              <w:t xml:space="preserve"> for diagnosis codes</w:t>
            </w:r>
            <w:r w:rsidR="00A05A0B">
              <w:t>)</w:t>
            </w:r>
          </w:p>
          <w:p w14:paraId="2C1A8BE5" w14:textId="75D555CB" w:rsidR="00A05A0B" w:rsidRPr="0021258D" w:rsidRDefault="00C73780" w:rsidP="00383079">
            <w:pPr>
              <w:pStyle w:val="ListParagraph"/>
              <w:numPr>
                <w:ilvl w:val="1"/>
                <w:numId w:val="16"/>
              </w:numPr>
            </w:pPr>
            <w:r>
              <w:lastRenderedPageBreak/>
              <w:t>Individuals</w:t>
            </w:r>
            <w:r w:rsidRPr="00C73780">
              <w:t xml:space="preserve"> </w:t>
            </w:r>
            <w:r w:rsidRPr="00C73780">
              <w:rPr>
                <w:b/>
              </w:rPr>
              <w:t>without</w:t>
            </w:r>
            <w:r w:rsidRPr="00C73780">
              <w:t xml:space="preserve"> a claim for a prescription opioid</w:t>
            </w:r>
            <w:r w:rsidR="00115A0E">
              <w:t xml:space="preserve"> </w:t>
            </w:r>
            <w:r w:rsidR="00115A0E">
              <w:rPr>
                <w:b/>
              </w:rPr>
              <w:t>AND</w:t>
            </w:r>
            <w:r w:rsidR="00115A0E">
              <w:t xml:space="preserve"> </w:t>
            </w:r>
            <w:r w:rsidR="00115A0E" w:rsidRPr="00115A0E">
              <w:rPr>
                <w:b/>
              </w:rPr>
              <w:t>without</w:t>
            </w:r>
            <w:r>
              <w:t xml:space="preserve"> an ED visit or hospitalization for opioid toxicity </w:t>
            </w:r>
            <w:r w:rsidRPr="00C73780">
              <w:t>in th</w:t>
            </w:r>
            <w:r>
              <w:t xml:space="preserve">e </w:t>
            </w:r>
            <w:r w:rsidR="00257743">
              <w:rPr>
                <w:u w:val="single"/>
              </w:rPr>
              <w:t>3</w:t>
            </w:r>
            <w:r w:rsidRPr="00115A0E">
              <w:rPr>
                <w:u w:val="single"/>
              </w:rPr>
              <w:t xml:space="preserve"> year</w:t>
            </w:r>
            <w:r w:rsidR="00257743">
              <w:rPr>
                <w:u w:val="single"/>
              </w:rPr>
              <w:t>s</w:t>
            </w:r>
            <w:r w:rsidRPr="00115A0E">
              <w:rPr>
                <w:u w:val="single"/>
              </w:rPr>
              <w:t xml:space="preserve"> prior to</w:t>
            </w:r>
            <w:r w:rsidR="006843DE" w:rsidRPr="00115A0E">
              <w:rPr>
                <w:u w:val="single"/>
              </w:rPr>
              <w:t xml:space="preserve"> or including</w:t>
            </w:r>
            <w:r>
              <w:t xml:space="preserve"> </w:t>
            </w:r>
            <w:r w:rsidR="00383079">
              <w:t>primary care provider loss</w:t>
            </w:r>
            <w:r>
              <w:t xml:space="preserve"> </w:t>
            </w:r>
            <w:r w:rsidR="00A05A0B" w:rsidRPr="00A05A0B">
              <w:t xml:space="preserve">will be defined as exposure group </w:t>
            </w:r>
            <w:r w:rsidR="00A05A0B">
              <w:t>3</w:t>
            </w:r>
          </w:p>
        </w:tc>
      </w:tr>
      <w:tr w:rsidR="00684899" w:rsidRPr="002F6DB4" w14:paraId="2C1A8BEA" w14:textId="77777777" w:rsidTr="008D6CEC">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2C1A8BE8" w14:textId="483A9521" w:rsidR="00684899" w:rsidRPr="00FA1D90" w:rsidRDefault="006628C2" w:rsidP="006628C2">
            <w:pPr>
              <w:rPr>
                <w:i/>
              </w:rPr>
            </w:pPr>
            <w:r>
              <w:rPr>
                <w:b/>
              </w:rPr>
              <w:lastRenderedPageBreak/>
              <w:t>Primary Outcome Definition</w:t>
            </w:r>
          </w:p>
        </w:tc>
        <w:tc>
          <w:tcPr>
            <w:tcW w:w="7199" w:type="dxa"/>
            <w:tcBorders>
              <w:top w:val="single" w:sz="4" w:space="0" w:color="999999"/>
              <w:left w:val="single" w:sz="4" w:space="0" w:color="A6A6A6" w:themeColor="background1" w:themeShade="A6"/>
              <w:bottom w:val="single" w:sz="4" w:space="0" w:color="999999"/>
            </w:tcBorders>
          </w:tcPr>
          <w:p w14:paraId="244B7425" w14:textId="3ACFE54D" w:rsidR="0077789B" w:rsidRDefault="0077789B" w:rsidP="00AC2EF4">
            <w:r>
              <w:t>The primary outcome</w:t>
            </w:r>
            <w:r w:rsidR="00883F66">
              <w:t xml:space="preserve"> is securing a new primary care provider, and</w:t>
            </w:r>
            <w:r>
              <w:t xml:space="preserve"> is a </w:t>
            </w:r>
            <w:r w:rsidR="0037543F">
              <w:t xml:space="preserve">hierarchical, </w:t>
            </w:r>
            <w:r>
              <w:t xml:space="preserve">composite outcome consisting of: </w:t>
            </w:r>
          </w:p>
          <w:p w14:paraId="663922D8" w14:textId="499BFDB7" w:rsidR="007C28C9" w:rsidRPr="00283FAC" w:rsidRDefault="00712F49" w:rsidP="00283FAC">
            <w:pPr>
              <w:pStyle w:val="ListParagraph"/>
              <w:numPr>
                <w:ilvl w:val="0"/>
                <w:numId w:val="23"/>
              </w:numPr>
              <w:rPr>
                <w:u w:val="single"/>
              </w:rPr>
            </w:pPr>
            <w:r>
              <w:t xml:space="preserve">1) </w:t>
            </w:r>
            <w:r w:rsidR="0037543F" w:rsidRPr="0037543F">
              <w:t>First instance of r</w:t>
            </w:r>
            <w:r w:rsidR="007C28C9" w:rsidRPr="0037543F">
              <w:t>e-enrolment with a primary care provider in CAPE</w:t>
            </w:r>
            <w:r w:rsidR="00014805" w:rsidRPr="0037543F">
              <w:t>,</w:t>
            </w:r>
            <w:r w:rsidR="007C28C9" w:rsidRPr="0037543F">
              <w:t xml:space="preserve"> </w:t>
            </w:r>
            <w:r w:rsidR="00883F66" w:rsidRPr="0037543F">
              <w:t xml:space="preserve"> </w:t>
            </w:r>
            <w:r w:rsidR="0077789B" w:rsidRPr="0037543F">
              <w:t xml:space="preserve">2) </w:t>
            </w:r>
            <w:r w:rsidR="00F31D27">
              <w:t xml:space="preserve">first </w:t>
            </w:r>
            <w:r w:rsidR="007C28C9" w:rsidRPr="0037543F">
              <w:t xml:space="preserve">indication of </w:t>
            </w:r>
            <w:r w:rsidR="00F31D27">
              <w:t>3</w:t>
            </w:r>
            <w:r w:rsidR="00974AAB">
              <w:t xml:space="preserve"> or more</w:t>
            </w:r>
            <w:r w:rsidR="00F31D27">
              <w:t xml:space="preserve"> </w:t>
            </w:r>
            <w:r w:rsidR="007A5AFC" w:rsidRPr="0037543F">
              <w:t>visits</w:t>
            </w:r>
            <w:r w:rsidR="007C28C9" w:rsidRPr="0037543F">
              <w:t xml:space="preserve"> with</w:t>
            </w:r>
            <w:r w:rsidR="00014805" w:rsidRPr="0037543F">
              <w:t xml:space="preserve"> a</w:t>
            </w:r>
            <w:r w:rsidR="007C28C9" w:rsidRPr="0037543F">
              <w:t xml:space="preserve"> </w:t>
            </w:r>
            <w:r w:rsidR="00014805" w:rsidRPr="0037543F">
              <w:t>primary care</w:t>
            </w:r>
            <w:r w:rsidR="007C28C9" w:rsidRPr="0037543F">
              <w:t xml:space="preserve"> provider</w:t>
            </w:r>
            <w:r w:rsidR="0037543F" w:rsidRPr="0037543F">
              <w:t xml:space="preserve"> (physician or nurse practitioner) through a </w:t>
            </w:r>
            <w:r w:rsidR="00383079">
              <w:t xml:space="preserve">community health </w:t>
            </w:r>
            <w:proofErr w:type="spellStart"/>
            <w:r w:rsidR="00383079">
              <w:t>centre</w:t>
            </w:r>
            <w:proofErr w:type="spellEnd"/>
            <w:r w:rsidR="00383079">
              <w:t xml:space="preserve"> (CHC)</w:t>
            </w:r>
            <w:r w:rsidR="0037543F" w:rsidRPr="0037543F">
              <w:t xml:space="preserve">, or 3) </w:t>
            </w:r>
            <w:r w:rsidR="00974AAB">
              <w:t xml:space="preserve">first indication of 3 or more </w:t>
            </w:r>
            <w:r w:rsidR="00F31D27">
              <w:t>v</w:t>
            </w:r>
            <w:r w:rsidR="0037543F" w:rsidRPr="0037543F">
              <w:t xml:space="preserve">isits with a </w:t>
            </w:r>
            <w:r w:rsidR="00974AAB">
              <w:t xml:space="preserve">comprehensive </w:t>
            </w:r>
            <w:r w:rsidR="0037543F" w:rsidRPr="0037543F">
              <w:t>primary care physician in OHIP</w:t>
            </w:r>
            <w:r w:rsidR="0052260B" w:rsidRPr="0037543F">
              <w:t xml:space="preserve">, </w:t>
            </w:r>
            <w:r w:rsidR="00283FAC" w:rsidRPr="00283FAC">
              <w:rPr>
                <w:u w:val="single"/>
              </w:rPr>
              <w:t>within 351 days following the cohort entry date</w:t>
            </w:r>
            <w:r w:rsidR="00283FAC">
              <w:rPr>
                <w:u w:val="single"/>
              </w:rPr>
              <w:t xml:space="preserve"> (i.e., within 1 year of primary care provider loss</w:t>
            </w:r>
            <w:r w:rsidR="00383079">
              <w:rPr>
                <w:u w:val="single"/>
              </w:rPr>
              <w:t xml:space="preserve"> date</w:t>
            </w:r>
            <w:r w:rsidR="00283FAC">
              <w:rPr>
                <w:u w:val="single"/>
              </w:rPr>
              <w:t>)</w:t>
            </w:r>
          </w:p>
          <w:p w14:paraId="38FAA351" w14:textId="3E8DE9D2" w:rsidR="007C28C9" w:rsidRDefault="007C28C9" w:rsidP="00AC2EF4">
            <w:pPr>
              <w:pStyle w:val="ListParagraph"/>
              <w:widowControl w:val="0"/>
              <w:numPr>
                <w:ilvl w:val="1"/>
                <w:numId w:val="23"/>
              </w:numPr>
            </w:pPr>
            <w:r w:rsidRPr="009868F6">
              <w:t>To identify individuals re-enrolled in CAPE,</w:t>
            </w:r>
            <w:r w:rsidR="0052260B">
              <w:t xml:space="preserve"> link the cohort to </w:t>
            </w:r>
            <w:r w:rsidR="00970FC5">
              <w:t xml:space="preserve">the </w:t>
            </w:r>
            <w:r w:rsidR="0052260B">
              <w:t>CAPE</w:t>
            </w:r>
            <w:r w:rsidR="00970FC5">
              <w:t xml:space="preserve"> database</w:t>
            </w:r>
            <w:r w:rsidR="0052260B">
              <w:t xml:space="preserve"> to</w:t>
            </w:r>
            <w:r w:rsidRPr="009868F6">
              <w:t xml:space="preserve"> </w:t>
            </w:r>
            <w:r w:rsidR="0052260B">
              <w:t>identify records</w:t>
            </w:r>
            <w:r w:rsidR="00970FC5">
              <w:t xml:space="preserve"> for the same individuals</w:t>
            </w:r>
            <w:r w:rsidR="0052260B">
              <w:t xml:space="preserve"> </w:t>
            </w:r>
            <w:r w:rsidR="00970FC5">
              <w:t xml:space="preserve">where the ‘STRTCAPE’ date is greater than the </w:t>
            </w:r>
            <w:r w:rsidR="00F31D27">
              <w:t>cohort entry date</w:t>
            </w:r>
          </w:p>
          <w:p w14:paraId="4C3D4929" w14:textId="58759CD2" w:rsidR="0063509F" w:rsidRDefault="0063509F" w:rsidP="00AC2EF4">
            <w:pPr>
              <w:pStyle w:val="ListParagraph"/>
              <w:widowControl w:val="0"/>
              <w:numPr>
                <w:ilvl w:val="2"/>
                <w:numId w:val="23"/>
              </w:numPr>
            </w:pPr>
            <w:r>
              <w:t xml:space="preserve">There may be multiple records for a given individual, so select the record with the earliest ‘STRTCAPE’ date following the </w:t>
            </w:r>
            <w:r w:rsidR="00F31D27">
              <w:t>cohort entry date</w:t>
            </w:r>
          </w:p>
          <w:p w14:paraId="7DB894BE" w14:textId="1BCCBCC8" w:rsidR="009F41BE" w:rsidRDefault="007A5AFC" w:rsidP="00AC2EF4">
            <w:pPr>
              <w:pStyle w:val="ListParagraph"/>
              <w:numPr>
                <w:ilvl w:val="1"/>
                <w:numId w:val="23"/>
              </w:numPr>
            </w:pPr>
            <w:r>
              <w:t xml:space="preserve">To identify visits </w:t>
            </w:r>
            <w:r w:rsidR="007C28C9">
              <w:t xml:space="preserve">with </w:t>
            </w:r>
            <w:r w:rsidR="00A809C7">
              <w:t xml:space="preserve">a </w:t>
            </w:r>
            <w:r w:rsidR="007C28C9">
              <w:t>primary care</w:t>
            </w:r>
            <w:r w:rsidR="008C541C">
              <w:t xml:space="preserve"> provider</w:t>
            </w:r>
            <w:r w:rsidR="009F41BE">
              <w:t xml:space="preserve"> outside of CAPE:</w:t>
            </w:r>
          </w:p>
          <w:p w14:paraId="114ED517" w14:textId="77777777" w:rsidR="00F31D27" w:rsidRPr="00F31D27" w:rsidRDefault="00F31D27" w:rsidP="00AC2EF4">
            <w:pPr>
              <w:pStyle w:val="ListParagraph"/>
              <w:numPr>
                <w:ilvl w:val="2"/>
                <w:numId w:val="23"/>
              </w:numPr>
            </w:pPr>
            <w:r w:rsidRPr="00F31D27">
              <w:rPr>
                <w:b/>
              </w:rPr>
              <w:t>CHC:</w:t>
            </w:r>
            <w:r w:rsidRPr="00F31D27">
              <w:t xml:space="preserve">  </w:t>
            </w:r>
          </w:p>
          <w:p w14:paraId="242A3595" w14:textId="457EDDA9" w:rsidR="00F31D27" w:rsidRPr="00F31D27" w:rsidRDefault="00AD3B2A" w:rsidP="00AC2EF4">
            <w:pPr>
              <w:pStyle w:val="ListParagraph"/>
              <w:numPr>
                <w:ilvl w:val="3"/>
                <w:numId w:val="23"/>
              </w:numPr>
            </w:pPr>
            <w:r>
              <w:t>Link individuals in the study cohort to the CHC patients dataset. Identify</w:t>
            </w:r>
            <w:r w:rsidR="00F31D27" w:rsidRPr="00F31D27">
              <w:t xml:space="preserve"> CHC </w:t>
            </w:r>
            <w:r>
              <w:t>encounters for these individuals over</w:t>
            </w:r>
            <w:r w:rsidR="00992527">
              <w:t xml:space="preserve"> 1.5 years</w:t>
            </w:r>
            <w:r w:rsidR="00240A58">
              <w:t xml:space="preserve"> after cohort entry</w:t>
            </w:r>
            <w:r>
              <w:t>, and then link these encounters to the CHC providers dataset. Restrict to encounters with physicians or</w:t>
            </w:r>
            <w:r w:rsidR="007E6F15">
              <w:t xml:space="preserve"> nurse practitioners</w:t>
            </w:r>
            <w:r w:rsidR="00F31D27" w:rsidRPr="00F31D27">
              <w:t>. Identify individuals who had at least three</w:t>
            </w:r>
            <w:r w:rsidR="007E6F15">
              <w:t xml:space="preserve"> visits to a </w:t>
            </w:r>
            <w:r w:rsidR="00F31D27" w:rsidRPr="00F31D27">
              <w:t xml:space="preserve"> CHC </w:t>
            </w:r>
            <w:r w:rsidR="007E6F15">
              <w:t xml:space="preserve">with a physician or nurse practitioner </w:t>
            </w:r>
            <w:r w:rsidR="00F31D27" w:rsidRPr="00F31D27">
              <w:t xml:space="preserve">during the follow-up period. </w:t>
            </w:r>
            <w:r w:rsidR="00992527">
              <w:t xml:space="preserve">Among these people, </w:t>
            </w:r>
            <w:r w:rsidR="007E6F15" w:rsidRPr="007E6F15">
              <w:t xml:space="preserve">select the record with the earliest </w:t>
            </w:r>
            <w:r w:rsidR="007E6F15">
              <w:t xml:space="preserve">encounter </w:t>
            </w:r>
            <w:r w:rsidR="007E6F15" w:rsidRPr="007E6F15">
              <w:t>date following the cohort entry date</w:t>
            </w:r>
            <w:r w:rsidR="007E6F15">
              <w:t xml:space="preserve">. </w:t>
            </w:r>
          </w:p>
          <w:p w14:paraId="0C47A841" w14:textId="74F989D9" w:rsidR="008A7D22" w:rsidRDefault="008A7D22" w:rsidP="00AC2EF4">
            <w:pPr>
              <w:pStyle w:val="ListParagraph"/>
              <w:numPr>
                <w:ilvl w:val="2"/>
                <w:numId w:val="23"/>
              </w:numPr>
            </w:pPr>
            <w:r w:rsidRPr="008A7D22">
              <w:rPr>
                <w:b/>
              </w:rPr>
              <w:t>OHIP</w:t>
            </w:r>
            <w:r>
              <w:t xml:space="preserve">: </w:t>
            </w:r>
          </w:p>
          <w:p w14:paraId="1251B3E3" w14:textId="1C8D3D4E" w:rsidR="009F41BE" w:rsidRPr="004D6A0C" w:rsidRDefault="00992527" w:rsidP="00AC2EF4">
            <w:pPr>
              <w:pStyle w:val="ListParagraph"/>
              <w:numPr>
                <w:ilvl w:val="3"/>
                <w:numId w:val="23"/>
              </w:numPr>
            </w:pPr>
            <w:r>
              <w:t>E</w:t>
            </w:r>
            <w:r w:rsidR="009F41BE" w:rsidRPr="004D6A0C">
              <w:t xml:space="preserve">xtract </w:t>
            </w:r>
            <w:r w:rsidR="00E72CFB">
              <w:t xml:space="preserve">core </w:t>
            </w:r>
            <w:r w:rsidR="007C28C9" w:rsidRPr="004D6A0C">
              <w:t xml:space="preserve">primary care billing </w:t>
            </w:r>
            <w:r w:rsidR="009F41BE" w:rsidRPr="004D6A0C">
              <w:t>claims</w:t>
            </w:r>
            <w:r w:rsidR="007C28C9" w:rsidRPr="004D6A0C">
              <w:t xml:space="preserve"> </w:t>
            </w:r>
            <w:r w:rsidR="009F41BE" w:rsidRPr="004D6A0C">
              <w:t xml:space="preserve">for individuals in the study cohort </w:t>
            </w:r>
            <w:r w:rsidR="008A7D22">
              <w:t xml:space="preserve">over </w:t>
            </w:r>
            <w:r>
              <w:t xml:space="preserve">1.5 years </w:t>
            </w:r>
            <w:r w:rsidR="00240A58">
              <w:t xml:space="preserve">after cohort entry </w:t>
            </w:r>
            <w:r w:rsidR="009B2BB1" w:rsidRPr="004D6A0C">
              <w:t xml:space="preserve">(see </w:t>
            </w:r>
            <w:r w:rsidR="001D72CD">
              <w:t>core primary care</w:t>
            </w:r>
            <w:r w:rsidR="009B2BB1" w:rsidRPr="004D6A0C">
              <w:t xml:space="preserve"> billing codes in </w:t>
            </w:r>
            <w:hyperlink w:anchor="_Appendix_A:_Codes" w:history="1">
              <w:r w:rsidR="00E72CFB" w:rsidRPr="00DB453E">
                <w:rPr>
                  <w:rStyle w:val="Hyperlink"/>
                </w:rPr>
                <w:t>Appendix A</w:t>
              </w:r>
            </w:hyperlink>
            <w:r w:rsidR="009B2BB1" w:rsidRPr="004D6A0C">
              <w:t>)</w:t>
            </w:r>
            <w:r w:rsidR="007C28C9" w:rsidRPr="004D6A0C">
              <w:t xml:space="preserve">. </w:t>
            </w:r>
          </w:p>
          <w:p w14:paraId="3A4946AD" w14:textId="02C1A3D6" w:rsidR="00AC2EF4" w:rsidRPr="00AC2EF4" w:rsidRDefault="00992527" w:rsidP="00AC2EF4">
            <w:pPr>
              <w:pStyle w:val="ListParagraph"/>
              <w:numPr>
                <w:ilvl w:val="3"/>
                <w:numId w:val="23"/>
              </w:numPr>
            </w:pPr>
            <w:r>
              <w:t>Link</w:t>
            </w:r>
            <w:r w:rsidR="009F41BE" w:rsidRPr="009B7604">
              <w:t xml:space="preserve"> the physicians on the OHIP billing claims to </w:t>
            </w:r>
            <w:r>
              <w:t>ICES Physician Database (IPDB)</w:t>
            </w:r>
            <w:r w:rsidR="009F41BE" w:rsidRPr="009B7604">
              <w:t xml:space="preserve"> </w:t>
            </w:r>
            <w:r w:rsidR="00614FC9" w:rsidRPr="009B7604">
              <w:t xml:space="preserve">to determine practice type (‘PRACTYPE’ variable). Identify individuals who had at least </w:t>
            </w:r>
            <w:r w:rsidR="008A7D22" w:rsidRPr="009B7604">
              <w:t>three</w:t>
            </w:r>
            <w:r w:rsidR="00E72CFB" w:rsidRPr="009B7604">
              <w:t xml:space="preserve"> core primary care</w:t>
            </w:r>
            <w:r w:rsidR="00614FC9" w:rsidRPr="009B7604">
              <w:t xml:space="preserve"> OHIP claim</w:t>
            </w:r>
            <w:r w:rsidR="00F423C8">
              <w:t>s</w:t>
            </w:r>
            <w:r w:rsidR="00614FC9" w:rsidRPr="009B7604">
              <w:t xml:space="preserve"> billed by a physician </w:t>
            </w:r>
            <w:r w:rsidR="00CB0C90" w:rsidRPr="009B7604">
              <w:t>with a practice type of</w:t>
            </w:r>
            <w:r w:rsidR="00614FC9" w:rsidRPr="009B7604">
              <w:t xml:space="preserve"> comprehensive primary care</w:t>
            </w:r>
            <w:r w:rsidR="00E20CEC" w:rsidRPr="009B7604">
              <w:t xml:space="preserve">. </w:t>
            </w:r>
            <w:r>
              <w:t xml:space="preserve">Among these people, </w:t>
            </w:r>
            <w:r w:rsidRPr="007E6F15">
              <w:t xml:space="preserve">select the record with the earliest </w:t>
            </w:r>
            <w:r>
              <w:t xml:space="preserve">encounter </w:t>
            </w:r>
            <w:r w:rsidRPr="007E6F15">
              <w:t>date following the cohort entry date</w:t>
            </w:r>
            <w:r>
              <w:t>.</w:t>
            </w:r>
          </w:p>
          <w:p w14:paraId="4046B43D" w14:textId="33079B2C" w:rsidR="004367E0" w:rsidRDefault="004367E0" w:rsidP="00654821">
            <w:pPr>
              <w:pStyle w:val="ListParagraph"/>
              <w:numPr>
                <w:ilvl w:val="0"/>
                <w:numId w:val="23"/>
              </w:numPr>
            </w:pPr>
            <w:r>
              <w:t>Using the definitions above, determine whether individuals experienced primary care attachment in CAPE, and identify the date they were enrolled. Among individuals who were not enrolled in CAPE, consider attachment in CHCs, and identify the date of the first encounter. Among individuals who were not enrolled in CAPE or attached to a CHC, consider attachment through OHIP claims and identify the date of the first claim.</w:t>
            </w:r>
          </w:p>
          <w:p w14:paraId="2C1A8BE9" w14:textId="6DF49ACA" w:rsidR="00721483" w:rsidRDefault="00712F49" w:rsidP="004F1631">
            <w:pPr>
              <w:pStyle w:val="ListParagraph"/>
              <w:numPr>
                <w:ilvl w:val="0"/>
                <w:numId w:val="23"/>
              </w:numPr>
            </w:pPr>
            <w:r w:rsidRPr="00F423C8">
              <w:lastRenderedPageBreak/>
              <w:t xml:space="preserve">Censor </w:t>
            </w:r>
            <w:r w:rsidR="00BA4EF8">
              <w:t xml:space="preserve">primary care attachment </w:t>
            </w:r>
            <w:r w:rsidRPr="00F423C8">
              <w:t xml:space="preserve">on death, </w:t>
            </w:r>
            <w:r w:rsidR="00654821" w:rsidRPr="00654821">
              <w:t>351 days following the cohort entry date</w:t>
            </w:r>
            <w:r w:rsidRPr="00F423C8">
              <w:t>, or the end of study period (</w:t>
            </w:r>
            <w:r w:rsidR="00F423C8">
              <w:t>December 31, 2018</w:t>
            </w:r>
            <w:r w:rsidRPr="00F423C8">
              <w:t>)</w:t>
            </w:r>
          </w:p>
        </w:tc>
      </w:tr>
      <w:tr w:rsidR="00BE7544" w:rsidRPr="002F6DB4" w14:paraId="12E9B4E4" w14:textId="77777777" w:rsidTr="009F2A6B">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03691752" w14:textId="1D89CA77" w:rsidR="00BE7544" w:rsidRPr="00FA1D90" w:rsidRDefault="007C6543" w:rsidP="009F2A6B">
            <w:pPr>
              <w:rPr>
                <w:i/>
              </w:rPr>
            </w:pPr>
            <w:r>
              <w:rPr>
                <w:b/>
              </w:rPr>
              <w:lastRenderedPageBreak/>
              <w:t>Secondary Outcome Definition</w:t>
            </w:r>
          </w:p>
        </w:tc>
        <w:tc>
          <w:tcPr>
            <w:tcW w:w="7199" w:type="dxa"/>
            <w:tcBorders>
              <w:top w:val="single" w:sz="4" w:space="0" w:color="999999"/>
              <w:left w:val="single" w:sz="4" w:space="0" w:color="A6A6A6" w:themeColor="background1" w:themeShade="A6"/>
              <w:bottom w:val="single" w:sz="4" w:space="0" w:color="999999"/>
            </w:tcBorders>
          </w:tcPr>
          <w:p w14:paraId="2461B56E" w14:textId="20FBBA3F" w:rsidR="00E07C2D" w:rsidRDefault="00F71357" w:rsidP="00BA4EF8">
            <w:pPr>
              <w:pStyle w:val="ListParagraph"/>
              <w:numPr>
                <w:ilvl w:val="0"/>
                <w:numId w:val="23"/>
              </w:numPr>
            </w:pPr>
            <w:r w:rsidRPr="00023ACE">
              <w:t xml:space="preserve">Number </w:t>
            </w:r>
            <w:r w:rsidR="004F1631">
              <w:t xml:space="preserve">and rate </w:t>
            </w:r>
            <w:r w:rsidRPr="00023ACE">
              <w:t xml:space="preserve">of emergency department visits </w:t>
            </w:r>
            <w:r w:rsidR="00654821">
              <w:t xml:space="preserve">during the period </w:t>
            </w:r>
            <w:r w:rsidR="000A0195">
              <w:t>without a primary care provider</w:t>
            </w:r>
          </w:p>
          <w:p w14:paraId="787BBAA7" w14:textId="25CEB0F2" w:rsidR="007801FF" w:rsidRPr="004F1631" w:rsidRDefault="00E07C2D" w:rsidP="004F1631">
            <w:pPr>
              <w:pStyle w:val="ListParagraph"/>
              <w:numPr>
                <w:ilvl w:val="1"/>
                <w:numId w:val="23"/>
              </w:numPr>
            </w:pPr>
            <w:r>
              <w:t>U</w:t>
            </w:r>
            <w:r w:rsidR="00654821">
              <w:t xml:space="preserve">se </w:t>
            </w:r>
            <w:r w:rsidR="004F1631">
              <w:t>NACRS to i</w:t>
            </w:r>
            <w:proofErr w:type="spellStart"/>
            <w:r w:rsidR="004367E0">
              <w:rPr>
                <w:lang w:val="en-CA"/>
              </w:rPr>
              <w:t>dentify</w:t>
            </w:r>
            <w:proofErr w:type="spellEnd"/>
            <w:r w:rsidR="004367E0">
              <w:rPr>
                <w:lang w:val="en-CA"/>
              </w:rPr>
              <w:t xml:space="preserve"> visits that occurred following the coh</w:t>
            </w:r>
            <w:r w:rsidR="00BA4EF8">
              <w:rPr>
                <w:lang w:val="en-CA"/>
              </w:rPr>
              <w:t>ort entry date</w:t>
            </w:r>
            <w:r w:rsidR="004367E0">
              <w:rPr>
                <w:lang w:val="en-CA"/>
              </w:rPr>
              <w:t xml:space="preserve"> but prior to the end follow-up date for the primary outcome</w:t>
            </w:r>
            <w:r w:rsidR="00BA4EF8">
              <w:rPr>
                <w:lang w:val="en-CA"/>
              </w:rPr>
              <w:t xml:space="preserve">. </w:t>
            </w:r>
            <w:r w:rsidR="00BA4EF8" w:rsidRPr="00BA4EF8">
              <w:rPr>
                <w:lang w:val="en-CA"/>
              </w:rPr>
              <w:t>Count the number of visits per person</w:t>
            </w:r>
          </w:p>
          <w:p w14:paraId="71B048E7" w14:textId="39B0116C" w:rsidR="004F1631" w:rsidRDefault="004F1631" w:rsidP="004F1631">
            <w:pPr>
              <w:pStyle w:val="ListParagraph"/>
              <w:numPr>
                <w:ilvl w:val="1"/>
                <w:numId w:val="23"/>
              </w:numPr>
            </w:pPr>
            <w:r>
              <w:t>Denominator will be follow-up time for the primary outcome</w:t>
            </w:r>
          </w:p>
        </w:tc>
      </w:tr>
      <w:tr w:rsidR="00257743" w:rsidRPr="002F6DB4" w14:paraId="493C3B8E" w14:textId="77777777" w:rsidTr="009F2A6B">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5760B528" w14:textId="51B49D29" w:rsidR="00257743" w:rsidRDefault="00763D79" w:rsidP="004F1631">
            <w:pPr>
              <w:rPr>
                <w:b/>
              </w:rPr>
            </w:pPr>
            <w:r>
              <w:rPr>
                <w:b/>
              </w:rPr>
              <w:t>Tertiary</w:t>
            </w:r>
            <w:r w:rsidR="00257743">
              <w:rPr>
                <w:b/>
              </w:rPr>
              <w:t xml:space="preserve"> Outcome Definition</w:t>
            </w:r>
          </w:p>
        </w:tc>
        <w:tc>
          <w:tcPr>
            <w:tcW w:w="7199" w:type="dxa"/>
            <w:tcBorders>
              <w:top w:val="single" w:sz="4" w:space="0" w:color="999999"/>
              <w:left w:val="single" w:sz="4" w:space="0" w:color="A6A6A6" w:themeColor="background1" w:themeShade="A6"/>
              <w:bottom w:val="single" w:sz="4" w:space="0" w:color="999999"/>
            </w:tcBorders>
          </w:tcPr>
          <w:p w14:paraId="4138558D" w14:textId="05E633A7" w:rsidR="00257743" w:rsidRPr="00C11357" w:rsidRDefault="00257743" w:rsidP="00BA4EF8">
            <w:pPr>
              <w:pStyle w:val="ListParagraph"/>
              <w:numPr>
                <w:ilvl w:val="0"/>
                <w:numId w:val="23"/>
              </w:numPr>
            </w:pPr>
            <w:r w:rsidRPr="00C11357">
              <w:t>Number and rate of emergency department visits and hospitaliza</w:t>
            </w:r>
            <w:r w:rsidR="00883F66" w:rsidRPr="00C11357">
              <w:t>tions for opioid toxicity</w:t>
            </w:r>
            <w:r w:rsidRPr="00C11357">
              <w:t xml:space="preserve"> </w:t>
            </w:r>
            <w:r w:rsidR="00654821" w:rsidRPr="00654821">
              <w:t xml:space="preserve">during the period </w:t>
            </w:r>
            <w:r w:rsidR="000A0195">
              <w:t>without a primary care provider</w:t>
            </w:r>
          </w:p>
          <w:p w14:paraId="5670042E" w14:textId="16A18CBA" w:rsidR="00F66749" w:rsidRDefault="00F66749" w:rsidP="00BA4EF8">
            <w:pPr>
              <w:pStyle w:val="ListParagraph"/>
              <w:numPr>
                <w:ilvl w:val="1"/>
                <w:numId w:val="23"/>
              </w:numPr>
            </w:pPr>
            <w:r w:rsidRPr="00DB453E">
              <w:t xml:space="preserve">See </w:t>
            </w:r>
            <w:hyperlink w:anchor="_Appendix_A:_Codes" w:history="1">
              <w:r w:rsidRPr="00DB453E">
                <w:rPr>
                  <w:rStyle w:val="Hyperlink"/>
                </w:rPr>
                <w:t>Appendix A</w:t>
              </w:r>
            </w:hyperlink>
            <w:r w:rsidRPr="00DB453E">
              <w:t xml:space="preserve"> for diagnosis codes</w:t>
            </w:r>
          </w:p>
          <w:p w14:paraId="23F4A2D5" w14:textId="77777777" w:rsidR="00BA4EF8" w:rsidRDefault="00BA4EF8" w:rsidP="00BA4EF8">
            <w:pPr>
              <w:pStyle w:val="ListParagraph"/>
              <w:numPr>
                <w:ilvl w:val="1"/>
                <w:numId w:val="23"/>
              </w:numPr>
            </w:pPr>
            <w:r w:rsidRPr="00BA4EF8">
              <w:t xml:space="preserve">Identify </w:t>
            </w:r>
            <w:r>
              <w:t>incidents</w:t>
            </w:r>
            <w:r w:rsidRPr="00BA4EF8">
              <w:t xml:space="preserve"> that occurred following the cohort entry date but prior to the end follow-up date for the primary outcome. Count the number of </w:t>
            </w:r>
            <w:r>
              <w:t>incidents per person</w:t>
            </w:r>
          </w:p>
          <w:p w14:paraId="34129DCB" w14:textId="1AE1C9C7" w:rsidR="004F1631" w:rsidRPr="00023ACE" w:rsidRDefault="004F1631" w:rsidP="00BA4EF8">
            <w:pPr>
              <w:pStyle w:val="ListParagraph"/>
              <w:numPr>
                <w:ilvl w:val="1"/>
                <w:numId w:val="23"/>
              </w:numPr>
            </w:pPr>
            <w:r>
              <w:t>Denominator will be follow-up time for the primary outcome</w:t>
            </w:r>
          </w:p>
        </w:tc>
      </w:tr>
      <w:tr w:rsidR="00684899" w:rsidRPr="002F6DB4" w14:paraId="2C1A8BEE" w14:textId="77777777" w:rsidTr="008D6CEC">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2C1A8BEC" w14:textId="10B7E9CD" w:rsidR="00684899" w:rsidRPr="007F748E" w:rsidRDefault="006628C2" w:rsidP="0074348C">
            <w:pPr>
              <w:rPr>
                <w:i/>
              </w:rPr>
            </w:pPr>
            <w:r>
              <w:rPr>
                <w:b/>
              </w:rPr>
              <w:t>Baseline Characteristics</w:t>
            </w:r>
          </w:p>
        </w:tc>
        <w:tc>
          <w:tcPr>
            <w:tcW w:w="7199" w:type="dxa"/>
            <w:tcBorders>
              <w:top w:val="single" w:sz="4" w:space="0" w:color="999999"/>
              <w:left w:val="single" w:sz="4" w:space="0" w:color="A6A6A6" w:themeColor="background1" w:themeShade="A6"/>
              <w:bottom w:val="single" w:sz="4" w:space="0" w:color="999999"/>
            </w:tcBorders>
          </w:tcPr>
          <w:p w14:paraId="1A920FDA" w14:textId="7E28BDA9" w:rsidR="00123D5B" w:rsidRPr="00123D5B" w:rsidRDefault="0042620C" w:rsidP="00BA4EF8">
            <w:pPr>
              <w:rPr>
                <w:b/>
              </w:rPr>
            </w:pPr>
            <w:r w:rsidRPr="0042620C">
              <w:rPr>
                <w:b/>
              </w:rPr>
              <w:t xml:space="preserve">Report the number of people </w:t>
            </w:r>
            <w:r>
              <w:rPr>
                <w:b/>
              </w:rPr>
              <w:t>in the cohort</w:t>
            </w:r>
            <w:r w:rsidRPr="0042620C">
              <w:rPr>
                <w:b/>
              </w:rPr>
              <w:t>, and the following baseline characteristics, by the 3 exposure groups:</w:t>
            </w:r>
          </w:p>
          <w:p w14:paraId="2128A929" w14:textId="32498C2B" w:rsidR="00D211FD" w:rsidRDefault="00D211FD" w:rsidP="00BA4EF8">
            <w:pPr>
              <w:pStyle w:val="ListParagraph"/>
              <w:numPr>
                <w:ilvl w:val="0"/>
                <w:numId w:val="23"/>
              </w:numPr>
              <w:spacing w:after="160"/>
            </w:pPr>
            <w:r>
              <w:t xml:space="preserve">Age – RPDB age variable (reference to the </w:t>
            </w:r>
            <w:r w:rsidR="004F1631">
              <w:t>date of primary care provider loss</w:t>
            </w:r>
            <w:r>
              <w:t>)</w:t>
            </w:r>
          </w:p>
          <w:p w14:paraId="0B41DAE8" w14:textId="2D729E1E" w:rsidR="00D211FD" w:rsidRPr="002A0A64" w:rsidRDefault="00D211FD" w:rsidP="00BA4EF8">
            <w:pPr>
              <w:pStyle w:val="ListParagraph"/>
              <w:numPr>
                <w:ilvl w:val="1"/>
                <w:numId w:val="23"/>
              </w:numPr>
              <w:spacing w:after="160"/>
            </w:pPr>
            <w:r w:rsidRPr="002A0A64">
              <w:t>Median (IQR)</w:t>
            </w:r>
          </w:p>
          <w:p w14:paraId="12C804C3" w14:textId="42C1A2C9" w:rsidR="00D211FD" w:rsidRDefault="00D211FD" w:rsidP="00BA4EF8">
            <w:pPr>
              <w:pStyle w:val="ListParagraph"/>
              <w:numPr>
                <w:ilvl w:val="1"/>
                <w:numId w:val="23"/>
              </w:numPr>
              <w:spacing w:after="160"/>
            </w:pPr>
            <w:r w:rsidRPr="002A0A64">
              <w:t>Age group</w:t>
            </w:r>
            <w:r>
              <w:t xml:space="preserve"> (n, %)</w:t>
            </w:r>
          </w:p>
          <w:p w14:paraId="25C87284" w14:textId="77777777" w:rsidR="00D211FD" w:rsidRDefault="00D211FD" w:rsidP="00BA4EF8">
            <w:pPr>
              <w:pStyle w:val="ListParagraph"/>
              <w:numPr>
                <w:ilvl w:val="2"/>
                <w:numId w:val="23"/>
              </w:numPr>
              <w:spacing w:after="160"/>
            </w:pPr>
            <w:r>
              <w:t>18-24</w:t>
            </w:r>
          </w:p>
          <w:p w14:paraId="6F1C912D" w14:textId="77777777" w:rsidR="00D211FD" w:rsidRDefault="00D211FD" w:rsidP="00BA4EF8">
            <w:pPr>
              <w:pStyle w:val="ListParagraph"/>
              <w:numPr>
                <w:ilvl w:val="2"/>
                <w:numId w:val="23"/>
              </w:numPr>
              <w:spacing w:after="160"/>
            </w:pPr>
            <w:r>
              <w:t>25-34</w:t>
            </w:r>
          </w:p>
          <w:p w14:paraId="6FF3D5B1" w14:textId="77777777" w:rsidR="00D211FD" w:rsidRDefault="00D211FD" w:rsidP="00BA4EF8">
            <w:pPr>
              <w:pStyle w:val="ListParagraph"/>
              <w:numPr>
                <w:ilvl w:val="2"/>
                <w:numId w:val="23"/>
              </w:numPr>
              <w:spacing w:after="160"/>
            </w:pPr>
            <w:r>
              <w:t xml:space="preserve">35-44 </w:t>
            </w:r>
          </w:p>
          <w:p w14:paraId="16DC1DAA" w14:textId="77777777" w:rsidR="00D211FD" w:rsidRDefault="00D211FD" w:rsidP="00BA4EF8">
            <w:pPr>
              <w:pStyle w:val="ListParagraph"/>
              <w:numPr>
                <w:ilvl w:val="2"/>
                <w:numId w:val="23"/>
              </w:numPr>
              <w:spacing w:after="160"/>
            </w:pPr>
            <w:r>
              <w:t>45-64</w:t>
            </w:r>
          </w:p>
          <w:p w14:paraId="7877AD80" w14:textId="29944CB8" w:rsidR="00D211FD" w:rsidRPr="002A0A64" w:rsidRDefault="00D211FD" w:rsidP="00BA4EF8">
            <w:pPr>
              <w:pStyle w:val="ListParagraph"/>
              <w:numPr>
                <w:ilvl w:val="2"/>
                <w:numId w:val="23"/>
              </w:numPr>
              <w:spacing w:after="160"/>
            </w:pPr>
            <w:r>
              <w:t>65+</w:t>
            </w:r>
          </w:p>
          <w:p w14:paraId="02CD5270" w14:textId="25E4751B" w:rsidR="00D211FD" w:rsidRDefault="00D211FD" w:rsidP="00BA4EF8">
            <w:pPr>
              <w:pStyle w:val="ListParagraph"/>
              <w:numPr>
                <w:ilvl w:val="0"/>
                <w:numId w:val="23"/>
              </w:numPr>
              <w:spacing w:after="160"/>
            </w:pPr>
            <w:r w:rsidRPr="002A0A64">
              <w:t>Sex (</w:t>
            </w:r>
            <w:r w:rsidR="00224866">
              <w:t>n, %) –</w:t>
            </w:r>
            <w:r>
              <w:t xml:space="preserve"> </w:t>
            </w:r>
            <w:r w:rsidRPr="002A0A64">
              <w:t>RPDB</w:t>
            </w:r>
            <w:r>
              <w:t xml:space="preserve"> sex variable</w:t>
            </w:r>
          </w:p>
          <w:p w14:paraId="391318BE" w14:textId="4EFCDD7C" w:rsidR="00D211FD" w:rsidRPr="00D211FD" w:rsidRDefault="00D211FD" w:rsidP="00BA4EF8">
            <w:pPr>
              <w:pStyle w:val="ListParagraph"/>
              <w:numPr>
                <w:ilvl w:val="0"/>
                <w:numId w:val="23"/>
              </w:numPr>
              <w:rPr>
                <w:lang w:val="en-CA"/>
              </w:rPr>
            </w:pPr>
            <w:r w:rsidRPr="00D46A09">
              <w:rPr>
                <w:lang w:val="en-CA"/>
              </w:rPr>
              <w:t>Urban/ru</w:t>
            </w:r>
            <w:r>
              <w:rPr>
                <w:lang w:val="en-CA"/>
              </w:rPr>
              <w:t>ral location of residence (n, %)</w:t>
            </w:r>
            <w:r w:rsidRPr="00D46A09">
              <w:rPr>
                <w:lang w:val="en-CA"/>
              </w:rPr>
              <w:t xml:space="preserve"> – RPDB rural variable</w:t>
            </w:r>
            <w:r>
              <w:rPr>
                <w:lang w:val="en-CA"/>
              </w:rPr>
              <w:t xml:space="preserve"> (reference to the </w:t>
            </w:r>
            <w:r w:rsidR="004F1631">
              <w:rPr>
                <w:lang w:val="en-CA"/>
              </w:rPr>
              <w:t>date of primary care provider loss</w:t>
            </w:r>
            <w:r>
              <w:rPr>
                <w:lang w:val="en-CA"/>
              </w:rPr>
              <w:t>; include as categorical variable with missing as a separate category)</w:t>
            </w:r>
          </w:p>
          <w:p w14:paraId="6761060A" w14:textId="695993F3" w:rsidR="00D211FD" w:rsidRPr="00D46A09" w:rsidRDefault="00D211FD" w:rsidP="00BA4EF8">
            <w:pPr>
              <w:pStyle w:val="ListParagraph"/>
              <w:numPr>
                <w:ilvl w:val="0"/>
                <w:numId w:val="23"/>
              </w:numPr>
              <w:rPr>
                <w:lang w:val="en-CA"/>
              </w:rPr>
            </w:pPr>
            <w:r w:rsidRPr="00D46A09">
              <w:rPr>
                <w:lang w:val="en-CA"/>
              </w:rPr>
              <w:t>Resi</w:t>
            </w:r>
            <w:r>
              <w:rPr>
                <w:lang w:val="en-CA"/>
              </w:rPr>
              <w:t xml:space="preserve">dence in northern Ontario </w:t>
            </w:r>
            <w:r w:rsidRPr="00D46A09">
              <w:rPr>
                <w:lang w:val="en-CA"/>
              </w:rPr>
              <w:t>(n, %)</w:t>
            </w:r>
            <w:r>
              <w:rPr>
                <w:lang w:val="en-CA"/>
              </w:rPr>
              <w:t xml:space="preserve"> – RPDB </w:t>
            </w:r>
            <w:r w:rsidR="005D53FA">
              <w:rPr>
                <w:lang w:val="en-CA"/>
              </w:rPr>
              <w:t>LHIN</w:t>
            </w:r>
            <w:r>
              <w:rPr>
                <w:lang w:val="en-CA"/>
              </w:rPr>
              <w:t xml:space="preserve"> variable (reference to the </w:t>
            </w:r>
            <w:r w:rsidR="004F1631">
              <w:rPr>
                <w:lang w:val="en-CA"/>
              </w:rPr>
              <w:t>date of primary care provider loss</w:t>
            </w:r>
            <w:r>
              <w:rPr>
                <w:lang w:val="en-CA"/>
              </w:rPr>
              <w:t>)</w:t>
            </w:r>
          </w:p>
          <w:p w14:paraId="10319915" w14:textId="4C9DE05D" w:rsidR="00D211FD" w:rsidRPr="00D46A09" w:rsidRDefault="00D211FD" w:rsidP="00BA4EF8">
            <w:pPr>
              <w:pStyle w:val="ListParagraph"/>
              <w:numPr>
                <w:ilvl w:val="1"/>
                <w:numId w:val="23"/>
              </w:numPr>
              <w:rPr>
                <w:lang w:val="en-CA"/>
              </w:rPr>
            </w:pPr>
            <w:r w:rsidRPr="00D46A09">
              <w:rPr>
                <w:lang w:val="en-CA"/>
              </w:rPr>
              <w:t xml:space="preserve">Northern </w:t>
            </w:r>
            <w:r w:rsidR="000D49E3">
              <w:rPr>
                <w:lang w:val="en-CA"/>
              </w:rPr>
              <w:t xml:space="preserve">Ontario </w:t>
            </w:r>
            <w:r w:rsidRPr="00D46A09">
              <w:rPr>
                <w:lang w:val="en-CA"/>
              </w:rPr>
              <w:t>defined as individual</w:t>
            </w:r>
            <w:r>
              <w:rPr>
                <w:lang w:val="en-CA"/>
              </w:rPr>
              <w:t>s</w:t>
            </w:r>
            <w:r w:rsidRPr="00D46A09">
              <w:rPr>
                <w:lang w:val="en-CA"/>
              </w:rPr>
              <w:t xml:space="preserve"> residing in LHIN</w:t>
            </w:r>
            <w:r>
              <w:rPr>
                <w:lang w:val="en-CA"/>
              </w:rPr>
              <w:t>s</w:t>
            </w:r>
            <w:r w:rsidRPr="00D46A09">
              <w:rPr>
                <w:lang w:val="en-CA"/>
              </w:rPr>
              <w:t xml:space="preserve"> 13 or 14</w:t>
            </w:r>
          </w:p>
          <w:p w14:paraId="08E00DD0" w14:textId="5C516644" w:rsidR="005D53FA" w:rsidRDefault="005D53FA" w:rsidP="00BA4EF8">
            <w:pPr>
              <w:pStyle w:val="ListParagraph"/>
              <w:numPr>
                <w:ilvl w:val="0"/>
                <w:numId w:val="23"/>
              </w:numPr>
              <w:rPr>
                <w:lang w:val="en-CA"/>
              </w:rPr>
            </w:pPr>
            <w:r w:rsidRPr="00D46A09">
              <w:rPr>
                <w:lang w:val="en-CA"/>
              </w:rPr>
              <w:t xml:space="preserve">Income quintile (n, %) – RPDB </w:t>
            </w:r>
            <w:proofErr w:type="spellStart"/>
            <w:r w:rsidRPr="00D46A09">
              <w:rPr>
                <w:lang w:val="en-CA"/>
              </w:rPr>
              <w:t>incquint</w:t>
            </w:r>
            <w:proofErr w:type="spellEnd"/>
            <w:r w:rsidRPr="00D46A09">
              <w:rPr>
                <w:lang w:val="en-CA"/>
              </w:rPr>
              <w:t xml:space="preserve"> variable</w:t>
            </w:r>
            <w:r>
              <w:rPr>
                <w:lang w:val="en-CA"/>
              </w:rPr>
              <w:t xml:space="preserve"> (reference to the </w:t>
            </w:r>
            <w:r w:rsidR="00074729">
              <w:rPr>
                <w:lang w:val="en-CA"/>
              </w:rPr>
              <w:t>date of primary care provider loss</w:t>
            </w:r>
            <w:r>
              <w:rPr>
                <w:lang w:val="en-CA"/>
              </w:rPr>
              <w:t>; include as categorical variable with missing as a separate category)</w:t>
            </w:r>
          </w:p>
          <w:p w14:paraId="022B4AEF" w14:textId="5C1E1638" w:rsidR="00D211FD" w:rsidRPr="005B6257" w:rsidRDefault="00AC0DEC" w:rsidP="00BA4EF8">
            <w:pPr>
              <w:pStyle w:val="ListParagraph"/>
              <w:numPr>
                <w:ilvl w:val="0"/>
                <w:numId w:val="23"/>
              </w:numPr>
              <w:spacing w:after="160"/>
              <w:rPr>
                <w:rFonts w:cstheme="minorHAnsi"/>
              </w:rPr>
            </w:pPr>
            <w:r w:rsidRPr="005B6257">
              <w:rPr>
                <w:rFonts w:cstheme="minorHAnsi"/>
              </w:rPr>
              <w:t xml:space="preserve">Ontario Marginalization </w:t>
            </w:r>
            <w:r w:rsidR="007B7CD5">
              <w:rPr>
                <w:rFonts w:cstheme="minorHAnsi"/>
              </w:rPr>
              <w:t>Index quintile</w:t>
            </w:r>
            <w:r w:rsidR="00074729">
              <w:rPr>
                <w:rFonts w:cstheme="minorHAnsi"/>
              </w:rPr>
              <w:t>s</w:t>
            </w:r>
            <w:r w:rsidRPr="005B6257">
              <w:rPr>
                <w:rFonts w:cstheme="minorHAnsi"/>
              </w:rPr>
              <w:t xml:space="preserve"> </w:t>
            </w:r>
            <w:r w:rsidR="005B6257">
              <w:rPr>
                <w:rFonts w:cstheme="minorHAnsi"/>
              </w:rPr>
              <w:t>(n, %)</w:t>
            </w:r>
          </w:p>
          <w:p w14:paraId="20F714C2" w14:textId="50E1476F" w:rsidR="00DF60B7" w:rsidRPr="007B7CD5" w:rsidRDefault="007B7CD5" w:rsidP="00BA4EF8">
            <w:pPr>
              <w:pStyle w:val="ListParagraph"/>
              <w:numPr>
                <w:ilvl w:val="1"/>
                <w:numId w:val="23"/>
              </w:numPr>
              <w:rPr>
                <w:rFonts w:cstheme="minorHAnsi"/>
                <w:color w:val="000000"/>
              </w:rPr>
            </w:pPr>
            <w:r w:rsidRPr="007B7CD5">
              <w:rPr>
                <w:rFonts w:cstheme="minorHAnsi"/>
                <w:color w:val="000000"/>
              </w:rPr>
              <w:t>Dependency</w:t>
            </w:r>
            <w:r w:rsidR="00074729">
              <w:rPr>
                <w:rFonts w:cstheme="minorHAnsi"/>
                <w:color w:val="000000"/>
              </w:rPr>
              <w:t xml:space="preserve"> – Q1-Q5 and missing</w:t>
            </w:r>
          </w:p>
          <w:p w14:paraId="5D7F1F3D" w14:textId="5BD150AB" w:rsidR="005B6257" w:rsidRPr="005B6257" w:rsidRDefault="007B7CD5" w:rsidP="00BA4EF8">
            <w:pPr>
              <w:pStyle w:val="ListParagraph"/>
              <w:numPr>
                <w:ilvl w:val="1"/>
                <w:numId w:val="23"/>
              </w:numPr>
              <w:rPr>
                <w:rFonts w:cstheme="minorHAnsi"/>
                <w:color w:val="000000"/>
              </w:rPr>
            </w:pPr>
            <w:r>
              <w:rPr>
                <w:rFonts w:cstheme="minorHAnsi"/>
                <w:color w:val="000000"/>
              </w:rPr>
              <w:t>Material Deprivation</w:t>
            </w:r>
            <w:r w:rsidR="00074729">
              <w:rPr>
                <w:rFonts w:cstheme="minorHAnsi"/>
                <w:color w:val="000000"/>
              </w:rPr>
              <w:t xml:space="preserve"> – Q1-Q5 and missing</w:t>
            </w:r>
          </w:p>
          <w:p w14:paraId="511EDF75" w14:textId="63A3D7C7" w:rsidR="005B6257" w:rsidRPr="005B6257" w:rsidRDefault="007B7CD5" w:rsidP="00BA4EF8">
            <w:pPr>
              <w:pStyle w:val="ListParagraph"/>
              <w:numPr>
                <w:ilvl w:val="1"/>
                <w:numId w:val="23"/>
              </w:numPr>
              <w:rPr>
                <w:rFonts w:cstheme="minorHAnsi"/>
                <w:color w:val="000000"/>
              </w:rPr>
            </w:pPr>
            <w:r>
              <w:rPr>
                <w:rFonts w:cstheme="minorHAnsi"/>
                <w:color w:val="000000"/>
              </w:rPr>
              <w:t>Ethnic Concentration</w:t>
            </w:r>
            <w:r w:rsidR="00074729">
              <w:rPr>
                <w:rFonts w:cstheme="minorHAnsi"/>
                <w:color w:val="000000"/>
              </w:rPr>
              <w:t xml:space="preserve"> – Q1-Q5 and missing</w:t>
            </w:r>
          </w:p>
          <w:p w14:paraId="7B958394" w14:textId="74F62B9C" w:rsidR="005B6257" w:rsidRPr="005B6257" w:rsidRDefault="007B7CD5" w:rsidP="00BA4EF8">
            <w:pPr>
              <w:pStyle w:val="ListParagraph"/>
              <w:numPr>
                <w:ilvl w:val="1"/>
                <w:numId w:val="23"/>
              </w:numPr>
              <w:rPr>
                <w:rFonts w:cstheme="minorHAnsi"/>
                <w:color w:val="000000"/>
              </w:rPr>
            </w:pPr>
            <w:r>
              <w:rPr>
                <w:rFonts w:cstheme="minorHAnsi"/>
                <w:color w:val="000000"/>
              </w:rPr>
              <w:t>Residential Instability</w:t>
            </w:r>
            <w:r w:rsidR="00074729">
              <w:rPr>
                <w:rFonts w:cstheme="minorHAnsi"/>
                <w:color w:val="000000"/>
              </w:rPr>
              <w:t xml:space="preserve"> – Q1-Q5 and missing</w:t>
            </w:r>
          </w:p>
          <w:p w14:paraId="2DE9629E" w14:textId="254A4AB1" w:rsidR="007F19F0" w:rsidRDefault="007F19F0" w:rsidP="00BA4EF8">
            <w:pPr>
              <w:pStyle w:val="ListParagraph"/>
              <w:numPr>
                <w:ilvl w:val="0"/>
                <w:numId w:val="23"/>
              </w:numPr>
              <w:spacing w:after="160"/>
            </w:pPr>
            <w:r w:rsidRPr="002A0A64">
              <w:t xml:space="preserve">Diabetes diagnosis </w:t>
            </w:r>
            <w:r>
              <w:rPr>
                <w:u w:val="single"/>
              </w:rPr>
              <w:t xml:space="preserve">prior </w:t>
            </w:r>
            <w:r w:rsidRPr="007F19F0">
              <w:rPr>
                <w:u w:val="single"/>
              </w:rPr>
              <w:t>(excluding index)</w:t>
            </w:r>
            <w:r w:rsidRPr="002A0A64">
              <w:t xml:space="preserve"> to </w:t>
            </w:r>
            <w:r w:rsidR="00074729">
              <w:rPr>
                <w:lang w:val="en-CA"/>
              </w:rPr>
              <w:t>date of primary care provider loss</w:t>
            </w:r>
            <w:r w:rsidR="00074729" w:rsidRPr="002A0A64">
              <w:t xml:space="preserve"> </w:t>
            </w:r>
            <w:r w:rsidRPr="002A0A64">
              <w:t>(use the ICES-derived cohort: Ontario Diabetes Dataset) (n, %)</w:t>
            </w:r>
          </w:p>
          <w:p w14:paraId="39B8DE1E" w14:textId="11AF83EE" w:rsidR="00CC2082" w:rsidRPr="002A0A64" w:rsidRDefault="00CC2082" w:rsidP="00BA4EF8">
            <w:pPr>
              <w:pStyle w:val="ListParagraph"/>
              <w:numPr>
                <w:ilvl w:val="0"/>
                <w:numId w:val="23"/>
              </w:numPr>
              <w:spacing w:after="160"/>
            </w:pPr>
            <w:r w:rsidRPr="002A0A64">
              <w:t xml:space="preserve">COPD diagnosis </w:t>
            </w:r>
            <w:r w:rsidRPr="002A0A64">
              <w:rPr>
                <w:u w:val="single"/>
              </w:rPr>
              <w:t>prior (excluding index)</w:t>
            </w:r>
            <w:r w:rsidRPr="002A0A64">
              <w:t xml:space="preserve"> to </w:t>
            </w:r>
            <w:r w:rsidR="00074729">
              <w:rPr>
                <w:lang w:val="en-CA"/>
              </w:rPr>
              <w:t>date of primary care provider loss</w:t>
            </w:r>
            <w:r w:rsidR="00074729" w:rsidRPr="002A0A64">
              <w:t xml:space="preserve"> </w:t>
            </w:r>
            <w:r w:rsidRPr="002A0A64">
              <w:t>(use the ICES-derived cohort: Chronic Obstructive Pulmonary Disease) (n, %)</w:t>
            </w:r>
          </w:p>
          <w:p w14:paraId="042E0410" w14:textId="081FF3FD" w:rsidR="00CC2082" w:rsidRPr="002A0A64" w:rsidRDefault="00CC2082" w:rsidP="00BA4EF8">
            <w:pPr>
              <w:pStyle w:val="ListParagraph"/>
              <w:numPr>
                <w:ilvl w:val="0"/>
                <w:numId w:val="23"/>
              </w:numPr>
              <w:spacing w:after="160"/>
            </w:pPr>
            <w:r w:rsidRPr="002A0A64">
              <w:t xml:space="preserve">Asthma diagnosis </w:t>
            </w:r>
            <w:r w:rsidRPr="002A0A64">
              <w:rPr>
                <w:u w:val="single"/>
              </w:rPr>
              <w:t>prior (excluding index)</w:t>
            </w:r>
            <w:r w:rsidRPr="002A0A64">
              <w:t xml:space="preserve"> to </w:t>
            </w:r>
            <w:r w:rsidR="00074729">
              <w:rPr>
                <w:lang w:val="en-CA"/>
              </w:rPr>
              <w:t>date of primary care provider loss</w:t>
            </w:r>
            <w:r w:rsidR="00074729" w:rsidRPr="002A0A64">
              <w:t xml:space="preserve"> </w:t>
            </w:r>
            <w:r w:rsidRPr="002A0A64">
              <w:t>(use the ICES-derived cohort: Ontario Asthma dataset) (n, %)</w:t>
            </w:r>
          </w:p>
          <w:p w14:paraId="70A0CD83" w14:textId="2D10BBD4" w:rsidR="009367B5" w:rsidRDefault="009367B5" w:rsidP="00BA4EF8">
            <w:pPr>
              <w:pStyle w:val="ListParagraph"/>
              <w:numPr>
                <w:ilvl w:val="0"/>
                <w:numId w:val="23"/>
              </w:numPr>
              <w:spacing w:after="160"/>
            </w:pPr>
            <w:r w:rsidRPr="002A0A64">
              <w:t xml:space="preserve">Health service utilization for liver disease in the </w:t>
            </w:r>
            <w:r w:rsidRPr="002A0A64">
              <w:rPr>
                <w:u w:val="single"/>
              </w:rPr>
              <w:t>3 years prior (excluding index)</w:t>
            </w:r>
            <w:r w:rsidRPr="002A0A64">
              <w:t xml:space="preserve"> to </w:t>
            </w:r>
            <w:r w:rsidR="00074729">
              <w:rPr>
                <w:lang w:val="en-CA"/>
              </w:rPr>
              <w:t>date of primary care provider loss</w:t>
            </w:r>
            <w:r w:rsidR="00074729" w:rsidRPr="002A0A64">
              <w:t xml:space="preserve"> </w:t>
            </w:r>
            <w:r w:rsidRPr="002A0A64">
              <w:t>(n, %)</w:t>
            </w:r>
          </w:p>
          <w:p w14:paraId="5DB99075" w14:textId="66B3AE7D" w:rsidR="0087576F" w:rsidRPr="00DB453E" w:rsidRDefault="0087576F" w:rsidP="00BA4EF8">
            <w:pPr>
              <w:pStyle w:val="ListParagraph"/>
              <w:numPr>
                <w:ilvl w:val="1"/>
                <w:numId w:val="23"/>
              </w:numPr>
              <w:spacing w:after="160"/>
            </w:pPr>
            <w:r w:rsidRPr="00DB453E">
              <w:t xml:space="preserve">See </w:t>
            </w:r>
            <w:hyperlink w:anchor="_Appendix_A:_Codes" w:history="1">
              <w:r w:rsidRPr="00DB453E">
                <w:rPr>
                  <w:rStyle w:val="Hyperlink"/>
                </w:rPr>
                <w:t>Appendix</w:t>
              </w:r>
              <w:r w:rsidR="00DB453E" w:rsidRPr="00DB453E">
                <w:rPr>
                  <w:rStyle w:val="Hyperlink"/>
                </w:rPr>
                <w:t xml:space="preserve"> A</w:t>
              </w:r>
            </w:hyperlink>
            <w:r w:rsidRPr="00DB453E">
              <w:t xml:space="preserve"> for diagnosis codes</w:t>
            </w:r>
          </w:p>
          <w:p w14:paraId="63F91519" w14:textId="3BE6E790" w:rsidR="009367B5" w:rsidRPr="00DB453E" w:rsidRDefault="009367B5" w:rsidP="00BA4EF8">
            <w:pPr>
              <w:pStyle w:val="ListParagraph"/>
              <w:numPr>
                <w:ilvl w:val="0"/>
                <w:numId w:val="23"/>
              </w:numPr>
              <w:spacing w:after="160"/>
            </w:pPr>
            <w:r w:rsidRPr="00DB453E">
              <w:lastRenderedPageBreak/>
              <w:t xml:space="preserve">Health service utilization for chronic kidney disease in the </w:t>
            </w:r>
            <w:r w:rsidRPr="00DB453E">
              <w:rPr>
                <w:u w:val="single"/>
              </w:rPr>
              <w:t>3 years prior (excluding index)</w:t>
            </w:r>
            <w:r w:rsidRPr="00DB453E">
              <w:t xml:space="preserve"> to </w:t>
            </w:r>
            <w:r w:rsidR="00074729">
              <w:rPr>
                <w:lang w:val="en-CA"/>
              </w:rPr>
              <w:t>date of primary care provider loss</w:t>
            </w:r>
            <w:r w:rsidR="00074729" w:rsidRPr="00DB453E">
              <w:t xml:space="preserve"> </w:t>
            </w:r>
            <w:r w:rsidRPr="00DB453E">
              <w:t>(n, %)</w:t>
            </w:r>
          </w:p>
          <w:p w14:paraId="040E4FF6" w14:textId="580A6AFA" w:rsidR="00CC2082" w:rsidRPr="00DB453E" w:rsidRDefault="0087576F" w:rsidP="00BA4EF8">
            <w:pPr>
              <w:pStyle w:val="ListParagraph"/>
              <w:numPr>
                <w:ilvl w:val="1"/>
                <w:numId w:val="23"/>
              </w:numPr>
              <w:spacing w:after="160"/>
            </w:pPr>
            <w:r w:rsidRPr="00DB453E">
              <w:t xml:space="preserve">See </w:t>
            </w:r>
            <w:hyperlink w:anchor="_Appendix_A:_Codes" w:history="1">
              <w:r w:rsidRPr="00DB453E">
                <w:rPr>
                  <w:rStyle w:val="Hyperlink"/>
                </w:rPr>
                <w:t>Appendix</w:t>
              </w:r>
              <w:r w:rsidR="00DB453E" w:rsidRPr="00DB453E">
                <w:rPr>
                  <w:rStyle w:val="Hyperlink"/>
                </w:rPr>
                <w:t xml:space="preserve"> A</w:t>
              </w:r>
            </w:hyperlink>
            <w:r w:rsidRPr="00DB453E">
              <w:t xml:space="preserve"> for diagnosis codes</w:t>
            </w:r>
          </w:p>
          <w:p w14:paraId="3FD10F3E" w14:textId="2E1F1897" w:rsidR="00376EC7" w:rsidRPr="00DB453E" w:rsidRDefault="00376EC7" w:rsidP="00BA4EF8">
            <w:pPr>
              <w:pStyle w:val="ListParagraph"/>
              <w:numPr>
                <w:ilvl w:val="0"/>
                <w:numId w:val="23"/>
              </w:numPr>
              <w:spacing w:after="160"/>
            </w:pPr>
            <w:r w:rsidRPr="00DB453E">
              <w:t xml:space="preserve">Health service utilization for alcohol use disorder in the </w:t>
            </w:r>
            <w:r w:rsidRPr="00DB453E">
              <w:rPr>
                <w:u w:val="single"/>
              </w:rPr>
              <w:t>3 years prior (excluding index)</w:t>
            </w:r>
            <w:r w:rsidRPr="00DB453E">
              <w:t xml:space="preserve"> to </w:t>
            </w:r>
            <w:r w:rsidR="00074729">
              <w:rPr>
                <w:lang w:val="en-CA"/>
              </w:rPr>
              <w:t>date of primary care provider loss</w:t>
            </w:r>
            <w:r w:rsidR="00074729" w:rsidRPr="00DB453E">
              <w:t xml:space="preserve"> </w:t>
            </w:r>
            <w:r w:rsidRPr="00DB453E">
              <w:t>(n, %)</w:t>
            </w:r>
          </w:p>
          <w:p w14:paraId="0D1C10F0" w14:textId="04BF087A" w:rsidR="00376EC7" w:rsidRPr="00DB453E" w:rsidRDefault="00376EC7" w:rsidP="00BA4EF8">
            <w:pPr>
              <w:pStyle w:val="ListParagraph"/>
              <w:numPr>
                <w:ilvl w:val="1"/>
                <w:numId w:val="23"/>
              </w:numPr>
              <w:spacing w:after="160"/>
            </w:pPr>
            <w:r w:rsidRPr="00DB453E">
              <w:t xml:space="preserve">See </w:t>
            </w:r>
            <w:hyperlink w:anchor="_Appendix_A:_Codes" w:history="1">
              <w:r w:rsidRPr="00DB453E">
                <w:rPr>
                  <w:rStyle w:val="Hyperlink"/>
                </w:rPr>
                <w:t>Appendix</w:t>
              </w:r>
              <w:r w:rsidR="00DB453E" w:rsidRPr="00DB453E">
                <w:rPr>
                  <w:rStyle w:val="Hyperlink"/>
                </w:rPr>
                <w:t xml:space="preserve"> A</w:t>
              </w:r>
            </w:hyperlink>
            <w:r w:rsidRPr="00DB453E">
              <w:t xml:space="preserve"> for diagnosis codes</w:t>
            </w:r>
          </w:p>
          <w:p w14:paraId="30624028" w14:textId="29815BC1" w:rsidR="00376EC7" w:rsidRPr="00DB453E" w:rsidRDefault="00E25E77" w:rsidP="00BA4EF8">
            <w:pPr>
              <w:pStyle w:val="ListParagraph"/>
              <w:numPr>
                <w:ilvl w:val="0"/>
                <w:numId w:val="23"/>
              </w:numPr>
              <w:spacing w:after="160"/>
            </w:pPr>
            <w:r>
              <w:t>ED</w:t>
            </w:r>
            <w:r w:rsidR="00376EC7" w:rsidRPr="00DB453E">
              <w:t xml:space="preserve"> or hospitalization visit for opioid toxicity in the </w:t>
            </w:r>
            <w:r w:rsidR="00376EC7" w:rsidRPr="00DB453E">
              <w:rPr>
                <w:u w:val="single"/>
              </w:rPr>
              <w:t>3 years prior (excluding index)</w:t>
            </w:r>
            <w:r w:rsidR="00376EC7" w:rsidRPr="00DB453E">
              <w:t xml:space="preserve"> to </w:t>
            </w:r>
            <w:r w:rsidR="00074729">
              <w:rPr>
                <w:lang w:val="en-CA"/>
              </w:rPr>
              <w:t>date of primary care provider loss</w:t>
            </w:r>
            <w:r w:rsidR="00074729" w:rsidRPr="00DB453E">
              <w:t xml:space="preserve"> </w:t>
            </w:r>
            <w:r w:rsidR="00143DA2" w:rsidRPr="00DB453E">
              <w:t>(n, %)</w:t>
            </w:r>
          </w:p>
          <w:p w14:paraId="217D02CA" w14:textId="1D49E6E0" w:rsidR="00376EC7" w:rsidRPr="00DB453E" w:rsidRDefault="00376EC7" w:rsidP="00BA4EF8">
            <w:pPr>
              <w:pStyle w:val="ListParagraph"/>
              <w:numPr>
                <w:ilvl w:val="1"/>
                <w:numId w:val="23"/>
              </w:numPr>
              <w:spacing w:after="160"/>
            </w:pPr>
            <w:r w:rsidRPr="00DB453E">
              <w:t xml:space="preserve">See </w:t>
            </w:r>
            <w:hyperlink w:anchor="_Appendix_A:_Codes" w:history="1">
              <w:r w:rsidRPr="00DB453E">
                <w:rPr>
                  <w:rStyle w:val="Hyperlink"/>
                </w:rPr>
                <w:t xml:space="preserve">Appendix </w:t>
              </w:r>
              <w:r w:rsidR="00DB453E" w:rsidRPr="00DB453E">
                <w:rPr>
                  <w:rStyle w:val="Hyperlink"/>
                </w:rPr>
                <w:t>A</w:t>
              </w:r>
            </w:hyperlink>
            <w:r w:rsidR="00DB453E" w:rsidRPr="00DB453E">
              <w:t xml:space="preserve"> </w:t>
            </w:r>
            <w:r w:rsidRPr="00DB453E">
              <w:t>for diagnosis codes</w:t>
            </w:r>
          </w:p>
          <w:p w14:paraId="25395247" w14:textId="588B2A8A" w:rsidR="002F2076" w:rsidRPr="002A0A64" w:rsidRDefault="002F2076" w:rsidP="00BA4EF8">
            <w:pPr>
              <w:pStyle w:val="ListParagraph"/>
              <w:numPr>
                <w:ilvl w:val="0"/>
                <w:numId w:val="23"/>
              </w:numPr>
            </w:pPr>
            <w:r w:rsidRPr="002A0A64">
              <w:t xml:space="preserve">Any ED visit or hospitalization for mental health and addictions diagnoses in the </w:t>
            </w:r>
            <w:r w:rsidRPr="002A0A64">
              <w:rPr>
                <w:u w:val="single"/>
              </w:rPr>
              <w:t>3 years prior (excluding index)</w:t>
            </w:r>
            <w:r w:rsidRPr="002A0A64">
              <w:t xml:space="preserve"> to </w:t>
            </w:r>
            <w:r w:rsidR="00074729">
              <w:rPr>
                <w:lang w:val="en-CA"/>
              </w:rPr>
              <w:t>date of primary care provider loss</w:t>
            </w:r>
          </w:p>
          <w:p w14:paraId="5CD97B39" w14:textId="1B34EAD6" w:rsidR="00376EC7" w:rsidRPr="00DE6DAC" w:rsidRDefault="00DE6DAC" w:rsidP="00BA4EF8">
            <w:pPr>
              <w:pStyle w:val="ListParagraph"/>
              <w:numPr>
                <w:ilvl w:val="1"/>
                <w:numId w:val="23"/>
              </w:numPr>
              <w:spacing w:after="160"/>
            </w:pPr>
            <w:r w:rsidRPr="00DE6DAC">
              <w:t>NACRS</w:t>
            </w:r>
          </w:p>
          <w:p w14:paraId="5EFFC155" w14:textId="59B4F4E4" w:rsidR="00DE6DAC" w:rsidRDefault="00DE6DAC" w:rsidP="00BA4EF8">
            <w:pPr>
              <w:pStyle w:val="ListParagraph"/>
              <w:numPr>
                <w:ilvl w:val="2"/>
                <w:numId w:val="23"/>
              </w:numPr>
              <w:spacing w:after="160"/>
            </w:pPr>
            <w:r>
              <w:t>Using</w:t>
            </w:r>
            <w:r w:rsidRPr="00DE6DAC">
              <w:t xml:space="preserve"> </w:t>
            </w:r>
            <w:r>
              <w:t>the</w:t>
            </w:r>
            <w:r w:rsidRPr="00DE6DAC">
              <w:t xml:space="preserve"> </w:t>
            </w:r>
            <w:r>
              <w:t>NACRS_ED_EPI d</w:t>
            </w:r>
            <w:r w:rsidRPr="00DE6DAC">
              <w:t>ataset</w:t>
            </w:r>
            <w:r>
              <w:t xml:space="preserve"> (which links ED records into episodes), identify mental health-related emergency department visits that occurred in the 3 years prior to the </w:t>
            </w:r>
            <w:r w:rsidR="00074729">
              <w:rPr>
                <w:lang w:val="en-CA"/>
              </w:rPr>
              <w:t>date of primary care provider loss</w:t>
            </w:r>
            <w:r w:rsidR="00074729">
              <w:t xml:space="preserve"> </w:t>
            </w:r>
            <w:r>
              <w:t>using the ‘REGDATE’ variable</w:t>
            </w:r>
            <w:r w:rsidR="000E2094">
              <w:t>. Restrict to visits where the ‘MHASEF_OLD’</w:t>
            </w:r>
            <w:r w:rsidR="000E2094" w:rsidRPr="00E2112B">
              <w:t xml:space="preserve"> variable</w:t>
            </w:r>
            <w:r w:rsidR="000E2094">
              <w:t xml:space="preserve"> ne ‘’, and use this variable </w:t>
            </w:r>
            <w:r>
              <w:t>to determine mental health and addictions diagnosis categories</w:t>
            </w:r>
          </w:p>
          <w:p w14:paraId="5821C951" w14:textId="5D7031C1" w:rsidR="00DE6DAC" w:rsidRDefault="00DE6DAC" w:rsidP="00BA4EF8">
            <w:pPr>
              <w:pStyle w:val="ListParagraph"/>
              <w:numPr>
                <w:ilvl w:val="1"/>
                <w:numId w:val="23"/>
              </w:numPr>
              <w:spacing w:after="160"/>
            </w:pPr>
            <w:r>
              <w:t xml:space="preserve">  DAD and OMHRS</w:t>
            </w:r>
          </w:p>
          <w:p w14:paraId="5E7EEFBA" w14:textId="05FD8110" w:rsidR="00DE6DAC" w:rsidRDefault="00DE6DAC" w:rsidP="00BA4EF8">
            <w:pPr>
              <w:pStyle w:val="ListParagraph"/>
              <w:numPr>
                <w:ilvl w:val="2"/>
                <w:numId w:val="23"/>
              </w:numPr>
            </w:pPr>
            <w:r w:rsidRPr="00DE6DAC">
              <w:t>Us</w:t>
            </w:r>
            <w:r w:rsidR="000E2094">
              <w:t xml:space="preserve">ing </w:t>
            </w:r>
            <w:r w:rsidR="00024EBA">
              <w:t xml:space="preserve">the </w:t>
            </w:r>
            <w:r w:rsidRPr="00DE6DAC">
              <w:t>DADOMHRS_EPI_MHA dataset</w:t>
            </w:r>
            <w:r w:rsidR="00024EBA">
              <w:t xml:space="preserve"> (</w:t>
            </w:r>
            <w:r w:rsidRPr="00DE6DAC">
              <w:t>which contains episodes of care comprised of BOTH acute inpatient hospitalizations and psychiatric admissions</w:t>
            </w:r>
            <w:r w:rsidR="00024EBA">
              <w:t xml:space="preserve">), identify mental health-related hospitalizations that occurred in the 3 years prior to </w:t>
            </w:r>
            <w:r w:rsidR="00074729">
              <w:rPr>
                <w:lang w:val="en-CA"/>
              </w:rPr>
              <w:t>date of primary care provider loss</w:t>
            </w:r>
            <w:r w:rsidR="00074729">
              <w:t xml:space="preserve"> </w:t>
            </w:r>
            <w:r w:rsidR="00024EBA">
              <w:t>using the ‘EPI_DDATE’</w:t>
            </w:r>
            <w:r w:rsidR="00024EBA" w:rsidRPr="00024EBA">
              <w:t xml:space="preserve"> variable (exclude those without a discharge date).</w:t>
            </w:r>
            <w:r w:rsidR="000E2094" w:rsidRPr="00E2112B">
              <w:t xml:space="preserve"> </w:t>
            </w:r>
            <w:r w:rsidR="000E2094">
              <w:t>Restrict to visits where the ‘MHASEF_OLD’</w:t>
            </w:r>
            <w:r w:rsidR="000E2094" w:rsidRPr="00E2112B">
              <w:t xml:space="preserve"> variable</w:t>
            </w:r>
            <w:r w:rsidR="000E2094">
              <w:t xml:space="preserve"> ne ‘’, and use this variable to determine mental health and addictions diagnosis categories</w:t>
            </w:r>
          </w:p>
          <w:p w14:paraId="5D041D8C" w14:textId="59821BE2" w:rsidR="00CC7147" w:rsidRDefault="00CC7147" w:rsidP="00BA4EF8">
            <w:pPr>
              <w:pStyle w:val="ListParagraph"/>
              <w:numPr>
                <w:ilvl w:val="0"/>
                <w:numId w:val="23"/>
              </w:numPr>
            </w:pPr>
            <w:r w:rsidRPr="00883F66">
              <w:t>Enrolment program type (CAPE ‘PROGTYPE’ variable)</w:t>
            </w:r>
          </w:p>
          <w:p w14:paraId="6F74836B" w14:textId="5C35FAED" w:rsidR="00BA4EF8" w:rsidRPr="00883F66" w:rsidRDefault="00BA4EF8" w:rsidP="00BA4EF8">
            <w:pPr>
              <w:pStyle w:val="ListParagraph"/>
              <w:numPr>
                <w:ilvl w:val="1"/>
                <w:numId w:val="23"/>
              </w:numPr>
            </w:pPr>
            <w:r>
              <w:t>Collapse into Capitation (FHO/FHN), Enhanced Fee-for-Service (FHG/CCM), or Other (all other)</w:t>
            </w:r>
          </w:p>
          <w:p w14:paraId="0C07517E" w14:textId="1D46D3F5" w:rsidR="00C933B3" w:rsidRPr="00883F66" w:rsidRDefault="00C933B3" w:rsidP="00BA4EF8">
            <w:pPr>
              <w:pStyle w:val="ListParagraph"/>
              <w:numPr>
                <w:ilvl w:val="0"/>
                <w:numId w:val="23"/>
              </w:numPr>
            </w:pPr>
            <w:r w:rsidRPr="00883F66">
              <w:t>End reason code for patient enrolment (CAPE ‘TERMINATION’ variable)</w:t>
            </w:r>
            <w:r w:rsidR="00883F66">
              <w:t xml:space="preserve"> </w:t>
            </w:r>
          </w:p>
          <w:p w14:paraId="016F86B2" w14:textId="24C3F159" w:rsidR="00CC7147" w:rsidRDefault="00CC7147" w:rsidP="00BA4EF8">
            <w:pPr>
              <w:pStyle w:val="ListParagraph"/>
              <w:numPr>
                <w:ilvl w:val="0"/>
                <w:numId w:val="23"/>
              </w:numPr>
            </w:pPr>
            <w:r w:rsidRPr="002A0A64">
              <w:t xml:space="preserve">Health system utilization in the </w:t>
            </w:r>
            <w:r w:rsidRPr="002A0A64">
              <w:rPr>
                <w:u w:val="single"/>
              </w:rPr>
              <w:t>1 year prior (excluding index)</w:t>
            </w:r>
            <w:r w:rsidRPr="002A0A64">
              <w:t xml:space="preserve"> to </w:t>
            </w:r>
            <w:r w:rsidR="00074729">
              <w:rPr>
                <w:lang w:val="en-CA"/>
              </w:rPr>
              <w:t>date of primary care provider loss</w:t>
            </w:r>
          </w:p>
          <w:p w14:paraId="005D5FD8" w14:textId="10982E13" w:rsidR="00BA4EF8" w:rsidRPr="002A0A64" w:rsidRDefault="00BA4EF8" w:rsidP="00BA4EF8">
            <w:pPr>
              <w:pStyle w:val="ListParagraph"/>
              <w:numPr>
                <w:ilvl w:val="1"/>
                <w:numId w:val="23"/>
              </w:numPr>
            </w:pPr>
            <w:r w:rsidRPr="002A0A64">
              <w:t>Number of physician visits</w:t>
            </w:r>
            <w:r>
              <w:t xml:space="preserve"> </w:t>
            </w:r>
            <w:r w:rsidRPr="00BA4EF8">
              <w:rPr>
                <w:b/>
              </w:rPr>
              <w:t>for any reason</w:t>
            </w:r>
            <w:r w:rsidRPr="002A0A64">
              <w:t xml:space="preserve"> (</w:t>
            </w:r>
            <w:r w:rsidR="00A469C6">
              <w:t xml:space="preserve">Mean </w:t>
            </w:r>
            <w:r w:rsidR="00A469C6">
              <w:rPr>
                <w:u w:val="single"/>
              </w:rPr>
              <w:t>+</w:t>
            </w:r>
            <w:r w:rsidR="00A469C6" w:rsidRPr="00A469C6">
              <w:t xml:space="preserve"> </w:t>
            </w:r>
            <w:r w:rsidR="00720E97">
              <w:t>SD</w:t>
            </w:r>
            <w:r w:rsidRPr="002A0A64">
              <w:t>)</w:t>
            </w:r>
            <w:r>
              <w:t xml:space="preserve"> </w:t>
            </w:r>
          </w:p>
          <w:p w14:paraId="19328F41" w14:textId="74460EC5" w:rsidR="00BA4EF8" w:rsidRDefault="00A469C6" w:rsidP="00BA4EF8">
            <w:pPr>
              <w:pStyle w:val="ListParagraph"/>
              <w:numPr>
                <w:ilvl w:val="2"/>
                <w:numId w:val="23"/>
              </w:numPr>
            </w:pPr>
            <w:r>
              <w:t>Extract visits from OHIP,</w:t>
            </w:r>
            <w:r w:rsidR="00BA4EF8">
              <w:t xml:space="preserve"> restrict to visits with a location of Office, Home, LTC, Phone, or Undefined. C</w:t>
            </w:r>
            <w:r w:rsidR="00BA4EF8" w:rsidRPr="002A0A64">
              <w:t>ount one claim per person per physician per day</w:t>
            </w:r>
          </w:p>
          <w:p w14:paraId="43AE636B" w14:textId="21672AF1" w:rsidR="00BA4EF8" w:rsidRDefault="00BA4EF8" w:rsidP="00BA4EF8">
            <w:pPr>
              <w:pStyle w:val="ListParagraph"/>
              <w:numPr>
                <w:ilvl w:val="1"/>
                <w:numId w:val="23"/>
              </w:numPr>
            </w:pPr>
            <w:r>
              <w:t xml:space="preserve">Number of physician visits </w:t>
            </w:r>
            <w:r w:rsidRPr="00BA4EF8">
              <w:rPr>
                <w:b/>
              </w:rPr>
              <w:t>for any reason</w:t>
            </w:r>
            <w:r>
              <w:t xml:space="preserve"> with CAPE physician </w:t>
            </w:r>
            <w:r w:rsidRPr="002A0A64">
              <w:t>(</w:t>
            </w:r>
            <w:r w:rsidR="00A469C6">
              <w:t xml:space="preserve">Mean </w:t>
            </w:r>
            <w:r w:rsidR="00A469C6">
              <w:rPr>
                <w:u w:val="single"/>
              </w:rPr>
              <w:t>+</w:t>
            </w:r>
            <w:r w:rsidR="00A469C6" w:rsidRPr="00A469C6">
              <w:t xml:space="preserve"> </w:t>
            </w:r>
            <w:r w:rsidR="00A469C6">
              <w:t>SD</w:t>
            </w:r>
            <w:r w:rsidRPr="002A0A64">
              <w:t>)</w:t>
            </w:r>
          </w:p>
          <w:p w14:paraId="54411BF4" w14:textId="01C173D3" w:rsidR="00BA4EF8" w:rsidRPr="002A0A64" w:rsidRDefault="00A469C6" w:rsidP="00BA4EF8">
            <w:pPr>
              <w:pStyle w:val="ListParagraph"/>
              <w:numPr>
                <w:ilvl w:val="2"/>
                <w:numId w:val="23"/>
              </w:numPr>
            </w:pPr>
            <w:r>
              <w:t xml:space="preserve">Extract visits from OHIP, </w:t>
            </w:r>
            <w:r w:rsidR="00BA4EF8">
              <w:t>restrict to visits with a location of Office, Home, LTC, Phone, or Undefined</w:t>
            </w:r>
            <w:r w:rsidR="00BA4EF8" w:rsidRPr="002A0A64">
              <w:t xml:space="preserve"> </w:t>
            </w:r>
            <w:r w:rsidR="00BA4EF8">
              <w:t>and those with the physician that they were previously rostered to. C</w:t>
            </w:r>
            <w:r w:rsidR="00BA4EF8" w:rsidRPr="002A0A64">
              <w:t>ount one claim per person per day</w:t>
            </w:r>
          </w:p>
          <w:p w14:paraId="0E980725" w14:textId="60E9038C" w:rsidR="00CC7147" w:rsidRPr="002A0A64" w:rsidRDefault="00CC7147" w:rsidP="00BA4EF8">
            <w:pPr>
              <w:pStyle w:val="ListParagraph"/>
              <w:numPr>
                <w:ilvl w:val="1"/>
                <w:numId w:val="23"/>
              </w:numPr>
            </w:pPr>
            <w:r w:rsidRPr="002A0A64">
              <w:t>Number of ED visits (</w:t>
            </w:r>
            <w:r w:rsidR="00A469C6">
              <w:t xml:space="preserve">Mean </w:t>
            </w:r>
            <w:r w:rsidR="00A469C6">
              <w:rPr>
                <w:u w:val="single"/>
              </w:rPr>
              <w:t>+</w:t>
            </w:r>
            <w:r w:rsidR="00A469C6" w:rsidRPr="00A469C6">
              <w:t xml:space="preserve"> </w:t>
            </w:r>
            <w:r w:rsidR="00A469C6">
              <w:t>SD</w:t>
            </w:r>
            <w:r w:rsidRPr="002A0A64">
              <w:t>)</w:t>
            </w:r>
          </w:p>
          <w:p w14:paraId="7956C9FD" w14:textId="71EE0FA0" w:rsidR="00CC7147" w:rsidRPr="002A0A64" w:rsidRDefault="00A469C6" w:rsidP="00BA4EF8">
            <w:pPr>
              <w:pStyle w:val="ListParagraph"/>
              <w:numPr>
                <w:ilvl w:val="2"/>
                <w:numId w:val="23"/>
              </w:numPr>
            </w:pPr>
            <w:r>
              <w:t>Extract visits from NACRS</w:t>
            </w:r>
            <w:r w:rsidR="00D26EBE">
              <w:t>, and count the number of visits per person</w:t>
            </w:r>
          </w:p>
          <w:p w14:paraId="118FEDEB" w14:textId="6338550E" w:rsidR="00CC7147" w:rsidRPr="002A0A64" w:rsidRDefault="00CC7147" w:rsidP="00BA4EF8">
            <w:pPr>
              <w:pStyle w:val="ListParagraph"/>
              <w:numPr>
                <w:ilvl w:val="1"/>
                <w:numId w:val="23"/>
              </w:numPr>
            </w:pPr>
            <w:r w:rsidRPr="002A0A64">
              <w:t xml:space="preserve">Number of </w:t>
            </w:r>
            <w:r>
              <w:t xml:space="preserve">inpatient </w:t>
            </w:r>
            <w:r w:rsidRPr="002A0A64">
              <w:t xml:space="preserve">hospitalizations (Mean </w:t>
            </w:r>
            <w:r w:rsidRPr="002A0A64">
              <w:rPr>
                <w:u w:val="single"/>
              </w:rPr>
              <w:t>+</w:t>
            </w:r>
            <w:r w:rsidRPr="002A0A64">
              <w:t xml:space="preserve"> SD)</w:t>
            </w:r>
          </w:p>
          <w:p w14:paraId="4F10549F" w14:textId="4852641A" w:rsidR="00D26EBE" w:rsidRDefault="00D26EBE" w:rsidP="00BA4EF8">
            <w:pPr>
              <w:pStyle w:val="ListParagraph"/>
              <w:numPr>
                <w:ilvl w:val="2"/>
                <w:numId w:val="23"/>
              </w:numPr>
              <w:rPr>
                <w:lang w:val="en-CA"/>
              </w:rPr>
            </w:pPr>
            <w:r>
              <w:rPr>
                <w:lang w:val="en-CA"/>
              </w:rPr>
              <w:t>Extract visits from DAD</w:t>
            </w:r>
          </w:p>
          <w:p w14:paraId="196ABB69" w14:textId="6381F6E3" w:rsidR="00D57799" w:rsidRPr="005F1887" w:rsidRDefault="00D57799" w:rsidP="00BA4EF8">
            <w:pPr>
              <w:pStyle w:val="ListParagraph"/>
              <w:numPr>
                <w:ilvl w:val="2"/>
                <w:numId w:val="23"/>
              </w:numPr>
              <w:rPr>
                <w:lang w:val="en-CA"/>
              </w:rPr>
            </w:pPr>
            <w:r w:rsidRPr="005F1887">
              <w:rPr>
                <w:lang w:val="en-CA"/>
              </w:rPr>
              <w:lastRenderedPageBreak/>
              <w:t>Count the number of unique hospital episodes</w:t>
            </w:r>
            <w:r w:rsidR="00D26EBE">
              <w:rPr>
                <w:lang w:val="en-CA"/>
              </w:rPr>
              <w:t xml:space="preserve"> per person</w:t>
            </w:r>
            <w:r w:rsidRPr="005F1887">
              <w:rPr>
                <w:lang w:val="en-CA"/>
              </w:rPr>
              <w:t xml:space="preserve"> (epi variable in DAD)</w:t>
            </w:r>
          </w:p>
          <w:p w14:paraId="26004DED" w14:textId="62A657C8" w:rsidR="00D15FFC" w:rsidRPr="00EA0C7D" w:rsidRDefault="00D15FFC" w:rsidP="00BA4EF8">
            <w:pPr>
              <w:pStyle w:val="ListParagraph"/>
              <w:numPr>
                <w:ilvl w:val="0"/>
                <w:numId w:val="23"/>
              </w:numPr>
            </w:pPr>
            <w:r w:rsidRPr="002A0A64">
              <w:t xml:space="preserve">John’s Hopkins Aggregated </w:t>
            </w:r>
            <w:r w:rsidRPr="00EA0C7D">
              <w:t>Diagnosis Groups (ADGs)</w:t>
            </w:r>
            <w:r w:rsidR="007F3F6E" w:rsidRPr="00EA0C7D">
              <w:t xml:space="preserve"> </w:t>
            </w:r>
            <w:r w:rsidR="00763D79">
              <w:t xml:space="preserve">(see </w:t>
            </w:r>
            <w:hyperlink w:anchor="_Appendix_B:_John’s" w:history="1">
              <w:r w:rsidR="00763D79" w:rsidRPr="00763D79">
                <w:rPr>
                  <w:rStyle w:val="Hyperlink"/>
                </w:rPr>
                <w:t>Appendix B</w:t>
              </w:r>
            </w:hyperlink>
            <w:r w:rsidR="00763D79">
              <w:t>)</w:t>
            </w:r>
          </w:p>
          <w:p w14:paraId="4E0137C3" w14:textId="223DC863" w:rsidR="00CC7147" w:rsidRDefault="00C675CE" w:rsidP="00BA4EF8">
            <w:pPr>
              <w:pStyle w:val="ListParagraph"/>
              <w:numPr>
                <w:ilvl w:val="1"/>
                <w:numId w:val="23"/>
              </w:numPr>
            </w:pPr>
            <w:r>
              <w:t xml:space="preserve">Pull OHIP data in the </w:t>
            </w:r>
            <w:r w:rsidR="004466F5">
              <w:rPr>
                <w:u w:val="single"/>
              </w:rPr>
              <w:t>2</w:t>
            </w:r>
            <w:r w:rsidRPr="00C675CE">
              <w:rPr>
                <w:u w:val="single"/>
              </w:rPr>
              <w:t xml:space="preserve"> year</w:t>
            </w:r>
            <w:r w:rsidR="004466F5">
              <w:rPr>
                <w:u w:val="single"/>
              </w:rPr>
              <w:t>s</w:t>
            </w:r>
            <w:r w:rsidRPr="00C675CE">
              <w:rPr>
                <w:u w:val="single"/>
              </w:rPr>
              <w:t xml:space="preserve"> prior</w:t>
            </w:r>
            <w:r w:rsidR="00670BC3">
              <w:rPr>
                <w:u w:val="single"/>
              </w:rPr>
              <w:t xml:space="preserve"> (excluding index)</w:t>
            </w:r>
            <w:r>
              <w:t xml:space="preserve"> to the </w:t>
            </w:r>
            <w:r w:rsidR="00A469C6">
              <w:t xml:space="preserve">date of primary care provider loss. </w:t>
            </w:r>
            <w:r>
              <w:t xml:space="preserve">Exclude </w:t>
            </w:r>
            <w:r w:rsidR="00914A7F">
              <w:t>X</w:t>
            </w:r>
            <w:r>
              <w:t>-ray claims</w:t>
            </w:r>
          </w:p>
          <w:p w14:paraId="18E043ED" w14:textId="77777777" w:rsidR="00A469C6" w:rsidRDefault="00C675CE" w:rsidP="00BA4EF8">
            <w:pPr>
              <w:pStyle w:val="ListParagraph"/>
              <w:numPr>
                <w:ilvl w:val="1"/>
                <w:numId w:val="23"/>
              </w:numPr>
            </w:pPr>
            <w:r>
              <w:t xml:space="preserve">Pull DAD/SDS data in the </w:t>
            </w:r>
            <w:r w:rsidR="004466F5">
              <w:rPr>
                <w:u w:val="single"/>
              </w:rPr>
              <w:t>2</w:t>
            </w:r>
            <w:r w:rsidRPr="00C675CE">
              <w:rPr>
                <w:u w:val="single"/>
              </w:rPr>
              <w:t xml:space="preserve"> year</w:t>
            </w:r>
            <w:r w:rsidR="004466F5">
              <w:rPr>
                <w:u w:val="single"/>
              </w:rPr>
              <w:t>s</w:t>
            </w:r>
            <w:r w:rsidRPr="00C675CE">
              <w:rPr>
                <w:u w:val="single"/>
              </w:rPr>
              <w:t xml:space="preserve"> prior</w:t>
            </w:r>
            <w:r w:rsidR="00670BC3">
              <w:rPr>
                <w:u w:val="single"/>
              </w:rPr>
              <w:t xml:space="preserve"> (excluding index)</w:t>
            </w:r>
            <w:r>
              <w:t xml:space="preserve"> to the </w:t>
            </w:r>
            <w:r w:rsidR="00A469C6">
              <w:t xml:space="preserve">date of primary care provider loss </w:t>
            </w:r>
          </w:p>
          <w:p w14:paraId="3431AC6E" w14:textId="6415CE8C" w:rsidR="00DE6DAC" w:rsidRDefault="00A22228" w:rsidP="00BA4EF8">
            <w:pPr>
              <w:pStyle w:val="ListParagraph"/>
              <w:numPr>
                <w:ilvl w:val="1"/>
                <w:numId w:val="23"/>
              </w:numPr>
            </w:pPr>
            <w:r>
              <w:t xml:space="preserve">Run </w:t>
            </w:r>
            <w:r w:rsidR="00A469C6">
              <w:t>ACG macro. O</w:t>
            </w:r>
            <w:r w:rsidR="00670BC3" w:rsidRPr="00C933B3">
              <w:t>btain the ADGs from the macro output</w:t>
            </w:r>
            <w:r w:rsidR="003337C7" w:rsidRPr="00C933B3">
              <w:t>.</w:t>
            </w:r>
            <w:r w:rsidR="00C933B3">
              <w:t xml:space="preserve"> Sum the number of ADGs per person and categorize</w:t>
            </w:r>
            <w:r w:rsidR="006006D0">
              <w:t xml:space="preserve"> </w:t>
            </w:r>
            <w:r w:rsidR="00A469C6">
              <w:t>as:</w:t>
            </w:r>
          </w:p>
          <w:p w14:paraId="4CA90595" w14:textId="77777777" w:rsidR="00A469C6" w:rsidRDefault="00A469C6" w:rsidP="00A469C6">
            <w:pPr>
              <w:pStyle w:val="ListParagraph"/>
              <w:numPr>
                <w:ilvl w:val="2"/>
                <w:numId w:val="23"/>
              </w:numPr>
            </w:pPr>
            <w:r>
              <w:t>Non-users/no or only unclassified diagnoses</w:t>
            </w:r>
          </w:p>
          <w:p w14:paraId="0B480B72" w14:textId="77777777" w:rsidR="00A469C6" w:rsidRDefault="00A469C6" w:rsidP="00A469C6">
            <w:pPr>
              <w:pStyle w:val="ListParagraph"/>
              <w:numPr>
                <w:ilvl w:val="2"/>
                <w:numId w:val="23"/>
              </w:numPr>
            </w:pPr>
            <w:r>
              <w:t>1-2</w:t>
            </w:r>
          </w:p>
          <w:p w14:paraId="65EBDC32" w14:textId="77777777" w:rsidR="00A469C6" w:rsidRDefault="00A469C6" w:rsidP="00A469C6">
            <w:pPr>
              <w:pStyle w:val="ListParagraph"/>
              <w:numPr>
                <w:ilvl w:val="2"/>
                <w:numId w:val="23"/>
              </w:numPr>
            </w:pPr>
            <w:r>
              <w:t>3-4</w:t>
            </w:r>
          </w:p>
          <w:p w14:paraId="246B4474" w14:textId="77777777" w:rsidR="00A469C6" w:rsidRDefault="00A469C6" w:rsidP="00A469C6">
            <w:pPr>
              <w:pStyle w:val="ListParagraph"/>
              <w:numPr>
                <w:ilvl w:val="2"/>
                <w:numId w:val="23"/>
              </w:numPr>
            </w:pPr>
            <w:r>
              <w:t>5-6</w:t>
            </w:r>
          </w:p>
          <w:p w14:paraId="33A1AD2C" w14:textId="422DEB42" w:rsidR="00A469C6" w:rsidRPr="00C933B3" w:rsidRDefault="00A469C6" w:rsidP="00A469C6">
            <w:pPr>
              <w:pStyle w:val="ListParagraph"/>
              <w:numPr>
                <w:ilvl w:val="2"/>
                <w:numId w:val="23"/>
              </w:numPr>
            </w:pPr>
            <w:r>
              <w:t>7+</w:t>
            </w:r>
          </w:p>
          <w:p w14:paraId="4C739D44" w14:textId="53ED6538" w:rsidR="00670BC3" w:rsidRPr="002A0A64" w:rsidRDefault="003337C7" w:rsidP="00BA4EF8">
            <w:pPr>
              <w:pStyle w:val="ListParagraph"/>
              <w:numPr>
                <w:ilvl w:val="0"/>
                <w:numId w:val="23"/>
              </w:numPr>
            </w:pPr>
            <w:r>
              <w:t>P</w:t>
            </w:r>
            <w:r w:rsidR="008D3C6C">
              <w:t>rescriptions</w:t>
            </w:r>
            <w:r w:rsidR="00670BC3" w:rsidRPr="002A0A64">
              <w:t xml:space="preserve"> </w:t>
            </w:r>
            <w:r w:rsidR="008D3C6C">
              <w:t>dispensed</w:t>
            </w:r>
            <w:r w:rsidR="00670BC3" w:rsidRPr="002A0A64">
              <w:t xml:space="preserve"> in the </w:t>
            </w:r>
            <w:r w:rsidR="00670BC3" w:rsidRPr="008D3C6C">
              <w:rPr>
                <w:u w:val="single"/>
              </w:rPr>
              <w:t>1 year prior (excluding index)</w:t>
            </w:r>
            <w:r w:rsidR="00670BC3" w:rsidRPr="002A0A64">
              <w:t xml:space="preserve"> to </w:t>
            </w:r>
            <w:r w:rsidR="00A469C6">
              <w:t>date of primary care provider loss</w:t>
            </w:r>
            <w:r w:rsidR="00670BC3" w:rsidRPr="002A0A64">
              <w:t xml:space="preserve">. Use the ODPRN NMS master </w:t>
            </w:r>
            <w:proofErr w:type="spellStart"/>
            <w:r w:rsidR="00670BC3" w:rsidRPr="002A0A64">
              <w:t>druglist</w:t>
            </w:r>
            <w:proofErr w:type="spellEnd"/>
            <w:r w:rsidR="008D3C6C">
              <w:t xml:space="preserve"> to identify the following types of prescriptions</w:t>
            </w:r>
            <w:r w:rsidR="00A469C6">
              <w:t>, and extract claims from NMS</w:t>
            </w:r>
            <w:r w:rsidR="008D3C6C">
              <w:t>:</w:t>
            </w:r>
          </w:p>
          <w:p w14:paraId="0A651BDD" w14:textId="77777777" w:rsidR="00670BC3" w:rsidRPr="002A0A64" w:rsidRDefault="00670BC3" w:rsidP="00BA4EF8">
            <w:pPr>
              <w:pStyle w:val="ListParagraph"/>
              <w:numPr>
                <w:ilvl w:val="1"/>
                <w:numId w:val="23"/>
              </w:numPr>
            </w:pPr>
            <w:r w:rsidRPr="002A0A64">
              <w:t>Stimulants (n, %)</w:t>
            </w:r>
          </w:p>
          <w:p w14:paraId="63EA9ED0" w14:textId="77777777" w:rsidR="00670BC3" w:rsidRPr="002A0A64" w:rsidRDefault="00670BC3" w:rsidP="00BA4EF8">
            <w:pPr>
              <w:pStyle w:val="ListParagraph"/>
              <w:numPr>
                <w:ilvl w:val="2"/>
                <w:numId w:val="23"/>
              </w:numPr>
            </w:pPr>
            <w:proofErr w:type="spellStart"/>
            <w:r w:rsidRPr="002A0A64">
              <w:t>NMS_group</w:t>
            </w:r>
            <w:proofErr w:type="spellEnd"/>
            <w:r w:rsidRPr="002A0A64">
              <w:t xml:space="preserve"> = “STIM”</w:t>
            </w:r>
          </w:p>
          <w:p w14:paraId="3ADB6DE0" w14:textId="77777777" w:rsidR="00670BC3" w:rsidRPr="002A0A64" w:rsidRDefault="00670BC3" w:rsidP="00BA4EF8">
            <w:pPr>
              <w:pStyle w:val="ListParagraph"/>
              <w:numPr>
                <w:ilvl w:val="1"/>
                <w:numId w:val="23"/>
              </w:numPr>
            </w:pPr>
            <w:r w:rsidRPr="002A0A64">
              <w:t>Benzodiazepines (n, %)</w:t>
            </w:r>
          </w:p>
          <w:p w14:paraId="0F12FBD3" w14:textId="77777777" w:rsidR="00670BC3" w:rsidRPr="002A0A64" w:rsidRDefault="00670BC3" w:rsidP="00BA4EF8">
            <w:pPr>
              <w:pStyle w:val="ListParagraph"/>
              <w:numPr>
                <w:ilvl w:val="2"/>
                <w:numId w:val="23"/>
              </w:numPr>
            </w:pPr>
            <w:proofErr w:type="spellStart"/>
            <w:r w:rsidRPr="002A0A64">
              <w:t>NMS_group</w:t>
            </w:r>
            <w:proofErr w:type="spellEnd"/>
            <w:r w:rsidRPr="002A0A64">
              <w:t xml:space="preserve"> = “BZD”</w:t>
            </w:r>
          </w:p>
          <w:p w14:paraId="18C931F8" w14:textId="77777777" w:rsidR="00670BC3" w:rsidRPr="002A0A64" w:rsidRDefault="00670BC3" w:rsidP="00BA4EF8">
            <w:pPr>
              <w:pStyle w:val="ListParagraph"/>
              <w:numPr>
                <w:ilvl w:val="1"/>
                <w:numId w:val="23"/>
              </w:numPr>
            </w:pPr>
            <w:r>
              <w:t xml:space="preserve">Synthetic </w:t>
            </w:r>
            <w:r w:rsidRPr="002A0A64">
              <w:t>THC products</w:t>
            </w:r>
          </w:p>
          <w:p w14:paraId="11B1F611" w14:textId="2C833FD2" w:rsidR="00AC0DEC" w:rsidRDefault="00670BC3" w:rsidP="00BA4EF8">
            <w:pPr>
              <w:pStyle w:val="ListParagraph"/>
              <w:numPr>
                <w:ilvl w:val="2"/>
                <w:numId w:val="23"/>
              </w:numPr>
              <w:spacing w:after="200"/>
            </w:pPr>
            <w:proofErr w:type="spellStart"/>
            <w:r w:rsidRPr="002A0A64">
              <w:t>NMS_group</w:t>
            </w:r>
            <w:proofErr w:type="spellEnd"/>
            <w:r w:rsidRPr="002A0A64">
              <w:t>= “THC”</w:t>
            </w:r>
          </w:p>
          <w:p w14:paraId="42341C7A" w14:textId="672903D2" w:rsidR="00E93A75" w:rsidRDefault="00E93A75" w:rsidP="00BA4EF8">
            <w:pPr>
              <w:pStyle w:val="ListParagraph"/>
              <w:numPr>
                <w:ilvl w:val="0"/>
                <w:numId w:val="23"/>
              </w:numPr>
              <w:spacing w:after="200"/>
            </w:pPr>
            <w:r>
              <w:t xml:space="preserve">For </w:t>
            </w:r>
            <w:r w:rsidR="0074093A">
              <w:t>individuals</w:t>
            </w:r>
            <w:r>
              <w:t xml:space="preserve"> in exposure group 1 only:</w:t>
            </w:r>
          </w:p>
          <w:p w14:paraId="0B4CAD19" w14:textId="3131FB5C" w:rsidR="00E93A75" w:rsidRDefault="0074093A" w:rsidP="00BA4EF8">
            <w:pPr>
              <w:pStyle w:val="ListParagraph"/>
              <w:numPr>
                <w:ilvl w:val="1"/>
                <w:numId w:val="23"/>
              </w:numPr>
              <w:spacing w:after="200"/>
            </w:pPr>
            <w:r>
              <w:t xml:space="preserve">Report the </w:t>
            </w:r>
            <w:r w:rsidR="00E93A75">
              <w:t>N</w:t>
            </w:r>
            <w:r w:rsidR="003337C7">
              <w:t xml:space="preserve"> </w:t>
            </w:r>
            <w:r w:rsidR="00E93A75">
              <w:t xml:space="preserve">(%) dispensed methadone vs. buprenorphine/naloxone </w:t>
            </w:r>
            <w:r w:rsidR="00154167">
              <w:t>in the lookback period prior to</w:t>
            </w:r>
            <w:r w:rsidR="002D44E9">
              <w:t xml:space="preserve"> or on</w:t>
            </w:r>
            <w:r w:rsidR="00154167">
              <w:t xml:space="preserve"> </w:t>
            </w:r>
            <w:r w:rsidR="003F665C">
              <w:t>the date of primary care provider loss</w:t>
            </w:r>
          </w:p>
          <w:p w14:paraId="6584BEA1" w14:textId="1AED2023" w:rsidR="003F665C" w:rsidRDefault="003F665C" w:rsidP="00BA4EF8">
            <w:pPr>
              <w:pStyle w:val="ListParagraph"/>
              <w:numPr>
                <w:ilvl w:val="1"/>
                <w:numId w:val="23"/>
              </w:numPr>
              <w:spacing w:after="200"/>
            </w:pPr>
            <w:r>
              <w:t>Report the N</w:t>
            </w:r>
            <w:r w:rsidR="00C11B1A">
              <w:t xml:space="preserve"> </w:t>
            </w:r>
            <w:r>
              <w:t>(%) for whom the most recent OAT prescription was prescribed by the rostering physician</w:t>
            </w:r>
          </w:p>
          <w:p w14:paraId="1D4D4648" w14:textId="77883F7F" w:rsidR="00026C2C" w:rsidRPr="00026C2C" w:rsidRDefault="00D26EBE" w:rsidP="000A77C5">
            <w:pPr>
              <w:pStyle w:val="ListParagraph"/>
              <w:numPr>
                <w:ilvl w:val="1"/>
                <w:numId w:val="23"/>
              </w:numPr>
              <w:spacing w:after="200"/>
              <w:rPr>
                <w:b/>
              </w:rPr>
            </w:pPr>
            <w:r w:rsidRPr="00962C1C">
              <w:rPr>
                <w:b/>
                <w:u w:val="single"/>
              </w:rPr>
              <w:t>P</w:t>
            </w:r>
            <w:r>
              <w:rPr>
                <w:b/>
                <w:u w:val="single"/>
              </w:rPr>
              <w:t>ost-h</w:t>
            </w:r>
            <w:r w:rsidRPr="00962C1C">
              <w:rPr>
                <w:b/>
                <w:u w:val="single"/>
              </w:rPr>
              <w:t>oc</w:t>
            </w:r>
            <w:r>
              <w:rPr>
                <w:b/>
                <w:u w:val="single"/>
              </w:rPr>
              <w:t xml:space="preserve"> after reviewer comments</w:t>
            </w:r>
            <w:r w:rsidRPr="008E4987">
              <w:rPr>
                <w:b/>
                <w:u w:val="single"/>
              </w:rPr>
              <w:t xml:space="preserve">: </w:t>
            </w:r>
            <w:r w:rsidR="00026C2C" w:rsidRPr="008E4987">
              <w:rPr>
                <w:b/>
                <w:u w:val="single"/>
              </w:rPr>
              <w:t xml:space="preserve"> </w:t>
            </w:r>
            <w:r w:rsidR="00026C2C" w:rsidRPr="008E4987">
              <w:rPr>
                <w:u w:val="single"/>
              </w:rPr>
              <w:t xml:space="preserve">Report the days’ supply dispensed in the 14 days prior to or including the date of primary care provider loss, for </w:t>
            </w:r>
            <w:r w:rsidR="000A77C5" w:rsidRPr="008E4987">
              <w:rPr>
                <w:u w:val="single"/>
              </w:rPr>
              <w:t>people dispensed methadone vs. buprenorphine/naloxone</w:t>
            </w:r>
          </w:p>
          <w:p w14:paraId="1C84F04B" w14:textId="2036D273" w:rsidR="0074093A" w:rsidRDefault="0074093A" w:rsidP="00BA4EF8">
            <w:pPr>
              <w:pStyle w:val="ListParagraph"/>
              <w:numPr>
                <w:ilvl w:val="0"/>
                <w:numId w:val="23"/>
              </w:numPr>
              <w:spacing w:after="200"/>
            </w:pPr>
            <w:r>
              <w:t>For individuals in exposure group 2 only:</w:t>
            </w:r>
          </w:p>
          <w:p w14:paraId="2AE688E4" w14:textId="5C4DEBC6" w:rsidR="0074093A" w:rsidRDefault="0074093A" w:rsidP="00BA4EF8">
            <w:pPr>
              <w:pStyle w:val="ListParagraph"/>
              <w:numPr>
                <w:ilvl w:val="1"/>
                <w:numId w:val="23"/>
              </w:numPr>
              <w:spacing w:after="200"/>
            </w:pPr>
            <w:r>
              <w:t xml:space="preserve">Report the median (IQR) opioid dose on </w:t>
            </w:r>
            <w:r w:rsidR="0042620C">
              <w:t>the date of provider loss</w:t>
            </w:r>
          </w:p>
          <w:p w14:paraId="53FF2596" w14:textId="77DE9DE6" w:rsidR="0074093A" w:rsidRDefault="0074093A" w:rsidP="00BA4EF8">
            <w:pPr>
              <w:pStyle w:val="ListParagraph"/>
              <w:numPr>
                <w:ilvl w:val="2"/>
                <w:numId w:val="23"/>
              </w:numPr>
              <w:spacing w:after="200"/>
            </w:pPr>
            <w:r>
              <w:t xml:space="preserve">Identify all dispensed prescriptions for opioids for pain overlapping with </w:t>
            </w:r>
            <w:r w:rsidR="0042620C">
              <w:t>the date of provider loss</w:t>
            </w:r>
            <w:r>
              <w:t xml:space="preserve">, and </w:t>
            </w:r>
            <w:r w:rsidRPr="0074093A">
              <w:t xml:space="preserve">calculate </w:t>
            </w:r>
            <w:r>
              <w:t xml:space="preserve">the average daily dose </w:t>
            </w:r>
            <w:r w:rsidRPr="0074093A">
              <w:t xml:space="preserve">in mg morphine equivalent </w:t>
            </w:r>
            <w:r w:rsidR="00154167">
              <w:t xml:space="preserve">on </w:t>
            </w:r>
            <w:r w:rsidR="0042620C">
              <w:t>that date</w:t>
            </w:r>
          </w:p>
          <w:p w14:paraId="75BFC19C" w14:textId="5F2D1361" w:rsidR="00E218F3" w:rsidRDefault="00E218F3" w:rsidP="00BA4EF8">
            <w:pPr>
              <w:pStyle w:val="ListParagraph"/>
              <w:numPr>
                <w:ilvl w:val="1"/>
                <w:numId w:val="23"/>
              </w:numPr>
              <w:spacing w:after="200"/>
            </w:pPr>
            <w:r>
              <w:t xml:space="preserve">Report the type of opioid formulation </w:t>
            </w:r>
            <w:r w:rsidR="0042620C">
              <w:t xml:space="preserve">on the date of provider loss </w:t>
            </w:r>
            <w:r>
              <w:t>(N, %)</w:t>
            </w:r>
          </w:p>
          <w:p w14:paraId="7AF7862D" w14:textId="5F6CCF9F" w:rsidR="0074093A" w:rsidRDefault="00E218F3" w:rsidP="00BA4EF8">
            <w:pPr>
              <w:pStyle w:val="ListParagraph"/>
              <w:numPr>
                <w:ilvl w:val="2"/>
                <w:numId w:val="23"/>
              </w:numPr>
              <w:spacing w:after="200"/>
            </w:pPr>
            <w:r w:rsidRPr="00E218F3">
              <w:t xml:space="preserve">Identify all dispensed prescriptions for opioids for pain overlapping with the </w:t>
            </w:r>
            <w:r w:rsidR="0042620C">
              <w:t>date of provider loss</w:t>
            </w:r>
            <w:r>
              <w:t>. Among these prescriptions,</w:t>
            </w:r>
            <w:r w:rsidR="0074093A">
              <w:t xml:space="preserve"> identify the</w:t>
            </w:r>
            <w:r w:rsidR="00E93A75" w:rsidRPr="00E93A75">
              <w:t xml:space="preserve"> </w:t>
            </w:r>
            <w:r w:rsidR="0074093A">
              <w:t>opioid formulation: l</w:t>
            </w:r>
            <w:r w:rsidR="0074093A" w:rsidRPr="0074093A">
              <w:t>ong-acting, i</w:t>
            </w:r>
            <w:r w:rsidR="0074093A">
              <w:t>mmediate release agent, or both</w:t>
            </w:r>
            <w:r w:rsidR="0042620C">
              <w:t>, or no opioid overlapping enrolment loss date</w:t>
            </w:r>
            <w:r w:rsidR="0074093A">
              <w:t xml:space="preserve">. Use the LA variable from the ODPRN </w:t>
            </w:r>
            <w:r w:rsidR="003337C7">
              <w:t xml:space="preserve">NMS master </w:t>
            </w:r>
            <w:proofErr w:type="spellStart"/>
            <w:r w:rsidR="003337C7">
              <w:t>druglist</w:t>
            </w:r>
            <w:proofErr w:type="spellEnd"/>
            <w:r w:rsidR="0042620C">
              <w:t xml:space="preserve"> to form the first three categories</w:t>
            </w:r>
          </w:p>
          <w:p w14:paraId="4752D1C0" w14:textId="06833A85" w:rsidR="00E93A75" w:rsidRDefault="00E218F3" w:rsidP="00BA4EF8">
            <w:pPr>
              <w:pStyle w:val="ListParagraph"/>
              <w:numPr>
                <w:ilvl w:val="1"/>
                <w:numId w:val="23"/>
              </w:numPr>
              <w:spacing w:after="200"/>
            </w:pPr>
            <w:r>
              <w:t xml:space="preserve">Report the median (IQR) </w:t>
            </w:r>
            <w:r w:rsidR="00E93A75" w:rsidRPr="00E93A75">
              <w:t>number of prescribers for opioid prescriptions dispensed in last 100 days</w:t>
            </w:r>
          </w:p>
          <w:p w14:paraId="67CFDE60" w14:textId="7B000E86" w:rsidR="008D3C6C" w:rsidRDefault="00E218F3" w:rsidP="00BA4EF8">
            <w:pPr>
              <w:pStyle w:val="ListParagraph"/>
              <w:numPr>
                <w:ilvl w:val="2"/>
                <w:numId w:val="23"/>
              </w:numPr>
            </w:pPr>
            <w:r w:rsidRPr="00E218F3">
              <w:t>Use NMS to capture prescription op</w:t>
            </w:r>
            <w:r>
              <w:t>ioid claims dispensed in the 100</w:t>
            </w:r>
            <w:r w:rsidRPr="00E218F3">
              <w:t xml:space="preserve"> days prior to or </w:t>
            </w:r>
            <w:r>
              <w:t xml:space="preserve">including </w:t>
            </w:r>
            <w:r w:rsidR="0042620C">
              <w:t>the date of provider loss</w:t>
            </w:r>
            <w:r>
              <w:t xml:space="preserve">, </w:t>
            </w:r>
            <w:r>
              <w:lastRenderedPageBreak/>
              <w:t>and count the number of unique prescribers</w:t>
            </w:r>
            <w:r w:rsidR="0042620C">
              <w:t>. Report Median</w:t>
            </w:r>
            <w:r w:rsidR="00C11B1A">
              <w:t xml:space="preserve"> </w:t>
            </w:r>
            <w:r w:rsidR="0042620C">
              <w:t>(IQR)</w:t>
            </w:r>
          </w:p>
          <w:p w14:paraId="2C1A8BED" w14:textId="095A4DC0" w:rsidR="0042620C" w:rsidRPr="0042620C" w:rsidRDefault="00D26EBE" w:rsidP="00BA4EF8">
            <w:pPr>
              <w:pStyle w:val="ListParagraph"/>
              <w:numPr>
                <w:ilvl w:val="2"/>
                <w:numId w:val="23"/>
              </w:numPr>
              <w:rPr>
                <w:b/>
                <w:u w:val="single"/>
              </w:rPr>
            </w:pPr>
            <w:r w:rsidRPr="00962C1C">
              <w:rPr>
                <w:b/>
                <w:u w:val="single"/>
              </w:rPr>
              <w:t>P</w:t>
            </w:r>
            <w:r>
              <w:rPr>
                <w:b/>
                <w:u w:val="single"/>
              </w:rPr>
              <w:t>ost-h</w:t>
            </w:r>
            <w:r w:rsidRPr="00962C1C">
              <w:rPr>
                <w:b/>
                <w:u w:val="single"/>
              </w:rPr>
              <w:t>oc</w:t>
            </w:r>
            <w:r>
              <w:rPr>
                <w:b/>
                <w:u w:val="single"/>
              </w:rPr>
              <w:t xml:space="preserve"> after reviewer </w:t>
            </w:r>
            <w:r w:rsidRPr="008E4987">
              <w:rPr>
                <w:b/>
                <w:u w:val="single"/>
              </w:rPr>
              <w:t xml:space="preserve">comments: </w:t>
            </w:r>
            <w:r w:rsidR="0042620C" w:rsidRPr="008E4987">
              <w:rPr>
                <w:u w:val="single"/>
              </w:rPr>
              <w:t>Change this to report the N (%) of people with more than 1 prescriber identified on opioid prescriptions dispensed in the 100 days prior to or including the provider loss date</w:t>
            </w:r>
          </w:p>
        </w:tc>
      </w:tr>
    </w:tbl>
    <w:p w14:paraId="6E3B2A67" w14:textId="52879AB2" w:rsidR="006254F6" w:rsidRDefault="006254F6"/>
    <w:tbl>
      <w:tblPr>
        <w:tblW w:w="5000" w:type="pct"/>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10080"/>
      </w:tblGrid>
      <w:tr w:rsidR="00544E10" w14:paraId="6E4F3B7F" w14:textId="77777777" w:rsidTr="00C85FB4">
        <w:trPr>
          <w:trHeight w:val="189"/>
          <w:tblHeader/>
        </w:trPr>
        <w:tc>
          <w:tcPr>
            <w:tcW w:w="5000" w:type="pct"/>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680A4D95" w14:textId="6B793A08" w:rsidR="00544E10" w:rsidRDefault="00544E10" w:rsidP="00D26EBE">
            <w:pPr>
              <w:pStyle w:val="Heading2"/>
            </w:pPr>
            <w:bookmarkStart w:id="1" w:name="_Results"/>
            <w:bookmarkEnd w:id="1"/>
            <w:r>
              <w:t>Analysis Plan</w:t>
            </w:r>
          </w:p>
        </w:tc>
      </w:tr>
      <w:tr w:rsidR="00D81F18" w:rsidRPr="002F6DB4" w14:paraId="72282F25"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49FC6129" w14:textId="1AAE77C8" w:rsidR="00D81F18" w:rsidRPr="00510CA6" w:rsidRDefault="00D81F18" w:rsidP="00D81F18">
            <w:pPr>
              <w:spacing w:line="259" w:lineRule="auto"/>
              <w:rPr>
                <w:b/>
              </w:rPr>
            </w:pPr>
            <w:r>
              <w:rPr>
                <w:b/>
              </w:rPr>
              <w:t>Statistical Analyses</w:t>
            </w:r>
          </w:p>
        </w:tc>
      </w:tr>
      <w:tr w:rsidR="00D81F18" w:rsidRPr="002F6DB4" w14:paraId="71490221"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00C2D446" w14:textId="00CDF714" w:rsidR="00D81F18" w:rsidRDefault="00D81F18" w:rsidP="002E17B6">
            <w:pPr>
              <w:rPr>
                <w:b/>
              </w:rPr>
            </w:pPr>
            <w:r w:rsidRPr="00510CA6">
              <w:rPr>
                <w:b/>
              </w:rPr>
              <w:lastRenderedPageBreak/>
              <w:t xml:space="preserve">Outcome 1: First instance of re-enrolment with a primary care provider in CAPE, or indication of </w:t>
            </w:r>
            <w:r w:rsidR="005F6066">
              <w:rPr>
                <w:b/>
              </w:rPr>
              <w:t>attachment</w:t>
            </w:r>
            <w:r w:rsidRPr="00510CA6">
              <w:rPr>
                <w:b/>
              </w:rPr>
              <w:t xml:space="preserve"> with a non-CAPE primary care provider</w:t>
            </w:r>
            <w:r w:rsidR="005F6066">
              <w:rPr>
                <w:b/>
              </w:rPr>
              <w:t xml:space="preserve"> in CHC or OHIP</w:t>
            </w:r>
          </w:p>
          <w:p w14:paraId="7E4CC48E" w14:textId="77777777" w:rsidR="00D81F18" w:rsidRPr="002A0A64" w:rsidRDefault="00D81F18" w:rsidP="002E17B6">
            <w:pPr>
              <w:pStyle w:val="ListBullet2"/>
              <w:numPr>
                <w:ilvl w:val="1"/>
                <w:numId w:val="34"/>
              </w:numPr>
            </w:pPr>
            <w:r w:rsidRPr="002A0A64">
              <w:t xml:space="preserve">Generate Kaplan-Meier survival curves for </w:t>
            </w:r>
            <w:r>
              <w:t>the</w:t>
            </w:r>
            <w:r w:rsidRPr="002A0A64">
              <w:t xml:space="preserve"> outcome </w:t>
            </w:r>
          </w:p>
          <w:p w14:paraId="2F008F2D" w14:textId="12640DB3" w:rsidR="008B2610" w:rsidRPr="008B2610" w:rsidRDefault="004F696C" w:rsidP="002E17B6">
            <w:pPr>
              <w:pStyle w:val="ListParagraph"/>
              <w:numPr>
                <w:ilvl w:val="2"/>
                <w:numId w:val="34"/>
              </w:numPr>
            </w:pPr>
            <w:r>
              <w:t>R</w:t>
            </w:r>
            <w:r w:rsidR="008B2610" w:rsidRPr="008B2610">
              <w:t>eport results of the log-rank test to compare the survival curves</w:t>
            </w:r>
          </w:p>
          <w:p w14:paraId="20AF9FB8" w14:textId="7B4AA94B" w:rsidR="00D81F18" w:rsidRPr="001B2CF9" w:rsidRDefault="00D81F18" w:rsidP="002E17B6">
            <w:pPr>
              <w:pStyle w:val="ListBullet2"/>
              <w:numPr>
                <w:ilvl w:val="2"/>
                <w:numId w:val="34"/>
              </w:numPr>
              <w:rPr>
                <w:b/>
              </w:rPr>
            </w:pPr>
            <w:r w:rsidRPr="002A0A64">
              <w:t>Report median (IQR) time to rostering with a new primary care provider in all groups</w:t>
            </w:r>
            <w:r>
              <w:t xml:space="preserve">, and the overall rates </w:t>
            </w:r>
            <w:r w:rsidR="00901D10">
              <w:t xml:space="preserve">(per </w:t>
            </w:r>
            <w:r w:rsidR="000A0195">
              <w:t>1</w:t>
            </w:r>
            <w:r w:rsidR="002E17B6">
              <w:t>,</w:t>
            </w:r>
            <w:r w:rsidR="000A0195">
              <w:t>000 person days</w:t>
            </w:r>
            <w:r w:rsidR="00901D10">
              <w:t xml:space="preserve">) </w:t>
            </w:r>
            <w:r>
              <w:t>of rostering with a new primary care provider</w:t>
            </w:r>
          </w:p>
          <w:p w14:paraId="5E9D4591" w14:textId="77777777" w:rsidR="00D141B4" w:rsidRPr="00D141B4" w:rsidRDefault="00D81F18" w:rsidP="002E17B6">
            <w:pPr>
              <w:pStyle w:val="ListBullet2"/>
              <w:numPr>
                <w:ilvl w:val="1"/>
                <w:numId w:val="34"/>
              </w:numPr>
              <w:rPr>
                <w:b/>
              </w:rPr>
            </w:pPr>
            <w:r w:rsidRPr="002A0A64">
              <w:t xml:space="preserve">Run a Cox Proportional Hazards model (group 3 is the referent) </w:t>
            </w:r>
          </w:p>
          <w:p w14:paraId="0C8F251F" w14:textId="71642868" w:rsidR="00D81F18" w:rsidRPr="000A0195" w:rsidRDefault="004F696C" w:rsidP="002E17B6">
            <w:pPr>
              <w:pStyle w:val="ListParagraph"/>
              <w:numPr>
                <w:ilvl w:val="2"/>
                <w:numId w:val="34"/>
              </w:numPr>
            </w:pPr>
            <w:r>
              <w:t>A</w:t>
            </w:r>
            <w:r w:rsidR="008B2610">
              <w:t>djust for</w:t>
            </w:r>
            <w:r w:rsidR="00D141B4">
              <w:t xml:space="preserve"> covariates that are unbalanced</w:t>
            </w:r>
            <w:r w:rsidR="000A0195">
              <w:t xml:space="preserve"> between the groups. For the Ontario Marginalization Index covariates, c</w:t>
            </w:r>
            <w:r w:rsidR="000A0195" w:rsidRPr="000A0195">
              <w:t xml:space="preserve">onsider all 4 marginalization indices in the analysis. </w:t>
            </w:r>
          </w:p>
          <w:p w14:paraId="6A8FD07B" w14:textId="08E789AC" w:rsidR="00D81F18" w:rsidRDefault="00D81F18" w:rsidP="002E17B6">
            <w:pPr>
              <w:pStyle w:val="ListBullet2"/>
              <w:numPr>
                <w:ilvl w:val="2"/>
                <w:numId w:val="34"/>
              </w:numPr>
            </w:pPr>
            <w:r w:rsidRPr="002A0A64">
              <w:t>Report the HR and 95% CI</w:t>
            </w:r>
            <w:r w:rsidR="002E17B6">
              <w:t>. Also report the source of primary care provider, and for those enrolled in CAPE, the type of enrolment model</w:t>
            </w:r>
            <w:r w:rsidR="00A65F9F">
              <w:t>, overall and by group</w:t>
            </w:r>
          </w:p>
          <w:p w14:paraId="2A3DDDB2" w14:textId="77777777" w:rsidR="00D81F18" w:rsidRDefault="00D81F18" w:rsidP="002E17B6">
            <w:pPr>
              <w:pStyle w:val="ListBullet2"/>
              <w:numPr>
                <w:ilvl w:val="0"/>
                <w:numId w:val="0"/>
              </w:numPr>
            </w:pPr>
          </w:p>
          <w:p w14:paraId="226EB56E" w14:textId="445D995F" w:rsidR="00D81F18" w:rsidRPr="00EE3419" w:rsidRDefault="00D81F18" w:rsidP="002E17B6">
            <w:pPr>
              <w:pStyle w:val="ListBullet2"/>
              <w:numPr>
                <w:ilvl w:val="0"/>
                <w:numId w:val="0"/>
              </w:numPr>
              <w:rPr>
                <w:b/>
              </w:rPr>
            </w:pPr>
            <w:r w:rsidRPr="00EE3419">
              <w:rPr>
                <w:b/>
              </w:rPr>
              <w:t xml:space="preserve">Outcome 2: Number of emergency department visits </w:t>
            </w:r>
            <w:r w:rsidR="000A0195">
              <w:rPr>
                <w:b/>
              </w:rPr>
              <w:t>during the period without a primary care provider</w:t>
            </w:r>
          </w:p>
          <w:p w14:paraId="32ECBE48" w14:textId="4A699EDA" w:rsidR="00E93652" w:rsidRDefault="00D81F18" w:rsidP="002E17B6">
            <w:pPr>
              <w:pStyle w:val="ListParagraph"/>
              <w:numPr>
                <w:ilvl w:val="1"/>
                <w:numId w:val="34"/>
              </w:numPr>
              <w:rPr>
                <w:lang w:val="en-CA"/>
              </w:rPr>
            </w:pPr>
            <w:r>
              <w:rPr>
                <w:lang w:val="en-CA"/>
              </w:rPr>
              <w:t>C</w:t>
            </w:r>
            <w:r w:rsidRPr="00B82E95">
              <w:rPr>
                <w:lang w:val="en-CA"/>
              </w:rPr>
              <w:t xml:space="preserve">alculate </w:t>
            </w:r>
            <w:r w:rsidR="00E93652">
              <w:rPr>
                <w:lang w:val="en-CA"/>
              </w:rPr>
              <w:t xml:space="preserve">and report the </w:t>
            </w:r>
            <w:r w:rsidRPr="00B82E95">
              <w:rPr>
                <w:lang w:val="en-CA"/>
              </w:rPr>
              <w:t>number of</w:t>
            </w:r>
            <w:r>
              <w:rPr>
                <w:lang w:val="en-CA"/>
              </w:rPr>
              <w:t xml:space="preserve"> ED</w:t>
            </w:r>
            <w:r w:rsidRPr="00B82E95">
              <w:rPr>
                <w:lang w:val="en-CA"/>
              </w:rPr>
              <w:t xml:space="preserve"> visits, person</w:t>
            </w:r>
            <w:r w:rsidR="002E17B6">
              <w:rPr>
                <w:lang w:val="en-CA"/>
              </w:rPr>
              <w:t>-days</w:t>
            </w:r>
            <w:r w:rsidR="00423A21">
              <w:rPr>
                <w:lang w:val="en-CA"/>
              </w:rPr>
              <w:t xml:space="preserve"> of follow-up</w:t>
            </w:r>
            <w:r w:rsidRPr="00B82E95">
              <w:rPr>
                <w:lang w:val="en-CA"/>
              </w:rPr>
              <w:t>, and rate of visits</w:t>
            </w:r>
            <w:r w:rsidR="007817D4">
              <w:rPr>
                <w:lang w:val="en-CA"/>
              </w:rPr>
              <w:t xml:space="preserve"> (per </w:t>
            </w:r>
            <w:r w:rsidR="002E17B6">
              <w:rPr>
                <w:lang w:val="en-CA"/>
              </w:rPr>
              <w:t>1,000 person-days</w:t>
            </w:r>
            <w:r w:rsidR="007817D4">
              <w:rPr>
                <w:lang w:val="en-CA"/>
              </w:rPr>
              <w:t>)</w:t>
            </w:r>
            <w:r w:rsidRPr="00B82E95">
              <w:rPr>
                <w:lang w:val="en-CA"/>
              </w:rPr>
              <w:t xml:space="preserve"> in each exposure gr</w:t>
            </w:r>
            <w:r>
              <w:rPr>
                <w:lang w:val="en-CA"/>
              </w:rPr>
              <w:t>oup</w:t>
            </w:r>
            <w:r w:rsidR="007801FF">
              <w:rPr>
                <w:lang w:val="en-CA"/>
              </w:rPr>
              <w:t xml:space="preserve"> during the period without a primary care provider. </w:t>
            </w:r>
          </w:p>
          <w:p w14:paraId="1C8EC436" w14:textId="50FFE437" w:rsidR="00D81F18" w:rsidRDefault="00E92C95" w:rsidP="002E17B6">
            <w:pPr>
              <w:pStyle w:val="ListParagraph"/>
              <w:numPr>
                <w:ilvl w:val="1"/>
                <w:numId w:val="34"/>
              </w:numPr>
              <w:rPr>
                <w:lang w:val="en-CA"/>
              </w:rPr>
            </w:pPr>
            <w:r>
              <w:rPr>
                <w:lang w:val="en-CA"/>
              </w:rPr>
              <w:t xml:space="preserve">Calculate and report the number of ED visits, </w:t>
            </w:r>
            <w:r w:rsidR="00577145">
              <w:rPr>
                <w:lang w:val="en-CA"/>
              </w:rPr>
              <w:t xml:space="preserve">person-days of follow-up, and rate of visits (per 1,000 person-days) in each exposure group </w:t>
            </w:r>
            <w:r>
              <w:rPr>
                <w:lang w:val="en-CA"/>
              </w:rPr>
              <w:t>in the 1 year prior to provider loss (i.e., use the “number of ED visits” variable in the baseline characteristics section)</w:t>
            </w:r>
          </w:p>
          <w:p w14:paraId="7E60B745" w14:textId="6D768821" w:rsidR="00D141B4" w:rsidRPr="00B82E95" w:rsidRDefault="00D141B4" w:rsidP="002E17B6">
            <w:pPr>
              <w:pStyle w:val="ListParagraph"/>
              <w:numPr>
                <w:ilvl w:val="1"/>
                <w:numId w:val="34"/>
              </w:numPr>
              <w:rPr>
                <w:lang w:val="en-CA"/>
              </w:rPr>
            </w:pPr>
            <w:r>
              <w:rPr>
                <w:lang w:val="en-CA"/>
              </w:rPr>
              <w:t xml:space="preserve">Run a </w:t>
            </w:r>
            <w:r w:rsidR="00577145">
              <w:rPr>
                <w:lang w:val="en-CA"/>
              </w:rPr>
              <w:t>Poisson GEE model (using IKN as the cluster, since there will be two measurements for each person [i.e., number of ED visits in the 1 year prior to provider loss, and number of ED visits during the period without a provider])</w:t>
            </w:r>
            <w:r w:rsidR="00FD0234">
              <w:rPr>
                <w:lang w:val="en-CA"/>
              </w:rPr>
              <w:t xml:space="preserve">, stratified by opioid exposure group, to compare the rate of ED visits </w:t>
            </w:r>
            <w:r w:rsidR="008030A3">
              <w:rPr>
                <w:lang w:val="en-CA"/>
              </w:rPr>
              <w:t>between</w:t>
            </w:r>
            <w:r w:rsidR="00FD0234">
              <w:rPr>
                <w:lang w:val="en-CA"/>
              </w:rPr>
              <w:t xml:space="preserve"> the periods </w:t>
            </w:r>
          </w:p>
          <w:p w14:paraId="5B4B7F95" w14:textId="7B8F2318" w:rsidR="0069447C" w:rsidRPr="002E17B6" w:rsidRDefault="004F696C" w:rsidP="002E17B6">
            <w:pPr>
              <w:pStyle w:val="ListParagraph"/>
              <w:numPr>
                <w:ilvl w:val="2"/>
                <w:numId w:val="34"/>
              </w:numPr>
            </w:pPr>
            <w:r>
              <w:t>A</w:t>
            </w:r>
            <w:r w:rsidR="00D141B4" w:rsidRPr="00D141B4">
              <w:t>djust for covariates that are unbalanced</w:t>
            </w:r>
            <w:r w:rsidR="002E17B6">
              <w:t xml:space="preserve">. </w:t>
            </w:r>
            <w:r w:rsidR="002E17B6" w:rsidRPr="002E17B6">
              <w:t>Consider all 4 marginalization indices in the analysis</w:t>
            </w:r>
          </w:p>
          <w:p w14:paraId="05C09048" w14:textId="22DD0BCF" w:rsidR="00D81F18" w:rsidRPr="002E17B6" w:rsidRDefault="00D81F18" w:rsidP="002E17B6">
            <w:pPr>
              <w:pStyle w:val="ListBullet2"/>
              <w:numPr>
                <w:ilvl w:val="2"/>
                <w:numId w:val="34"/>
              </w:numPr>
              <w:rPr>
                <w:b/>
              </w:rPr>
            </w:pPr>
            <w:r w:rsidRPr="00BD38C2">
              <w:rPr>
                <w:lang w:val="en-CA"/>
              </w:rPr>
              <w:t>Report rate ratios</w:t>
            </w:r>
            <w:r w:rsidR="002E17B6">
              <w:rPr>
                <w:lang w:val="en-CA"/>
              </w:rPr>
              <w:t xml:space="preserve"> </w:t>
            </w:r>
            <w:r w:rsidRPr="00BD38C2">
              <w:rPr>
                <w:lang w:val="en-CA"/>
              </w:rPr>
              <w:t>and 95% CI</w:t>
            </w:r>
          </w:p>
          <w:p w14:paraId="3E6952B4" w14:textId="77777777" w:rsidR="002E17B6" w:rsidRPr="00763D79" w:rsidRDefault="002E17B6" w:rsidP="002E17B6">
            <w:pPr>
              <w:pStyle w:val="ListBullet2"/>
              <w:numPr>
                <w:ilvl w:val="0"/>
                <w:numId w:val="0"/>
              </w:numPr>
              <w:ind w:left="1080" w:hanging="360"/>
              <w:rPr>
                <w:b/>
              </w:rPr>
            </w:pPr>
          </w:p>
          <w:p w14:paraId="0522FA3F" w14:textId="64E08DF0" w:rsidR="00763D79" w:rsidRDefault="00763D79" w:rsidP="002E17B6">
            <w:pPr>
              <w:pStyle w:val="ListBullet2"/>
              <w:numPr>
                <w:ilvl w:val="0"/>
                <w:numId w:val="0"/>
              </w:numPr>
              <w:rPr>
                <w:b/>
                <w:lang w:val="en-CA"/>
              </w:rPr>
            </w:pPr>
            <w:r w:rsidRPr="00763D79">
              <w:rPr>
                <w:b/>
                <w:lang w:val="en-CA"/>
              </w:rPr>
              <w:t xml:space="preserve">Outcome 3: Number and rate of emergency department visits and hospitalizations for opioid toxicity </w:t>
            </w:r>
            <w:r w:rsidR="002E17B6" w:rsidRPr="002E17B6">
              <w:rPr>
                <w:b/>
                <w:lang w:val="en-CA"/>
              </w:rPr>
              <w:t>during the period without a primary care provider</w:t>
            </w:r>
          </w:p>
          <w:p w14:paraId="07AA53CB" w14:textId="77777777" w:rsidR="008030A3" w:rsidRDefault="00763D79" w:rsidP="00E92C95">
            <w:pPr>
              <w:pStyle w:val="ListParagraph"/>
              <w:numPr>
                <w:ilvl w:val="1"/>
                <w:numId w:val="34"/>
              </w:numPr>
              <w:rPr>
                <w:lang w:val="en-CA"/>
              </w:rPr>
            </w:pPr>
            <w:r>
              <w:t>Calculate</w:t>
            </w:r>
            <w:r w:rsidR="002E17B6">
              <w:t xml:space="preserve"> and report</w:t>
            </w:r>
            <w:r>
              <w:t xml:space="preserve"> </w:t>
            </w:r>
            <w:r w:rsidR="00FD0234">
              <w:t xml:space="preserve">the </w:t>
            </w:r>
            <w:r>
              <w:t>number of events</w:t>
            </w:r>
            <w:r w:rsidRPr="00763D79">
              <w:t xml:space="preserve">, person-years of follow-up, and rate of </w:t>
            </w:r>
            <w:r>
              <w:t>events</w:t>
            </w:r>
            <w:r w:rsidRPr="00763D79">
              <w:t xml:space="preserve"> (per 1</w:t>
            </w:r>
            <w:r w:rsidR="00FD0234">
              <w:t>,</w:t>
            </w:r>
            <w:r w:rsidRPr="00763D79">
              <w:t>0</w:t>
            </w:r>
            <w:r w:rsidR="002E17B6">
              <w:t>0</w:t>
            </w:r>
            <w:r w:rsidRPr="00763D79">
              <w:t>0 person-</w:t>
            </w:r>
            <w:r w:rsidR="002E17B6">
              <w:t>days</w:t>
            </w:r>
            <w:r w:rsidRPr="00763D79">
              <w:t>) in each exposure group</w:t>
            </w:r>
            <w:r w:rsidR="00E92C95">
              <w:rPr>
                <w:lang w:val="en-CA"/>
              </w:rPr>
              <w:t xml:space="preserve"> during the period without a primary care provider. </w:t>
            </w:r>
          </w:p>
          <w:p w14:paraId="58BAF526" w14:textId="77515EAF" w:rsidR="00E92C95" w:rsidRDefault="00E92C95" w:rsidP="00E92C95">
            <w:pPr>
              <w:pStyle w:val="ListParagraph"/>
              <w:numPr>
                <w:ilvl w:val="1"/>
                <w:numId w:val="34"/>
              </w:numPr>
              <w:rPr>
                <w:lang w:val="en-CA"/>
              </w:rPr>
            </w:pPr>
            <w:r>
              <w:rPr>
                <w:lang w:val="en-CA"/>
              </w:rPr>
              <w:t xml:space="preserve">Calculate and report </w:t>
            </w:r>
            <w:r w:rsidR="00FD0234">
              <w:t>the number of events</w:t>
            </w:r>
            <w:r w:rsidR="00FD0234" w:rsidRPr="00763D79">
              <w:t xml:space="preserve">, person-years of follow-up, and rate of </w:t>
            </w:r>
            <w:r w:rsidR="00FD0234">
              <w:t>events</w:t>
            </w:r>
            <w:r w:rsidR="00FD0234" w:rsidRPr="00763D79">
              <w:t xml:space="preserve"> (per 1</w:t>
            </w:r>
            <w:r w:rsidR="00FD0234">
              <w:t>,</w:t>
            </w:r>
            <w:r w:rsidR="00FD0234" w:rsidRPr="00763D79">
              <w:t>0</w:t>
            </w:r>
            <w:r w:rsidR="00FD0234">
              <w:t>0</w:t>
            </w:r>
            <w:r w:rsidR="00FD0234" w:rsidRPr="00763D79">
              <w:t>0 person-</w:t>
            </w:r>
            <w:r w:rsidR="00FD0234">
              <w:t>days</w:t>
            </w:r>
            <w:r w:rsidR="00FD0234" w:rsidRPr="00763D79">
              <w:t>) in each exposure group</w:t>
            </w:r>
            <w:r w:rsidR="00FD0234">
              <w:rPr>
                <w:lang w:val="en-CA"/>
              </w:rPr>
              <w:t xml:space="preserve"> in the 1 year prior to provider loss</w:t>
            </w:r>
          </w:p>
          <w:p w14:paraId="7FCB173B" w14:textId="65A17AF7" w:rsidR="006254F6" w:rsidRPr="00B82E95" w:rsidRDefault="006254F6" w:rsidP="006254F6">
            <w:pPr>
              <w:pStyle w:val="ListParagraph"/>
              <w:numPr>
                <w:ilvl w:val="1"/>
                <w:numId w:val="34"/>
              </w:numPr>
              <w:rPr>
                <w:lang w:val="en-CA"/>
              </w:rPr>
            </w:pPr>
            <w:r>
              <w:rPr>
                <w:lang w:val="en-CA"/>
              </w:rPr>
              <w:t>Run</w:t>
            </w:r>
            <w:r w:rsidR="00E92C95">
              <w:rPr>
                <w:lang w:val="en-CA"/>
              </w:rPr>
              <w:t xml:space="preserve"> a Poisson GEE model (using IKN as the cluster, since there will be two measurements for each person</w:t>
            </w:r>
            <w:r>
              <w:rPr>
                <w:lang w:val="en-CA"/>
              </w:rPr>
              <w:t>) stratified by opioid ex</w:t>
            </w:r>
            <w:r w:rsidR="00804016">
              <w:rPr>
                <w:lang w:val="en-CA"/>
              </w:rPr>
              <w:t>posure group for groups 1 &amp; 2</w:t>
            </w:r>
            <w:r>
              <w:rPr>
                <w:lang w:val="en-CA"/>
              </w:rPr>
              <w:t xml:space="preserve">, to compare the rate of opioid toxicity across the periods </w:t>
            </w:r>
          </w:p>
          <w:p w14:paraId="2D473629" w14:textId="77777777" w:rsidR="006254F6" w:rsidRPr="002E17B6" w:rsidRDefault="006254F6" w:rsidP="006254F6">
            <w:pPr>
              <w:pStyle w:val="ListParagraph"/>
              <w:numPr>
                <w:ilvl w:val="2"/>
                <w:numId w:val="34"/>
              </w:numPr>
            </w:pPr>
            <w:r>
              <w:t>A</w:t>
            </w:r>
            <w:r w:rsidRPr="00D141B4">
              <w:t>djust for covariates that are unbalanced</w:t>
            </w:r>
            <w:r>
              <w:t xml:space="preserve">. </w:t>
            </w:r>
            <w:r w:rsidRPr="002E17B6">
              <w:t>Consider all 4 marginalization indices in the analysis</w:t>
            </w:r>
          </w:p>
          <w:p w14:paraId="1FF582F6" w14:textId="5A70E5B8" w:rsidR="006254F6" w:rsidRPr="006254F6" w:rsidRDefault="006254F6" w:rsidP="006254F6">
            <w:pPr>
              <w:pStyle w:val="ListBullet2"/>
              <w:numPr>
                <w:ilvl w:val="2"/>
                <w:numId w:val="34"/>
              </w:numPr>
              <w:rPr>
                <w:b/>
              </w:rPr>
            </w:pPr>
            <w:r w:rsidRPr="00BD38C2">
              <w:rPr>
                <w:lang w:val="en-CA"/>
              </w:rPr>
              <w:t>Report rate ratios</w:t>
            </w:r>
            <w:r>
              <w:rPr>
                <w:lang w:val="en-CA"/>
              </w:rPr>
              <w:t xml:space="preserve"> </w:t>
            </w:r>
            <w:r w:rsidRPr="00BD38C2">
              <w:rPr>
                <w:lang w:val="en-CA"/>
              </w:rPr>
              <w:t>and 95% CI</w:t>
            </w:r>
          </w:p>
          <w:p w14:paraId="763F3108" w14:textId="4D843840" w:rsidR="00BA4EF8" w:rsidRPr="00035002" w:rsidRDefault="006254F6" w:rsidP="00804016">
            <w:pPr>
              <w:pStyle w:val="ListBullet2"/>
              <w:numPr>
                <w:ilvl w:val="2"/>
                <w:numId w:val="34"/>
              </w:numPr>
              <w:rPr>
                <w:b/>
              </w:rPr>
            </w:pPr>
            <w:r>
              <w:rPr>
                <w:b/>
              </w:rPr>
              <w:t xml:space="preserve">The </w:t>
            </w:r>
            <w:r w:rsidR="00035002">
              <w:rPr>
                <w:b/>
              </w:rPr>
              <w:t xml:space="preserve">fully adjusted </w:t>
            </w:r>
            <w:r>
              <w:rPr>
                <w:b/>
              </w:rPr>
              <w:t xml:space="preserve">model would not converge – decision was made to </w:t>
            </w:r>
            <w:r w:rsidR="00035002">
              <w:rPr>
                <w:b/>
              </w:rPr>
              <w:t>adjust for a limited number of covariates</w:t>
            </w:r>
            <w:r w:rsidR="00804016">
              <w:rPr>
                <w:b/>
              </w:rPr>
              <w:t>:</w:t>
            </w:r>
            <w:r w:rsidR="00804016">
              <w:t xml:space="preserve"> </w:t>
            </w:r>
            <w:r w:rsidR="00804016" w:rsidRPr="00804016">
              <w:rPr>
                <w:b/>
              </w:rPr>
              <w:t>age, sex, northern or southern region of residence, health services use for alcohol use disorder, emergency department visit or hospitalization for mental health diagnoses, number of outpatient visits to previous rostering physician, and number of hospitalizations in the year prior to provider loss</w:t>
            </w:r>
            <w:r w:rsidR="00804016">
              <w:rPr>
                <w:b/>
              </w:rPr>
              <w:t>,</w:t>
            </w:r>
            <w:r w:rsidR="00035002">
              <w:rPr>
                <w:b/>
              </w:rPr>
              <w:t xml:space="preserve"> as determined via email exchange on Feb. 19</w:t>
            </w:r>
            <w:r w:rsidR="00035002" w:rsidRPr="00035002">
              <w:rPr>
                <w:b/>
                <w:vertAlign w:val="superscript"/>
              </w:rPr>
              <w:t>th</w:t>
            </w:r>
            <w:r w:rsidR="00035002">
              <w:rPr>
                <w:b/>
              </w:rPr>
              <w:t xml:space="preserve"> </w:t>
            </w:r>
            <w:r w:rsidR="00674A1D">
              <w:rPr>
                <w:b/>
              </w:rPr>
              <w:t>2020</w:t>
            </w:r>
          </w:p>
        </w:tc>
      </w:tr>
      <w:tr w:rsidR="0076563F" w:rsidRPr="002F6DB4" w14:paraId="05B73FA3"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4B51EDD7" w14:textId="5AE394C4" w:rsidR="00B75546" w:rsidRDefault="00B75546" w:rsidP="002E17B6">
            <w:pPr>
              <w:rPr>
                <w:b/>
              </w:rPr>
            </w:pPr>
            <w:r>
              <w:rPr>
                <w:b/>
              </w:rPr>
              <w:lastRenderedPageBreak/>
              <w:t xml:space="preserve">Sensitivity Analyses: </w:t>
            </w:r>
          </w:p>
          <w:p w14:paraId="58A997B9" w14:textId="4C8DA2ED" w:rsidR="00B75546" w:rsidRDefault="00B75546" w:rsidP="002E17B6">
            <w:pPr>
              <w:pStyle w:val="ListParagraph"/>
              <w:numPr>
                <w:ilvl w:val="0"/>
                <w:numId w:val="41"/>
              </w:numPr>
            </w:pPr>
            <w:r w:rsidRPr="00B75546">
              <w:t xml:space="preserve">Repeat the analysis </w:t>
            </w:r>
            <w:r w:rsidR="00804016">
              <w:t>for outcome #1 by</w:t>
            </w:r>
            <w:r w:rsidR="00962C1C">
              <w:t xml:space="preserve"> modifying the outcome to select</w:t>
            </w:r>
            <w:r w:rsidRPr="00B75546">
              <w:t xml:space="preserve"> the first date someone secured a primary care provider</w:t>
            </w:r>
            <w:r w:rsidR="00804016">
              <w:t xml:space="preserve"> from any source</w:t>
            </w:r>
            <w:r w:rsidRPr="00B75546">
              <w:t xml:space="preserve">, instead of using </w:t>
            </w:r>
            <w:r w:rsidR="00962C1C">
              <w:t>the hierarchical approach. Re-run the model with the same covariates.</w:t>
            </w:r>
          </w:p>
          <w:p w14:paraId="3544A2F5" w14:textId="74C854E2" w:rsidR="002E17B6" w:rsidRPr="002E17B6" w:rsidRDefault="002E17B6" w:rsidP="002E17B6">
            <w:pPr>
              <w:pStyle w:val="ListParagraph"/>
              <w:numPr>
                <w:ilvl w:val="0"/>
                <w:numId w:val="41"/>
              </w:numPr>
            </w:pPr>
            <w:r w:rsidRPr="002E17B6">
              <w:t xml:space="preserve">Repeat the </w:t>
            </w:r>
            <w:r w:rsidR="00804016">
              <w:t>analysis for outcome #1 by</w:t>
            </w:r>
            <w:r w:rsidRPr="002E17B6">
              <w:t xml:space="preserve"> </w:t>
            </w:r>
            <w:r w:rsidR="00962C1C">
              <w:t xml:space="preserve">modifying the outcome to consider </w:t>
            </w:r>
            <w:r>
              <w:t>primary care attachment as enrolment in CAPE only</w:t>
            </w:r>
            <w:r w:rsidR="00962C1C">
              <w:t>. Re-run the model with the same covariates.</w:t>
            </w:r>
            <w:r w:rsidRPr="002E17B6">
              <w:t xml:space="preserve">  </w:t>
            </w:r>
          </w:p>
          <w:p w14:paraId="6A344AF9" w14:textId="04D22CC9" w:rsidR="002E17B6" w:rsidRDefault="002E17B6" w:rsidP="002E17B6">
            <w:pPr>
              <w:pStyle w:val="ListParagraph"/>
              <w:numPr>
                <w:ilvl w:val="0"/>
                <w:numId w:val="41"/>
              </w:numPr>
            </w:pPr>
            <w:r w:rsidRPr="002E17B6">
              <w:t xml:space="preserve">Repeat </w:t>
            </w:r>
            <w:r w:rsidR="00962C1C" w:rsidRPr="002E17B6">
              <w:t xml:space="preserve">the </w:t>
            </w:r>
            <w:r w:rsidR="00962C1C">
              <w:t>analysis for outcome #1 by modifying the outcome to consider</w:t>
            </w:r>
            <w:r w:rsidRPr="002E17B6">
              <w:t xml:space="preserve"> primary care attachment as enrolment in CAPE </w:t>
            </w:r>
            <w:r>
              <w:t xml:space="preserve">or a CHC </w:t>
            </w:r>
            <w:r w:rsidRPr="002E17B6">
              <w:t>only</w:t>
            </w:r>
            <w:r w:rsidR="00962C1C">
              <w:t>. Re-run the model with the same covariates.</w:t>
            </w:r>
            <w:r w:rsidRPr="002E17B6">
              <w:t xml:space="preserve">  </w:t>
            </w:r>
          </w:p>
          <w:p w14:paraId="21DA62F6" w14:textId="0107D131" w:rsidR="00C11357" w:rsidRPr="008E4987" w:rsidRDefault="00962C1C" w:rsidP="00962C1C">
            <w:pPr>
              <w:pStyle w:val="ListParagraph"/>
              <w:numPr>
                <w:ilvl w:val="0"/>
                <w:numId w:val="41"/>
              </w:numPr>
              <w:rPr>
                <w:u w:val="single"/>
              </w:rPr>
            </w:pPr>
            <w:r w:rsidRPr="008E4987">
              <w:rPr>
                <w:b/>
                <w:u w:val="single"/>
              </w:rPr>
              <w:t>Post-hoc</w:t>
            </w:r>
            <w:r w:rsidR="00D26EBE" w:rsidRPr="008E4987">
              <w:rPr>
                <w:b/>
                <w:u w:val="single"/>
              </w:rPr>
              <w:t xml:space="preserve"> after reviewer comments</w:t>
            </w:r>
            <w:r w:rsidRPr="008E4987">
              <w:rPr>
                <w:b/>
                <w:u w:val="single"/>
              </w:rPr>
              <w:t>:</w:t>
            </w:r>
            <w:r w:rsidR="00B75546" w:rsidRPr="008E4987">
              <w:rPr>
                <w:b/>
                <w:u w:val="single"/>
              </w:rPr>
              <w:t xml:space="preserve"> </w:t>
            </w:r>
            <w:r w:rsidRPr="008E4987">
              <w:rPr>
                <w:u w:val="single"/>
              </w:rPr>
              <w:t>Repeat the analysis for outcome #1, with no modification of the outcome, but restrict to those whose enrolment termination reason was “Physician ended patient enrolment”. Re-run the model with the same covariates.</w:t>
            </w:r>
          </w:p>
          <w:p w14:paraId="2F986DC1" w14:textId="06185B06" w:rsidR="00962C1C" w:rsidRPr="00962C1C" w:rsidRDefault="00D26EBE" w:rsidP="00962C1C">
            <w:pPr>
              <w:pStyle w:val="ListParagraph"/>
              <w:numPr>
                <w:ilvl w:val="0"/>
                <w:numId w:val="41"/>
              </w:numPr>
            </w:pPr>
            <w:r w:rsidRPr="008E4987">
              <w:rPr>
                <w:b/>
                <w:u w:val="single"/>
              </w:rPr>
              <w:t xml:space="preserve">Post-hoc after reviewer comments: </w:t>
            </w:r>
            <w:r w:rsidR="00962C1C" w:rsidRPr="008E4987">
              <w:rPr>
                <w:u w:val="single"/>
              </w:rPr>
              <w:t>Repeat the analysis for outcome #1, by modifying the exposure variable to disaggregate the types of OAT into two categories: those who received buprenorphine/naloxone only, and those who received methadone only (exclude those who received both). Re-run the model with the same covariates.</w:t>
            </w:r>
          </w:p>
        </w:tc>
      </w:tr>
      <w:tr w:rsidR="00B34613" w:rsidRPr="002F6DB4" w14:paraId="1C0D0CA7"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77E15F2C" w14:textId="31472C4C" w:rsidR="00B34613" w:rsidRDefault="00D81F18" w:rsidP="00962C1C">
            <w:pPr>
              <w:pStyle w:val="ListBullet2"/>
              <w:numPr>
                <w:ilvl w:val="0"/>
                <w:numId w:val="0"/>
              </w:numPr>
            </w:pPr>
            <w:r>
              <w:rPr>
                <w:b/>
              </w:rPr>
              <w:t>Tables/Figures</w:t>
            </w:r>
          </w:p>
        </w:tc>
      </w:tr>
      <w:tr w:rsidR="00BD38C2" w:rsidRPr="008E15B4" w14:paraId="60A78344"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4FE6B480" w14:textId="0D6FAA01" w:rsidR="00BD38C2" w:rsidRPr="008E15B4" w:rsidRDefault="002E17B6" w:rsidP="002E17B6">
            <w:pPr>
              <w:pStyle w:val="ListBullet2"/>
              <w:numPr>
                <w:ilvl w:val="0"/>
                <w:numId w:val="0"/>
              </w:numPr>
              <w:ind w:left="720"/>
              <w:rPr>
                <w:b/>
              </w:rPr>
            </w:pPr>
            <w:r>
              <w:rPr>
                <w:b/>
              </w:rPr>
              <w:t>Table 1</w:t>
            </w:r>
            <w:r w:rsidR="00BD38C2">
              <w:rPr>
                <w:b/>
              </w:rPr>
              <w:t xml:space="preserve">. </w:t>
            </w:r>
            <w:r w:rsidR="00A948B7" w:rsidRPr="00A948B7">
              <w:t>T</w:t>
            </w:r>
            <w:r w:rsidR="00BD38C2" w:rsidRPr="00735902">
              <w:t>able of</w:t>
            </w:r>
            <w:r w:rsidR="00BD38C2">
              <w:rPr>
                <w:b/>
              </w:rPr>
              <w:t xml:space="preserve"> </w:t>
            </w:r>
            <w:r w:rsidR="00BD38C2">
              <w:t>baseline characteristics by</w:t>
            </w:r>
            <w:r w:rsidR="00BD38C2" w:rsidRPr="00A72635">
              <w:t xml:space="preserve"> </w:t>
            </w:r>
            <w:r w:rsidR="00BD38C2">
              <w:t xml:space="preserve">exposure group with standardized differences </w:t>
            </w:r>
          </w:p>
        </w:tc>
      </w:tr>
      <w:tr w:rsidR="002E17B6" w:rsidRPr="00E808DE" w14:paraId="48918B23"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4B70FC72" w14:textId="4211DC83" w:rsidR="002E17B6" w:rsidRDefault="002E17B6" w:rsidP="00962C1C">
            <w:pPr>
              <w:pStyle w:val="ListBullet2"/>
              <w:numPr>
                <w:ilvl w:val="0"/>
                <w:numId w:val="0"/>
              </w:numPr>
              <w:ind w:left="720"/>
              <w:rPr>
                <w:b/>
              </w:rPr>
            </w:pPr>
            <w:r w:rsidRPr="002E17B6">
              <w:rPr>
                <w:b/>
              </w:rPr>
              <w:t xml:space="preserve">Table </w:t>
            </w:r>
            <w:r>
              <w:rPr>
                <w:b/>
              </w:rPr>
              <w:t>2</w:t>
            </w:r>
            <w:r w:rsidRPr="002E17B6">
              <w:rPr>
                <w:b/>
              </w:rPr>
              <w:t xml:space="preserve">. </w:t>
            </w:r>
            <w:r w:rsidRPr="002E17B6">
              <w:t>Table of opioid-related</w:t>
            </w:r>
            <w:r>
              <w:t xml:space="preserve"> baseline</w:t>
            </w:r>
            <w:r w:rsidRPr="002E17B6">
              <w:t xml:space="preserve"> characteristics for those in the opioid agonist therapy and </w:t>
            </w:r>
            <w:r w:rsidR="00962C1C">
              <w:t>long-term</w:t>
            </w:r>
            <w:r w:rsidRPr="002E17B6">
              <w:t xml:space="preserve"> opioid </w:t>
            </w:r>
            <w:r w:rsidR="00962C1C">
              <w:t xml:space="preserve">pain </w:t>
            </w:r>
            <w:r w:rsidRPr="002E17B6">
              <w:t>therapy groups</w:t>
            </w:r>
          </w:p>
        </w:tc>
      </w:tr>
      <w:tr w:rsidR="00BD38C2" w:rsidRPr="00E808DE" w14:paraId="3E0DBB3C"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13FF848A" w14:textId="128F522E" w:rsidR="00BD38C2" w:rsidRDefault="00BD38C2" w:rsidP="0060753C">
            <w:pPr>
              <w:pStyle w:val="ListBullet2"/>
              <w:numPr>
                <w:ilvl w:val="0"/>
                <w:numId w:val="0"/>
              </w:numPr>
              <w:ind w:left="720"/>
            </w:pPr>
            <w:r>
              <w:rPr>
                <w:b/>
              </w:rPr>
              <w:t xml:space="preserve">Table </w:t>
            </w:r>
            <w:r w:rsidR="002E17B6">
              <w:rPr>
                <w:b/>
              </w:rPr>
              <w:t>3</w:t>
            </w:r>
            <w:r>
              <w:rPr>
                <w:b/>
              </w:rPr>
              <w:t xml:space="preserve">. </w:t>
            </w:r>
            <w:r w:rsidRPr="00735902">
              <w:t>Produce table with</w:t>
            </w:r>
            <w:r>
              <w:rPr>
                <w:b/>
              </w:rPr>
              <w:t xml:space="preserve"> </w:t>
            </w:r>
            <w:r w:rsidRPr="00A72635">
              <w:t xml:space="preserve">Kaplan-Meier </w:t>
            </w:r>
            <w:r>
              <w:t>s</w:t>
            </w:r>
            <w:r w:rsidRPr="00A72635">
              <w:t>urvival</w:t>
            </w:r>
            <w:r>
              <w:t xml:space="preserve"> statistics:</w:t>
            </w:r>
          </w:p>
          <w:p w14:paraId="4C8C510A" w14:textId="1FBB3473" w:rsidR="00BD38C2" w:rsidRPr="00E808DE" w:rsidRDefault="00BD38C2" w:rsidP="00947B0A">
            <w:pPr>
              <w:pStyle w:val="ListBullet2"/>
              <w:numPr>
                <w:ilvl w:val="0"/>
                <w:numId w:val="36"/>
              </w:numPr>
              <w:rPr>
                <w:b/>
              </w:rPr>
            </w:pPr>
            <w:r>
              <w:t>Report m</w:t>
            </w:r>
            <w:r w:rsidRPr="00A72635">
              <w:t xml:space="preserve">edian (IQR) </w:t>
            </w:r>
            <w:r w:rsidRPr="00BD38C2">
              <w:t>time to rostering with a new primary care provider in all groups</w:t>
            </w:r>
          </w:p>
        </w:tc>
      </w:tr>
      <w:tr w:rsidR="00BD38C2" w14:paraId="0E31AB48"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2FD4B507" w14:textId="357A9F5A" w:rsidR="00BD38C2" w:rsidRDefault="00BD38C2" w:rsidP="0060753C">
            <w:pPr>
              <w:pStyle w:val="ListBullet2"/>
              <w:numPr>
                <w:ilvl w:val="0"/>
                <w:numId w:val="0"/>
              </w:numPr>
              <w:ind w:left="720"/>
              <w:rPr>
                <w:b/>
              </w:rPr>
            </w:pPr>
            <w:r>
              <w:rPr>
                <w:b/>
              </w:rPr>
              <w:t xml:space="preserve">Figure 1. </w:t>
            </w:r>
            <w:r w:rsidRPr="00DB1978">
              <w:t xml:space="preserve">Produce Kaplan-Meier </w:t>
            </w:r>
            <w:r>
              <w:t xml:space="preserve">survival curves for </w:t>
            </w:r>
            <w:r w:rsidR="00EF2D25" w:rsidRPr="00EF2D25">
              <w:t>time to rostering with a new primary care provider</w:t>
            </w:r>
          </w:p>
        </w:tc>
      </w:tr>
      <w:tr w:rsidR="00D733E2" w14:paraId="2BCC4882" w14:textId="77777777" w:rsidTr="0060753C">
        <w:trPr>
          <w:cantSplit/>
        </w:trPr>
        <w:tc>
          <w:tcPr>
            <w:tcW w:w="5000" w:type="pct"/>
            <w:tcBorders>
              <w:top w:val="single" w:sz="4" w:space="0" w:color="999999"/>
              <w:bottom w:val="single" w:sz="4" w:space="0" w:color="999999"/>
            </w:tcBorders>
            <w:noWrap/>
            <w:tcMar>
              <w:top w:w="15" w:type="dxa"/>
              <w:left w:w="15" w:type="dxa"/>
              <w:bottom w:w="0" w:type="dxa"/>
              <w:right w:w="15" w:type="dxa"/>
            </w:tcMar>
          </w:tcPr>
          <w:p w14:paraId="3A56B78C" w14:textId="4D328E7F" w:rsidR="00D733E2" w:rsidRDefault="00D733E2" w:rsidP="002E17B6">
            <w:pPr>
              <w:pStyle w:val="ListBullet2"/>
              <w:numPr>
                <w:ilvl w:val="0"/>
                <w:numId w:val="0"/>
              </w:numPr>
              <w:ind w:left="720"/>
              <w:rPr>
                <w:b/>
              </w:rPr>
            </w:pPr>
            <w:r>
              <w:rPr>
                <w:b/>
              </w:rPr>
              <w:t xml:space="preserve">Table </w:t>
            </w:r>
            <w:r w:rsidR="002E17B6">
              <w:rPr>
                <w:b/>
              </w:rPr>
              <w:t>4</w:t>
            </w:r>
            <w:r>
              <w:rPr>
                <w:b/>
              </w:rPr>
              <w:t xml:space="preserve">. </w:t>
            </w:r>
            <w:r>
              <w:t xml:space="preserve">Produce table with results of Cox proportional hazards model for </w:t>
            </w:r>
            <w:r w:rsidRPr="00D733E2">
              <w:t>rostering with a new primary care provider</w:t>
            </w:r>
            <w:r w:rsidR="00947B0A" w:rsidRPr="00BD38C2">
              <w:t xml:space="preserve">, and the </w:t>
            </w:r>
            <w:r w:rsidR="00947B0A">
              <w:t>overall and group-specific</w:t>
            </w:r>
            <w:r w:rsidR="00947B0A" w:rsidRPr="00BD38C2">
              <w:t xml:space="preserve"> rates of rostering with a new primary care provider</w:t>
            </w:r>
            <w:r w:rsidR="00D26EBE">
              <w:t>, for primary analysis and all sensitivity analyses for outcome #1</w:t>
            </w:r>
          </w:p>
        </w:tc>
      </w:tr>
      <w:tr w:rsidR="002E17B6" w:rsidRPr="002F6DB4" w14:paraId="77C797D0" w14:textId="77777777" w:rsidTr="00763D79">
        <w:tc>
          <w:tcPr>
            <w:tcW w:w="5000" w:type="pct"/>
            <w:tcBorders>
              <w:top w:val="single" w:sz="4" w:space="0" w:color="999999"/>
              <w:bottom w:val="single" w:sz="4" w:space="0" w:color="999999"/>
            </w:tcBorders>
            <w:noWrap/>
            <w:tcMar>
              <w:top w:w="15" w:type="dxa"/>
              <w:left w:w="15" w:type="dxa"/>
              <w:bottom w:w="0" w:type="dxa"/>
              <w:right w:w="15" w:type="dxa"/>
            </w:tcMar>
          </w:tcPr>
          <w:p w14:paraId="7E11466C" w14:textId="1AC481F5" w:rsidR="002E17B6" w:rsidRDefault="002E17B6" w:rsidP="00A65F9F">
            <w:pPr>
              <w:pStyle w:val="ListBullet2"/>
              <w:numPr>
                <w:ilvl w:val="0"/>
                <w:numId w:val="0"/>
              </w:numPr>
              <w:ind w:left="720"/>
              <w:rPr>
                <w:b/>
              </w:rPr>
            </w:pPr>
            <w:r>
              <w:rPr>
                <w:b/>
              </w:rPr>
              <w:t>Table 5.</w:t>
            </w:r>
            <w:r>
              <w:t xml:space="preserve"> </w:t>
            </w:r>
            <w:r w:rsidRPr="002E17B6">
              <w:t>Produce table with the source of primary care provider</w:t>
            </w:r>
            <w:r>
              <w:t xml:space="preserve"> for the primary hierarchical outcome</w:t>
            </w:r>
            <w:r w:rsidRPr="002E17B6">
              <w:t>, and for those enrolled in CAPE, the type of enrolment model</w:t>
            </w:r>
            <w:r w:rsidR="00A65F9F">
              <w:t>, overall and by group</w:t>
            </w:r>
          </w:p>
        </w:tc>
      </w:tr>
      <w:tr w:rsidR="00D733E2" w:rsidRPr="002F6DB4" w14:paraId="326339B8" w14:textId="77777777" w:rsidTr="00763D79">
        <w:tc>
          <w:tcPr>
            <w:tcW w:w="5000" w:type="pct"/>
            <w:tcBorders>
              <w:top w:val="single" w:sz="4" w:space="0" w:color="999999"/>
              <w:bottom w:val="single" w:sz="4" w:space="0" w:color="999999"/>
            </w:tcBorders>
            <w:noWrap/>
            <w:tcMar>
              <w:top w:w="15" w:type="dxa"/>
              <w:left w:w="15" w:type="dxa"/>
              <w:bottom w:w="0" w:type="dxa"/>
              <w:right w:w="15" w:type="dxa"/>
            </w:tcMar>
          </w:tcPr>
          <w:p w14:paraId="322AE36A" w14:textId="628F2942" w:rsidR="00D733E2" w:rsidRPr="0021258D" w:rsidRDefault="00D81F18" w:rsidP="00D26EBE">
            <w:pPr>
              <w:pStyle w:val="ListBullet2"/>
              <w:numPr>
                <w:ilvl w:val="0"/>
                <w:numId w:val="0"/>
              </w:numPr>
              <w:ind w:left="720"/>
            </w:pPr>
            <w:r>
              <w:rPr>
                <w:b/>
              </w:rPr>
              <w:t xml:space="preserve">Table </w:t>
            </w:r>
            <w:r w:rsidR="00A65F9F">
              <w:rPr>
                <w:b/>
              </w:rPr>
              <w:t>6</w:t>
            </w:r>
            <w:r>
              <w:rPr>
                <w:b/>
              </w:rPr>
              <w:t xml:space="preserve">. </w:t>
            </w:r>
            <w:r w:rsidRPr="00452A0E">
              <w:t xml:space="preserve">Produce table with results of </w:t>
            </w:r>
            <w:r>
              <w:t>Poisson model</w:t>
            </w:r>
            <w:r w:rsidRPr="00452A0E">
              <w:t xml:space="preserve"> </w:t>
            </w:r>
            <w:r w:rsidR="00D26EBE">
              <w:t>for outcome #2</w:t>
            </w:r>
          </w:p>
        </w:tc>
      </w:tr>
      <w:tr w:rsidR="00763D79" w:rsidRPr="002F6DB4" w14:paraId="0722D807" w14:textId="77777777" w:rsidTr="00BD38C2">
        <w:tc>
          <w:tcPr>
            <w:tcW w:w="5000" w:type="pct"/>
            <w:tcBorders>
              <w:top w:val="single" w:sz="4" w:space="0" w:color="999999"/>
              <w:bottom w:val="single" w:sz="12" w:space="0" w:color="auto"/>
            </w:tcBorders>
            <w:noWrap/>
            <w:tcMar>
              <w:top w:w="15" w:type="dxa"/>
              <w:left w:w="15" w:type="dxa"/>
              <w:bottom w:w="0" w:type="dxa"/>
              <w:right w:w="15" w:type="dxa"/>
            </w:tcMar>
          </w:tcPr>
          <w:p w14:paraId="1324D598" w14:textId="076EE0C0" w:rsidR="00763D79" w:rsidRDefault="00763D79" w:rsidP="00A65F9F">
            <w:pPr>
              <w:pStyle w:val="ListBullet2"/>
              <w:numPr>
                <w:ilvl w:val="0"/>
                <w:numId w:val="0"/>
              </w:numPr>
              <w:ind w:left="720"/>
              <w:rPr>
                <w:b/>
              </w:rPr>
            </w:pPr>
            <w:r>
              <w:rPr>
                <w:b/>
              </w:rPr>
              <w:t xml:space="preserve">Table </w:t>
            </w:r>
            <w:r w:rsidR="00A65F9F">
              <w:rPr>
                <w:b/>
              </w:rPr>
              <w:t>7</w:t>
            </w:r>
            <w:r>
              <w:rPr>
                <w:b/>
              </w:rPr>
              <w:t xml:space="preserve">. </w:t>
            </w:r>
            <w:r w:rsidR="00D26EBE" w:rsidRPr="00452A0E">
              <w:t xml:space="preserve">Produce table with results of </w:t>
            </w:r>
            <w:r w:rsidR="00D26EBE">
              <w:t>Poisson model</w:t>
            </w:r>
            <w:r w:rsidR="00D26EBE" w:rsidRPr="00452A0E">
              <w:t xml:space="preserve"> </w:t>
            </w:r>
            <w:r w:rsidR="00D26EBE">
              <w:t>for outcome #3</w:t>
            </w:r>
          </w:p>
        </w:tc>
      </w:tr>
    </w:tbl>
    <w:p w14:paraId="1411E4C4" w14:textId="77777777" w:rsidR="00007C82" w:rsidRDefault="00007C82">
      <w:pPr>
        <w:rPr>
          <w:sz w:val="2"/>
        </w:rPr>
      </w:pPr>
    </w:p>
    <w:p w14:paraId="0D81F07F" w14:textId="77777777" w:rsidR="00007C82" w:rsidRDefault="00007C82">
      <w:pPr>
        <w:rPr>
          <w:sz w:val="2"/>
        </w:rPr>
      </w:pPr>
    </w:p>
    <w:p w14:paraId="5D535617" w14:textId="4097068E" w:rsidR="00D81F18" w:rsidRDefault="00D81F18">
      <w:pPr>
        <w:rPr>
          <w:b/>
          <w:bCs/>
          <w:kern w:val="32"/>
          <w:sz w:val="24"/>
          <w:szCs w:val="32"/>
          <w:u w:val="single"/>
        </w:rPr>
      </w:pPr>
      <w:r>
        <w:rPr>
          <w:sz w:val="24"/>
          <w:u w:val="single"/>
        </w:rPr>
        <w:br w:type="page"/>
      </w:r>
    </w:p>
    <w:p w14:paraId="095944B9" w14:textId="7DBD0CA8" w:rsidR="00D81F18" w:rsidRDefault="00D81F18" w:rsidP="00D81F18">
      <w:pPr>
        <w:pStyle w:val="Heading1"/>
        <w:jc w:val="center"/>
        <w:rPr>
          <w:sz w:val="24"/>
          <w:u w:val="single"/>
        </w:rPr>
      </w:pPr>
      <w:bookmarkStart w:id="2" w:name="_Appendix_A:_Codes"/>
      <w:bookmarkEnd w:id="2"/>
      <w:r>
        <w:rPr>
          <w:sz w:val="24"/>
          <w:u w:val="single"/>
        </w:rPr>
        <w:lastRenderedPageBreak/>
        <w:t xml:space="preserve">Appendix A: </w:t>
      </w:r>
      <w:r w:rsidRPr="004D50A4">
        <w:rPr>
          <w:sz w:val="24"/>
          <w:u w:val="single"/>
        </w:rPr>
        <w:t xml:space="preserve">Codes for </w:t>
      </w:r>
      <w:r w:rsidR="00E72CFB">
        <w:rPr>
          <w:sz w:val="24"/>
          <w:u w:val="single"/>
        </w:rPr>
        <w:t>Covariates</w:t>
      </w:r>
    </w:p>
    <w:p w14:paraId="40AE1525" w14:textId="77777777" w:rsidR="00D81F18" w:rsidRPr="00D678B6" w:rsidRDefault="00D81F18" w:rsidP="00D81F18"/>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027"/>
        <w:gridCol w:w="2663"/>
        <w:gridCol w:w="4374"/>
      </w:tblGrid>
      <w:tr w:rsidR="00D26EBE" w:rsidRPr="00DB453E" w14:paraId="2544E551" w14:textId="77777777" w:rsidTr="00D26EBE">
        <w:trPr>
          <w:jc w:val="center"/>
        </w:trPr>
        <w:tc>
          <w:tcPr>
            <w:tcW w:w="1504" w:type="pct"/>
            <w:shd w:val="clear" w:color="auto" w:fill="C6D9F1"/>
          </w:tcPr>
          <w:p w14:paraId="716DFF29" w14:textId="77777777" w:rsidR="00D26EBE" w:rsidRPr="00DB453E" w:rsidRDefault="00D26EBE" w:rsidP="0060753C">
            <w:pPr>
              <w:widowControl w:val="0"/>
              <w:jc w:val="center"/>
              <w:rPr>
                <w:rFonts w:cstheme="minorHAnsi"/>
                <w:b/>
                <w:noProof/>
              </w:rPr>
            </w:pPr>
            <w:r w:rsidRPr="00DB453E">
              <w:rPr>
                <w:rFonts w:cstheme="minorHAnsi"/>
                <w:b/>
                <w:bCs/>
                <w:noProof/>
              </w:rPr>
              <w:t>Covariate</w:t>
            </w:r>
          </w:p>
        </w:tc>
        <w:tc>
          <w:tcPr>
            <w:tcW w:w="1323" w:type="pct"/>
            <w:shd w:val="clear" w:color="auto" w:fill="C6D9F1"/>
          </w:tcPr>
          <w:p w14:paraId="23E2B61E" w14:textId="77777777" w:rsidR="00D26EBE" w:rsidRPr="00DB453E" w:rsidRDefault="00D26EBE" w:rsidP="0060753C">
            <w:pPr>
              <w:widowControl w:val="0"/>
              <w:jc w:val="center"/>
              <w:rPr>
                <w:rFonts w:cstheme="minorHAnsi"/>
                <w:b/>
                <w:noProof/>
              </w:rPr>
            </w:pPr>
            <w:r w:rsidRPr="00DB453E">
              <w:rPr>
                <w:rFonts w:cstheme="minorHAnsi"/>
                <w:b/>
                <w:noProof/>
              </w:rPr>
              <w:t>Data Source</w:t>
            </w:r>
          </w:p>
        </w:tc>
        <w:tc>
          <w:tcPr>
            <w:tcW w:w="2173" w:type="pct"/>
            <w:shd w:val="clear" w:color="auto" w:fill="C6D9F1"/>
          </w:tcPr>
          <w:p w14:paraId="4B7157DE" w14:textId="77777777" w:rsidR="00D26EBE" w:rsidRPr="00DB453E" w:rsidRDefault="00D26EBE" w:rsidP="0060753C">
            <w:pPr>
              <w:widowControl w:val="0"/>
              <w:jc w:val="center"/>
              <w:rPr>
                <w:rFonts w:cstheme="minorHAnsi"/>
                <w:b/>
                <w:noProof/>
              </w:rPr>
            </w:pPr>
            <w:r w:rsidRPr="00DB453E">
              <w:rPr>
                <w:rFonts w:cstheme="minorHAnsi"/>
                <w:b/>
                <w:noProof/>
              </w:rPr>
              <w:t>Codes</w:t>
            </w:r>
          </w:p>
        </w:tc>
      </w:tr>
      <w:tr w:rsidR="00D26EBE" w:rsidRPr="00DB453E" w14:paraId="225BAB86" w14:textId="77777777" w:rsidTr="00D26EBE">
        <w:trPr>
          <w:jc w:val="center"/>
        </w:trPr>
        <w:tc>
          <w:tcPr>
            <w:tcW w:w="1504" w:type="pct"/>
            <w:shd w:val="clear" w:color="auto" w:fill="FFFFFF"/>
          </w:tcPr>
          <w:p w14:paraId="5F1E21C0" w14:textId="306466E3" w:rsidR="00D26EBE" w:rsidRPr="00DB453E" w:rsidRDefault="00D26EBE" w:rsidP="00D81F18">
            <w:pPr>
              <w:widowControl w:val="0"/>
              <w:rPr>
                <w:rFonts w:cstheme="minorHAnsi"/>
                <w:noProof/>
              </w:rPr>
            </w:pPr>
            <w:r w:rsidRPr="00DB453E">
              <w:rPr>
                <w:rFonts w:cstheme="minorHAnsi"/>
                <w:noProof/>
              </w:rPr>
              <w:t>Opioid toxicity</w:t>
            </w:r>
          </w:p>
        </w:tc>
        <w:tc>
          <w:tcPr>
            <w:tcW w:w="1323" w:type="pct"/>
            <w:shd w:val="clear" w:color="auto" w:fill="FFFFFF"/>
          </w:tcPr>
          <w:p w14:paraId="2201ADF9" w14:textId="77777777" w:rsidR="00D26EBE" w:rsidRPr="00DB453E" w:rsidRDefault="00D26EBE" w:rsidP="0060753C">
            <w:pPr>
              <w:widowControl w:val="0"/>
              <w:rPr>
                <w:rFonts w:cstheme="minorHAnsi"/>
                <w:noProof/>
              </w:rPr>
            </w:pPr>
            <w:r w:rsidRPr="00DB453E">
              <w:rPr>
                <w:rFonts w:cstheme="minorHAnsi"/>
                <w:noProof/>
              </w:rPr>
              <w:t>DAD, NACRS</w:t>
            </w:r>
          </w:p>
        </w:tc>
        <w:tc>
          <w:tcPr>
            <w:tcW w:w="2173" w:type="pct"/>
            <w:shd w:val="clear" w:color="auto" w:fill="FFFFFF"/>
          </w:tcPr>
          <w:p w14:paraId="357C0086" w14:textId="5B30FEAE" w:rsidR="00D26EBE" w:rsidRPr="00DB453E" w:rsidRDefault="00D26EBE" w:rsidP="0060753C">
            <w:pPr>
              <w:widowControl w:val="0"/>
              <w:rPr>
                <w:rFonts w:cstheme="minorHAnsi"/>
                <w:b/>
                <w:bCs/>
                <w:noProof/>
                <w:u w:val="single"/>
              </w:rPr>
            </w:pPr>
            <w:r w:rsidRPr="00DB453E">
              <w:rPr>
                <w:rFonts w:cstheme="minorHAnsi"/>
                <w:b/>
                <w:bCs/>
                <w:noProof/>
                <w:u w:val="single"/>
              </w:rPr>
              <w:t>ICD-10</w:t>
            </w:r>
            <w:r>
              <w:rPr>
                <w:rFonts w:cstheme="minorHAnsi"/>
                <w:b/>
                <w:bCs/>
                <w:noProof/>
                <w:u w:val="single"/>
              </w:rPr>
              <w:t>-CA</w:t>
            </w:r>
            <w:r w:rsidRPr="00DB453E">
              <w:rPr>
                <w:rFonts w:cstheme="minorHAnsi"/>
                <w:b/>
                <w:bCs/>
                <w:noProof/>
                <w:u w:val="single"/>
              </w:rPr>
              <w:t>:</w:t>
            </w:r>
          </w:p>
          <w:p w14:paraId="11C91496" w14:textId="287B811C" w:rsidR="00D26EBE" w:rsidRPr="00DB453E" w:rsidRDefault="00D26EBE" w:rsidP="0060753C">
            <w:pPr>
              <w:spacing w:after="60"/>
              <w:contextualSpacing/>
              <w:rPr>
                <w:rFonts w:cstheme="minorHAnsi"/>
              </w:rPr>
            </w:pPr>
            <w:r w:rsidRPr="00DB453E">
              <w:rPr>
                <w:rFonts w:cstheme="minorHAnsi"/>
              </w:rPr>
              <w:t xml:space="preserve">T400-T404 or T406 </w:t>
            </w:r>
          </w:p>
        </w:tc>
      </w:tr>
      <w:tr w:rsidR="00D26EBE" w:rsidRPr="00DB453E" w14:paraId="72D74210" w14:textId="77777777" w:rsidTr="00D26EBE">
        <w:trPr>
          <w:jc w:val="center"/>
        </w:trPr>
        <w:tc>
          <w:tcPr>
            <w:tcW w:w="1504" w:type="pct"/>
            <w:shd w:val="clear" w:color="auto" w:fill="FFFFFF"/>
          </w:tcPr>
          <w:p w14:paraId="6E55D763" w14:textId="77777777" w:rsidR="00D26EBE" w:rsidRPr="00DB453E" w:rsidRDefault="00D26EBE" w:rsidP="0060753C">
            <w:pPr>
              <w:rPr>
                <w:rFonts w:cstheme="minorHAnsi"/>
              </w:rPr>
            </w:pPr>
            <w:r w:rsidRPr="00DB453E">
              <w:rPr>
                <w:rFonts w:cstheme="minorHAnsi"/>
              </w:rPr>
              <w:t>Alcohol Use Disorder</w:t>
            </w:r>
          </w:p>
        </w:tc>
        <w:tc>
          <w:tcPr>
            <w:tcW w:w="1323" w:type="pct"/>
            <w:shd w:val="clear" w:color="auto" w:fill="FFFFFF"/>
          </w:tcPr>
          <w:p w14:paraId="6E34EBB2" w14:textId="77777777" w:rsidR="00D26EBE" w:rsidRPr="00DB453E" w:rsidRDefault="00D26EBE" w:rsidP="0060753C">
            <w:pPr>
              <w:rPr>
                <w:rFonts w:cstheme="minorHAnsi"/>
              </w:rPr>
            </w:pPr>
            <w:r w:rsidRPr="00DB453E">
              <w:rPr>
                <w:rFonts w:cstheme="minorHAnsi"/>
                <w:noProof/>
              </w:rPr>
              <w:t>OHIP, DAD, NACRS</w:t>
            </w:r>
          </w:p>
        </w:tc>
        <w:tc>
          <w:tcPr>
            <w:tcW w:w="2173" w:type="pct"/>
            <w:shd w:val="clear" w:color="auto" w:fill="FFFFFF"/>
          </w:tcPr>
          <w:p w14:paraId="7F42F9E1" w14:textId="77777777" w:rsidR="00D26EBE" w:rsidRPr="00DB453E" w:rsidRDefault="00D26EBE" w:rsidP="0060753C">
            <w:pPr>
              <w:rPr>
                <w:rFonts w:cstheme="minorHAnsi"/>
                <w:b/>
                <w:u w:val="single"/>
              </w:rPr>
            </w:pPr>
            <w:r w:rsidRPr="00DB453E">
              <w:rPr>
                <w:rFonts w:cstheme="minorHAnsi"/>
                <w:b/>
                <w:u w:val="single"/>
              </w:rPr>
              <w:t xml:space="preserve">OHIP </w:t>
            </w:r>
            <w:proofErr w:type="spellStart"/>
            <w:r w:rsidRPr="00DB453E">
              <w:rPr>
                <w:rFonts w:cstheme="minorHAnsi"/>
                <w:b/>
                <w:u w:val="single"/>
              </w:rPr>
              <w:t>Dxcode</w:t>
            </w:r>
            <w:proofErr w:type="spellEnd"/>
            <w:r w:rsidRPr="00DB453E">
              <w:rPr>
                <w:rFonts w:cstheme="minorHAnsi"/>
                <w:b/>
                <w:u w:val="single"/>
              </w:rPr>
              <w:t xml:space="preserve">: </w:t>
            </w:r>
          </w:p>
          <w:p w14:paraId="4779346F" w14:textId="77777777" w:rsidR="00D26EBE" w:rsidRPr="00DB453E" w:rsidRDefault="00D26EBE" w:rsidP="0060753C">
            <w:pPr>
              <w:rPr>
                <w:rFonts w:cstheme="minorHAnsi"/>
              </w:rPr>
            </w:pPr>
            <w:r w:rsidRPr="00DB453E">
              <w:rPr>
                <w:rFonts w:cstheme="minorHAnsi"/>
              </w:rPr>
              <w:t>291, 303</w:t>
            </w:r>
          </w:p>
          <w:p w14:paraId="0FDD5E5E" w14:textId="77777777" w:rsidR="00D26EBE" w:rsidRPr="00DB453E" w:rsidRDefault="00D26EBE" w:rsidP="0060753C">
            <w:pPr>
              <w:rPr>
                <w:rFonts w:cstheme="minorHAnsi"/>
              </w:rPr>
            </w:pPr>
          </w:p>
          <w:p w14:paraId="4553DE1D" w14:textId="77777777" w:rsidR="00D26EBE" w:rsidRPr="00DB453E" w:rsidRDefault="00D26EBE" w:rsidP="00D26EBE">
            <w:pPr>
              <w:widowControl w:val="0"/>
              <w:rPr>
                <w:rFonts w:cstheme="minorHAnsi"/>
                <w:b/>
                <w:bCs/>
                <w:noProof/>
                <w:u w:val="single"/>
              </w:rPr>
            </w:pPr>
            <w:r w:rsidRPr="00DB453E">
              <w:rPr>
                <w:rFonts w:cstheme="minorHAnsi"/>
                <w:b/>
                <w:bCs/>
                <w:noProof/>
                <w:u w:val="single"/>
              </w:rPr>
              <w:t>ICD-10</w:t>
            </w:r>
            <w:r>
              <w:rPr>
                <w:rFonts w:cstheme="minorHAnsi"/>
                <w:b/>
                <w:bCs/>
                <w:noProof/>
                <w:u w:val="single"/>
              </w:rPr>
              <w:t>-CA</w:t>
            </w:r>
            <w:r w:rsidRPr="00DB453E">
              <w:rPr>
                <w:rFonts w:cstheme="minorHAnsi"/>
                <w:b/>
                <w:bCs/>
                <w:noProof/>
                <w:u w:val="single"/>
              </w:rPr>
              <w:t>:</w:t>
            </w:r>
          </w:p>
          <w:p w14:paraId="75602279" w14:textId="0F340429" w:rsidR="00D26EBE" w:rsidRPr="00DB453E" w:rsidRDefault="00D26EBE" w:rsidP="00D26EBE">
            <w:pPr>
              <w:rPr>
                <w:rFonts w:cstheme="minorHAnsi"/>
              </w:rPr>
            </w:pPr>
            <w:r w:rsidRPr="00DB453E">
              <w:rPr>
                <w:rFonts w:cstheme="minorHAnsi"/>
              </w:rPr>
              <w:t>F10 K70 G312 G621 G721 I426 K292 K860 Z502 Z714 Z8640</w:t>
            </w:r>
          </w:p>
        </w:tc>
      </w:tr>
      <w:tr w:rsidR="00D26EBE" w:rsidRPr="00DB453E" w14:paraId="389BE8FD" w14:textId="77777777" w:rsidTr="00D26EBE">
        <w:trPr>
          <w:jc w:val="center"/>
        </w:trPr>
        <w:tc>
          <w:tcPr>
            <w:tcW w:w="1504" w:type="pct"/>
            <w:shd w:val="clear" w:color="auto" w:fill="FFFFFF"/>
          </w:tcPr>
          <w:p w14:paraId="44F3C933" w14:textId="438EC15B" w:rsidR="00D26EBE" w:rsidRPr="00DB453E" w:rsidRDefault="00D26EBE" w:rsidP="0060753C">
            <w:pPr>
              <w:rPr>
                <w:rFonts w:cstheme="minorHAnsi"/>
              </w:rPr>
            </w:pPr>
            <w:r w:rsidRPr="00DB453E">
              <w:rPr>
                <w:rFonts w:cstheme="minorHAnsi"/>
              </w:rPr>
              <w:t>Chronic Kidney Disease</w:t>
            </w:r>
          </w:p>
        </w:tc>
        <w:tc>
          <w:tcPr>
            <w:tcW w:w="1323" w:type="pct"/>
            <w:shd w:val="clear" w:color="auto" w:fill="FFFFFF"/>
          </w:tcPr>
          <w:p w14:paraId="577A8217" w14:textId="638FAB29" w:rsidR="00D26EBE" w:rsidRPr="00DB453E" w:rsidRDefault="00D26EBE" w:rsidP="0060753C">
            <w:pPr>
              <w:rPr>
                <w:rFonts w:cstheme="minorHAnsi"/>
                <w:noProof/>
              </w:rPr>
            </w:pPr>
            <w:r w:rsidRPr="00DB453E">
              <w:rPr>
                <w:rFonts w:cstheme="minorHAnsi"/>
                <w:noProof/>
              </w:rPr>
              <w:t>OHIP, DAD, NACRS</w:t>
            </w:r>
          </w:p>
        </w:tc>
        <w:tc>
          <w:tcPr>
            <w:tcW w:w="2173" w:type="pct"/>
            <w:shd w:val="clear" w:color="auto" w:fill="FFFFFF"/>
          </w:tcPr>
          <w:p w14:paraId="2099E71A" w14:textId="77777777" w:rsidR="00D26EBE" w:rsidRPr="00DB453E" w:rsidRDefault="00D26EBE" w:rsidP="00DB453E">
            <w:pPr>
              <w:rPr>
                <w:rFonts w:cstheme="minorHAnsi"/>
                <w:b/>
                <w:u w:val="single"/>
              </w:rPr>
            </w:pPr>
            <w:r w:rsidRPr="00DB453E">
              <w:rPr>
                <w:rFonts w:cstheme="minorHAnsi"/>
                <w:b/>
                <w:u w:val="single"/>
              </w:rPr>
              <w:t xml:space="preserve">OHIP </w:t>
            </w:r>
            <w:proofErr w:type="spellStart"/>
            <w:r w:rsidRPr="00DB453E">
              <w:rPr>
                <w:rFonts w:cstheme="minorHAnsi"/>
                <w:b/>
                <w:u w:val="single"/>
              </w:rPr>
              <w:t>Dxcode</w:t>
            </w:r>
            <w:proofErr w:type="spellEnd"/>
            <w:r w:rsidRPr="00DB453E">
              <w:rPr>
                <w:rFonts w:cstheme="minorHAnsi"/>
                <w:b/>
                <w:u w:val="single"/>
              </w:rPr>
              <w:t xml:space="preserve">: </w:t>
            </w:r>
          </w:p>
          <w:p w14:paraId="6C15672A" w14:textId="43867E90" w:rsidR="00D26EBE" w:rsidRPr="00DB453E" w:rsidRDefault="00D26EBE" w:rsidP="0060753C">
            <w:pPr>
              <w:rPr>
                <w:rFonts w:cstheme="minorHAnsi"/>
              </w:rPr>
            </w:pPr>
            <w:r w:rsidRPr="00DB453E">
              <w:rPr>
                <w:rFonts w:cstheme="minorHAnsi"/>
              </w:rPr>
              <w:t>403, 585</w:t>
            </w:r>
          </w:p>
          <w:p w14:paraId="19B22A1D" w14:textId="77777777" w:rsidR="00D26EBE" w:rsidRPr="00DB453E" w:rsidRDefault="00D26EBE" w:rsidP="0060753C">
            <w:pPr>
              <w:rPr>
                <w:rFonts w:cstheme="minorHAnsi"/>
                <w:b/>
                <w:u w:val="single"/>
              </w:rPr>
            </w:pPr>
          </w:p>
          <w:p w14:paraId="3A1EA5F7" w14:textId="77777777" w:rsidR="00D26EBE" w:rsidRPr="00DB453E" w:rsidRDefault="00D26EBE" w:rsidP="00D26EBE">
            <w:pPr>
              <w:widowControl w:val="0"/>
              <w:rPr>
                <w:rFonts w:cstheme="minorHAnsi"/>
                <w:b/>
                <w:bCs/>
                <w:noProof/>
                <w:u w:val="single"/>
              </w:rPr>
            </w:pPr>
            <w:r w:rsidRPr="00DB453E">
              <w:rPr>
                <w:rFonts w:cstheme="minorHAnsi"/>
                <w:b/>
                <w:bCs/>
                <w:noProof/>
                <w:u w:val="single"/>
              </w:rPr>
              <w:t>ICD-10</w:t>
            </w:r>
            <w:r>
              <w:rPr>
                <w:rFonts w:cstheme="minorHAnsi"/>
                <w:b/>
                <w:bCs/>
                <w:noProof/>
                <w:u w:val="single"/>
              </w:rPr>
              <w:t>-CA</w:t>
            </w:r>
            <w:r w:rsidRPr="00DB453E">
              <w:rPr>
                <w:rFonts w:cstheme="minorHAnsi"/>
                <w:b/>
                <w:bCs/>
                <w:noProof/>
                <w:u w:val="single"/>
              </w:rPr>
              <w:t>:</w:t>
            </w:r>
          </w:p>
          <w:p w14:paraId="11DDA106" w14:textId="1835D144" w:rsidR="00D26EBE" w:rsidRPr="00DB453E" w:rsidRDefault="00D26EBE" w:rsidP="00DB453E">
            <w:pPr>
              <w:rPr>
                <w:rFonts w:cstheme="minorHAnsi"/>
                <w:b/>
                <w:u w:val="single"/>
              </w:rPr>
            </w:pPr>
            <w:r w:rsidRPr="00DB453E">
              <w:rPr>
                <w:rFonts w:cstheme="minorHAnsi"/>
              </w:rPr>
              <w:t>E102, E112, E132, E142, I12, I13, N08, N18, N19</w:t>
            </w:r>
          </w:p>
        </w:tc>
      </w:tr>
      <w:tr w:rsidR="00D26EBE" w:rsidRPr="00DB453E" w14:paraId="773FEF14" w14:textId="77777777" w:rsidTr="00D26EBE">
        <w:trPr>
          <w:jc w:val="center"/>
        </w:trPr>
        <w:tc>
          <w:tcPr>
            <w:tcW w:w="1504" w:type="pct"/>
            <w:shd w:val="clear" w:color="auto" w:fill="FFFFFF"/>
          </w:tcPr>
          <w:p w14:paraId="2C7842D1" w14:textId="4005349C" w:rsidR="00D26EBE" w:rsidRPr="00DB453E" w:rsidRDefault="00D26EBE" w:rsidP="0060753C">
            <w:pPr>
              <w:rPr>
                <w:rFonts w:cstheme="minorHAnsi"/>
              </w:rPr>
            </w:pPr>
            <w:r w:rsidRPr="00DB453E">
              <w:rPr>
                <w:rFonts w:cstheme="minorHAnsi"/>
              </w:rPr>
              <w:t>Liver Disease</w:t>
            </w:r>
          </w:p>
        </w:tc>
        <w:tc>
          <w:tcPr>
            <w:tcW w:w="1323" w:type="pct"/>
            <w:shd w:val="clear" w:color="auto" w:fill="FFFFFF"/>
          </w:tcPr>
          <w:p w14:paraId="1CA81C67" w14:textId="04BB644F" w:rsidR="00D26EBE" w:rsidRPr="00DB453E" w:rsidRDefault="00D26EBE" w:rsidP="0060753C">
            <w:pPr>
              <w:rPr>
                <w:rFonts w:cstheme="minorHAnsi"/>
                <w:noProof/>
              </w:rPr>
            </w:pPr>
            <w:r w:rsidRPr="00DB453E">
              <w:rPr>
                <w:rFonts w:cstheme="minorHAnsi"/>
                <w:noProof/>
              </w:rPr>
              <w:t>OHIP, DAD, NACRS</w:t>
            </w:r>
          </w:p>
        </w:tc>
        <w:tc>
          <w:tcPr>
            <w:tcW w:w="2173" w:type="pct"/>
            <w:shd w:val="clear" w:color="auto" w:fill="FFFFFF"/>
          </w:tcPr>
          <w:p w14:paraId="1B1EA7BE" w14:textId="77777777" w:rsidR="00D26EBE" w:rsidRPr="00DB453E" w:rsidRDefault="00D26EBE" w:rsidP="00A32889">
            <w:pPr>
              <w:rPr>
                <w:rFonts w:cstheme="minorHAnsi"/>
                <w:b/>
                <w:u w:val="single"/>
              </w:rPr>
            </w:pPr>
            <w:r w:rsidRPr="00DB453E">
              <w:rPr>
                <w:rFonts w:cstheme="minorHAnsi"/>
                <w:b/>
                <w:u w:val="single"/>
              </w:rPr>
              <w:t xml:space="preserve">OHIP </w:t>
            </w:r>
            <w:proofErr w:type="spellStart"/>
            <w:r w:rsidRPr="00DB453E">
              <w:rPr>
                <w:rFonts w:cstheme="minorHAnsi"/>
                <w:b/>
                <w:u w:val="single"/>
              </w:rPr>
              <w:t>Dxcode</w:t>
            </w:r>
            <w:proofErr w:type="spellEnd"/>
            <w:r w:rsidRPr="00DB453E">
              <w:rPr>
                <w:rFonts w:cstheme="minorHAnsi"/>
                <w:b/>
                <w:u w:val="single"/>
              </w:rPr>
              <w:t xml:space="preserve">: </w:t>
            </w:r>
          </w:p>
          <w:p w14:paraId="0215E97C" w14:textId="462EFA8A" w:rsidR="00D26EBE" w:rsidRPr="00DB453E" w:rsidRDefault="00D26EBE" w:rsidP="00A32889">
            <w:pPr>
              <w:rPr>
                <w:rFonts w:cstheme="minorHAnsi"/>
              </w:rPr>
            </w:pPr>
            <w:r>
              <w:rPr>
                <w:rFonts w:cstheme="minorHAnsi"/>
              </w:rPr>
              <w:t>571</w:t>
            </w:r>
          </w:p>
          <w:p w14:paraId="438DF73E" w14:textId="77777777" w:rsidR="00D26EBE" w:rsidRDefault="00D26EBE" w:rsidP="00DB453E">
            <w:pPr>
              <w:widowControl w:val="0"/>
              <w:rPr>
                <w:rFonts w:cstheme="minorHAnsi"/>
                <w:b/>
                <w:noProof/>
                <w:u w:val="single"/>
              </w:rPr>
            </w:pPr>
          </w:p>
          <w:p w14:paraId="703B0BCC" w14:textId="77777777" w:rsidR="00D26EBE" w:rsidRPr="00DB453E" w:rsidRDefault="00D26EBE" w:rsidP="00D26EBE">
            <w:pPr>
              <w:widowControl w:val="0"/>
              <w:rPr>
                <w:rFonts w:cstheme="minorHAnsi"/>
                <w:b/>
                <w:bCs/>
                <w:noProof/>
                <w:u w:val="single"/>
              </w:rPr>
            </w:pPr>
            <w:r w:rsidRPr="00DB453E">
              <w:rPr>
                <w:rFonts w:cstheme="minorHAnsi"/>
                <w:b/>
                <w:bCs/>
                <w:noProof/>
                <w:u w:val="single"/>
              </w:rPr>
              <w:t>ICD-10</w:t>
            </w:r>
            <w:r>
              <w:rPr>
                <w:rFonts w:cstheme="minorHAnsi"/>
                <w:b/>
                <w:bCs/>
                <w:noProof/>
                <w:u w:val="single"/>
              </w:rPr>
              <w:t>-CA</w:t>
            </w:r>
            <w:r w:rsidRPr="00DB453E">
              <w:rPr>
                <w:rFonts w:cstheme="minorHAnsi"/>
                <w:b/>
                <w:bCs/>
                <w:noProof/>
                <w:u w:val="single"/>
              </w:rPr>
              <w:t>:</w:t>
            </w:r>
          </w:p>
          <w:p w14:paraId="7856520A" w14:textId="442E08FE" w:rsidR="00D26EBE" w:rsidRPr="00DB453E" w:rsidRDefault="00D26EBE" w:rsidP="00DB453E">
            <w:pPr>
              <w:rPr>
                <w:rFonts w:cstheme="minorHAnsi"/>
                <w:b/>
                <w:u w:val="single"/>
              </w:rPr>
            </w:pPr>
            <w:r w:rsidRPr="007C5D36">
              <w:rPr>
                <w:rFonts w:cstheme="minorHAnsi"/>
              </w:rPr>
              <w:t>K70 K71 K72 K73 K74 K75 K76 K77</w:t>
            </w:r>
          </w:p>
        </w:tc>
      </w:tr>
      <w:tr w:rsidR="00D26EBE" w:rsidRPr="00DB453E" w14:paraId="3C0E40BB" w14:textId="77777777" w:rsidTr="00D26EBE">
        <w:trPr>
          <w:jc w:val="center"/>
        </w:trPr>
        <w:tc>
          <w:tcPr>
            <w:tcW w:w="1504" w:type="pct"/>
            <w:shd w:val="clear" w:color="auto" w:fill="FFFFFF"/>
          </w:tcPr>
          <w:p w14:paraId="739E02C1" w14:textId="2ADD45D4" w:rsidR="00D26EBE" w:rsidRPr="00DB453E" w:rsidRDefault="00D26EBE" w:rsidP="001079DA">
            <w:pPr>
              <w:rPr>
                <w:rFonts w:cstheme="minorHAnsi"/>
              </w:rPr>
            </w:pPr>
            <w:r>
              <w:rPr>
                <w:rFonts w:cstheme="minorHAnsi"/>
              </w:rPr>
              <w:t>Primary Care Visits</w:t>
            </w:r>
          </w:p>
        </w:tc>
        <w:tc>
          <w:tcPr>
            <w:tcW w:w="1323" w:type="pct"/>
            <w:shd w:val="clear" w:color="auto" w:fill="FFFFFF"/>
          </w:tcPr>
          <w:p w14:paraId="0FDC9F80" w14:textId="7C0A4A35" w:rsidR="00D26EBE" w:rsidRPr="00DB453E" w:rsidRDefault="00D26EBE" w:rsidP="0060753C">
            <w:pPr>
              <w:rPr>
                <w:rFonts w:cstheme="minorHAnsi"/>
                <w:noProof/>
              </w:rPr>
            </w:pPr>
            <w:r>
              <w:rPr>
                <w:rFonts w:cstheme="minorHAnsi"/>
                <w:noProof/>
              </w:rPr>
              <w:t>OHIP</w:t>
            </w:r>
          </w:p>
        </w:tc>
        <w:tc>
          <w:tcPr>
            <w:tcW w:w="2173" w:type="pct"/>
            <w:shd w:val="clear" w:color="auto" w:fill="FFFFFF"/>
          </w:tcPr>
          <w:p w14:paraId="6B526092" w14:textId="77777777" w:rsidR="00D26EBE" w:rsidRPr="00DB453E" w:rsidRDefault="00D26EBE" w:rsidP="001D72CD">
            <w:pPr>
              <w:rPr>
                <w:rFonts w:cstheme="minorHAnsi"/>
                <w:b/>
                <w:u w:val="single"/>
              </w:rPr>
            </w:pPr>
            <w:r w:rsidRPr="00DB453E">
              <w:rPr>
                <w:rFonts w:cstheme="minorHAnsi"/>
                <w:b/>
                <w:u w:val="single"/>
              </w:rPr>
              <w:t xml:space="preserve">OHIP </w:t>
            </w:r>
            <w:proofErr w:type="spellStart"/>
            <w:r w:rsidRPr="00DB453E">
              <w:rPr>
                <w:rFonts w:cstheme="minorHAnsi"/>
                <w:b/>
                <w:u w:val="single"/>
              </w:rPr>
              <w:t>Feecode</w:t>
            </w:r>
            <w:proofErr w:type="spellEnd"/>
            <w:r w:rsidRPr="00DB453E">
              <w:rPr>
                <w:rFonts w:cstheme="minorHAnsi"/>
                <w:b/>
                <w:u w:val="single"/>
              </w:rPr>
              <w:t xml:space="preserve">: </w:t>
            </w:r>
          </w:p>
          <w:p w14:paraId="1DDFAEDE" w14:textId="316FDCA9" w:rsidR="00D26EBE" w:rsidRPr="001D72CD" w:rsidRDefault="00D26EBE" w:rsidP="0060413A">
            <w:pPr>
              <w:rPr>
                <w:rFonts w:cstheme="minorHAnsi"/>
              </w:rPr>
            </w:pPr>
            <w:r w:rsidRPr="001D72CD">
              <w:rPr>
                <w:rFonts w:cstheme="minorHAnsi"/>
              </w:rPr>
              <w:t xml:space="preserve">A001, </w:t>
            </w:r>
            <w:r w:rsidRPr="000A7AF2">
              <w:rPr>
                <w:rFonts w:cstheme="minorHAnsi"/>
              </w:rPr>
              <w:t>A002</w:t>
            </w:r>
            <w:r>
              <w:rPr>
                <w:rFonts w:cstheme="minorHAnsi"/>
              </w:rPr>
              <w:t xml:space="preserve">, </w:t>
            </w:r>
            <w:r w:rsidRPr="001D72CD">
              <w:rPr>
                <w:rFonts w:cstheme="minorHAnsi"/>
              </w:rPr>
              <w:t>A003, A007,</w:t>
            </w:r>
            <w:r>
              <w:rPr>
                <w:rFonts w:cstheme="minorHAnsi"/>
              </w:rPr>
              <w:t xml:space="preserve"> </w:t>
            </w:r>
            <w:r w:rsidRPr="001D72CD">
              <w:rPr>
                <w:rFonts w:cstheme="minorHAnsi"/>
              </w:rPr>
              <w:t>A903, E075, G212, G271, G372, G373, G365, G538, G539, G590, G591, K005, K013, K017, P004,</w:t>
            </w:r>
            <w:r>
              <w:t xml:space="preserve"> </w:t>
            </w:r>
            <w:r>
              <w:rPr>
                <w:rFonts w:cstheme="minorHAnsi"/>
              </w:rPr>
              <w:t>K130, K131, K132, K030</w:t>
            </w:r>
          </w:p>
        </w:tc>
      </w:tr>
    </w:tbl>
    <w:p w14:paraId="2C1A8D04" w14:textId="0F1B6265" w:rsidR="002C7DC3" w:rsidRDefault="00670BC3" w:rsidP="00A560D4">
      <w:pPr>
        <w:pStyle w:val="Heading1"/>
        <w:jc w:val="center"/>
        <w:rPr>
          <w:sz w:val="24"/>
          <w:u w:val="single"/>
        </w:rPr>
      </w:pPr>
      <w:bookmarkStart w:id="3" w:name="_Appendix_B:_John’s"/>
      <w:bookmarkEnd w:id="3"/>
      <w:r w:rsidRPr="00A560D4">
        <w:rPr>
          <w:noProof/>
          <w:sz w:val="24"/>
          <w:u w:val="single"/>
        </w:rPr>
        <w:lastRenderedPageBreak/>
        <w:drawing>
          <wp:anchor distT="0" distB="0" distL="114300" distR="114300" simplePos="0" relativeHeight="251658240" behindDoc="0" locked="0" layoutInCell="1" allowOverlap="1" wp14:anchorId="5E6862BF" wp14:editId="6F51C87A">
            <wp:simplePos x="0" y="0"/>
            <wp:positionH relativeFrom="column">
              <wp:posOffset>1033770</wp:posOffset>
            </wp:positionH>
            <wp:positionV relativeFrom="paragraph">
              <wp:posOffset>285228</wp:posOffset>
            </wp:positionV>
            <wp:extent cx="4747260" cy="4389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Gs.png"/>
                    <pic:cNvPicPr/>
                  </pic:nvPicPr>
                  <pic:blipFill>
                    <a:blip r:embed="rId11">
                      <a:extLst>
                        <a:ext uri="{28A0092B-C50C-407E-A947-70E740481C1C}">
                          <a14:useLocalDpi xmlns:a14="http://schemas.microsoft.com/office/drawing/2010/main" val="0"/>
                        </a:ext>
                      </a:extLst>
                    </a:blip>
                    <a:stretch>
                      <a:fillRect/>
                    </a:stretch>
                  </pic:blipFill>
                  <pic:spPr>
                    <a:xfrm>
                      <a:off x="0" y="0"/>
                      <a:ext cx="4747260" cy="4389120"/>
                    </a:xfrm>
                    <a:prstGeom prst="rect">
                      <a:avLst/>
                    </a:prstGeom>
                  </pic:spPr>
                </pic:pic>
              </a:graphicData>
            </a:graphic>
            <wp14:sizeRelH relativeFrom="page">
              <wp14:pctWidth>0</wp14:pctWidth>
            </wp14:sizeRelH>
            <wp14:sizeRelV relativeFrom="page">
              <wp14:pctHeight>0</wp14:pctHeight>
            </wp14:sizeRelV>
          </wp:anchor>
        </w:drawing>
      </w:r>
      <w:r w:rsidR="00A560D4" w:rsidRPr="00A560D4">
        <w:rPr>
          <w:sz w:val="24"/>
          <w:u w:val="single"/>
        </w:rPr>
        <w:t>Appendix B: John’s Hopkins Aggregated Diagnosis Groups</w:t>
      </w:r>
    </w:p>
    <w:p w14:paraId="289A7BC8" w14:textId="6836472D" w:rsidR="00A93E59" w:rsidRDefault="00A93E59">
      <w:r>
        <w:br w:type="page"/>
      </w:r>
    </w:p>
    <w:p w14:paraId="6BEF24D9" w14:textId="1913B15B" w:rsidR="00A93E59" w:rsidRDefault="00A93E59" w:rsidP="00A93E59">
      <w:pPr>
        <w:pStyle w:val="Heading1"/>
        <w:jc w:val="center"/>
        <w:rPr>
          <w:sz w:val="24"/>
          <w:u w:val="single"/>
        </w:rPr>
      </w:pPr>
      <w:r>
        <w:rPr>
          <w:sz w:val="24"/>
          <w:u w:val="single"/>
        </w:rPr>
        <w:lastRenderedPageBreak/>
        <w:t>A</w:t>
      </w:r>
      <w:r w:rsidRPr="00A560D4">
        <w:rPr>
          <w:sz w:val="24"/>
          <w:u w:val="single"/>
        </w:rPr>
        <w:t xml:space="preserve">ppendix </w:t>
      </w:r>
      <w:r>
        <w:rPr>
          <w:sz w:val="24"/>
          <w:u w:val="single"/>
        </w:rPr>
        <w:t>C</w:t>
      </w:r>
      <w:r w:rsidRPr="00A560D4">
        <w:rPr>
          <w:sz w:val="24"/>
          <w:u w:val="single"/>
        </w:rPr>
        <w:t xml:space="preserve">: </w:t>
      </w:r>
      <w:r>
        <w:rPr>
          <w:sz w:val="24"/>
          <w:u w:val="single"/>
        </w:rPr>
        <w:t>Abbreviations</w:t>
      </w:r>
    </w:p>
    <w:p w14:paraId="2387A748" w14:textId="77777777" w:rsidR="00A93E59" w:rsidRPr="00A93E59" w:rsidRDefault="00A93E59" w:rsidP="00A93E59"/>
    <w:p w14:paraId="20A4A10C" w14:textId="14A8C5B7" w:rsidR="00C11B1A" w:rsidRDefault="00C11B1A" w:rsidP="00C11B1A">
      <w:r>
        <w:t xml:space="preserve">ACG – Johns </w:t>
      </w:r>
      <w:r w:rsidR="00FF5918">
        <w:t>Hopkins Adjusted Clinical Group</w:t>
      </w:r>
      <w:r>
        <w:t xml:space="preserve"> system</w:t>
      </w:r>
    </w:p>
    <w:p w14:paraId="66C30945" w14:textId="77777777" w:rsidR="00C11B1A" w:rsidRDefault="00C11B1A" w:rsidP="00C11B1A">
      <w:r>
        <w:t>ADG – Johns Hopkins Aggregated Diagnosis Groups</w:t>
      </w:r>
    </w:p>
    <w:p w14:paraId="634799F2" w14:textId="77777777" w:rsidR="00C11B1A" w:rsidRDefault="00C11B1A" w:rsidP="00C11B1A">
      <w:r>
        <w:t>ALR – Cancer Activity Level Reporting database</w:t>
      </w:r>
    </w:p>
    <w:p w14:paraId="4CE9B8BF" w14:textId="77777777" w:rsidR="00C11B1A" w:rsidRDefault="00C11B1A" w:rsidP="00C11B1A">
      <w:r>
        <w:t>CAPE – Client Agency Program Enrolment database</w:t>
      </w:r>
    </w:p>
    <w:p w14:paraId="3D615D71" w14:textId="77777777" w:rsidR="00C11B1A" w:rsidRDefault="00C11B1A" w:rsidP="00C11B1A">
      <w:r>
        <w:t>CCM – Comprehensive Care Model</w:t>
      </w:r>
    </w:p>
    <w:p w14:paraId="5B4A7AA9" w14:textId="77777777" w:rsidR="00C11B1A" w:rsidRDefault="00C11B1A" w:rsidP="00C11B1A">
      <w:r>
        <w:t xml:space="preserve">CHC – community health </w:t>
      </w:r>
      <w:proofErr w:type="spellStart"/>
      <w:r>
        <w:t>centre</w:t>
      </w:r>
      <w:proofErr w:type="spellEnd"/>
    </w:p>
    <w:p w14:paraId="53509197" w14:textId="77777777" w:rsidR="00C11B1A" w:rsidRDefault="00C11B1A" w:rsidP="00C11B1A">
      <w:r>
        <w:t>CIHI-DAD or DAD – Canadian Institute for Health Information Discharge Abstract Database</w:t>
      </w:r>
    </w:p>
    <w:p w14:paraId="54EE32C8" w14:textId="77777777" w:rsidR="00C11B1A" w:rsidRDefault="00C11B1A" w:rsidP="00C11B1A">
      <w:r>
        <w:t>CIHI-NACRS or NACRS – Canadian Institute for Health Information National Ambulatory Care Reporting System</w:t>
      </w:r>
    </w:p>
    <w:p w14:paraId="511F1632" w14:textId="77777777" w:rsidR="00C11B1A" w:rsidRDefault="00C11B1A" w:rsidP="00C11B1A">
      <w:r>
        <w:t>COPD – chronic obstructive pulmonary disease</w:t>
      </w:r>
    </w:p>
    <w:p w14:paraId="30A35973" w14:textId="77777777" w:rsidR="00C11B1A" w:rsidRDefault="00C11B1A" w:rsidP="00C11B1A">
      <w:r>
        <w:t>DCLASS – drug class</w:t>
      </w:r>
    </w:p>
    <w:p w14:paraId="05AB7017" w14:textId="77777777" w:rsidR="00C11B1A" w:rsidRDefault="00C11B1A" w:rsidP="00C11B1A">
      <w:r>
        <w:t>DIN – drug identification number</w:t>
      </w:r>
    </w:p>
    <w:p w14:paraId="1CF7D7A2" w14:textId="77777777" w:rsidR="00C11B1A" w:rsidRDefault="00C11B1A" w:rsidP="00C11B1A">
      <w:r>
        <w:t>DOLC – Date of last health care contact</w:t>
      </w:r>
    </w:p>
    <w:p w14:paraId="6B181AF2" w14:textId="77777777" w:rsidR="00C11B1A" w:rsidRDefault="00C11B1A" w:rsidP="00C11B1A">
      <w:r>
        <w:t>ED – emergency department</w:t>
      </w:r>
    </w:p>
    <w:p w14:paraId="16CE9F7E" w14:textId="77777777" w:rsidR="00C11B1A" w:rsidRDefault="00C11B1A" w:rsidP="00C11B1A">
      <w:r>
        <w:t>EXCL – opioids to exclude</w:t>
      </w:r>
    </w:p>
    <w:p w14:paraId="0FC955B4" w14:textId="77777777" w:rsidR="00C11B1A" w:rsidRDefault="00C11B1A" w:rsidP="00C11B1A">
      <w:r>
        <w:t>FHG – Family Health Group</w:t>
      </w:r>
    </w:p>
    <w:p w14:paraId="39E9A552" w14:textId="77777777" w:rsidR="00C11B1A" w:rsidRDefault="00C11B1A" w:rsidP="00C11B1A">
      <w:r>
        <w:t>FHN – Family Health Network</w:t>
      </w:r>
    </w:p>
    <w:p w14:paraId="537806D7" w14:textId="77777777" w:rsidR="00C11B1A" w:rsidRDefault="00C11B1A" w:rsidP="00C11B1A">
      <w:r>
        <w:t>FHO – Family Health Organization</w:t>
      </w:r>
    </w:p>
    <w:p w14:paraId="3EAB4DF5" w14:textId="77777777" w:rsidR="00C11B1A" w:rsidRDefault="00C11B1A" w:rsidP="00C11B1A">
      <w:r>
        <w:t>GEE – generalized estimating equation</w:t>
      </w:r>
    </w:p>
    <w:p w14:paraId="4CDA8067" w14:textId="77777777" w:rsidR="00C11B1A" w:rsidRDefault="00C11B1A" w:rsidP="00C11B1A">
      <w:r>
        <w:t>ICD-10-CA – Tenth Revision of the International Statistical Classification of Diseases and Related Health Problems, Canadian modification</w:t>
      </w:r>
    </w:p>
    <w:p w14:paraId="757CC56F" w14:textId="77777777" w:rsidR="00C11B1A" w:rsidRDefault="00C11B1A" w:rsidP="00C11B1A">
      <w:r>
        <w:t>IKN – ICES number (unique identifier)</w:t>
      </w:r>
    </w:p>
    <w:p w14:paraId="4EAF213E" w14:textId="77777777" w:rsidR="00C11B1A" w:rsidRDefault="00C11B1A" w:rsidP="00C11B1A">
      <w:r>
        <w:t>IPDB – ICES Physician Database</w:t>
      </w:r>
    </w:p>
    <w:p w14:paraId="2F9B3359" w14:textId="77777777" w:rsidR="00C11B1A" w:rsidRDefault="00C11B1A" w:rsidP="00C11B1A">
      <w:r>
        <w:t>IQR – interquartile range</w:t>
      </w:r>
    </w:p>
    <w:p w14:paraId="700D9F6B" w14:textId="77777777" w:rsidR="00C11B1A" w:rsidRDefault="00C11B1A" w:rsidP="00C11B1A">
      <w:r>
        <w:t>LA – long-acting</w:t>
      </w:r>
    </w:p>
    <w:p w14:paraId="55A9ADA7" w14:textId="77777777" w:rsidR="00C11B1A" w:rsidRDefault="00C11B1A" w:rsidP="00C11B1A">
      <w:r>
        <w:t>LHIN – Local Health Integration Network</w:t>
      </w:r>
    </w:p>
    <w:p w14:paraId="6977BB27" w14:textId="77777777" w:rsidR="00C11B1A" w:rsidRDefault="00C11B1A" w:rsidP="00C11B1A">
      <w:r>
        <w:t>LTC – long-term care</w:t>
      </w:r>
    </w:p>
    <w:p w14:paraId="3153BF0E" w14:textId="77777777" w:rsidR="00C11B1A" w:rsidRDefault="00C11B1A" w:rsidP="00C11B1A">
      <w:r>
        <w:t>MAID – opioids used for medical assistance in dying</w:t>
      </w:r>
    </w:p>
    <w:p w14:paraId="74D54789" w14:textId="77777777" w:rsidR="00C11B1A" w:rsidRDefault="00C11B1A" w:rsidP="00C11B1A">
      <w:r>
        <w:t>MHA – Mental Health and Addictions</w:t>
      </w:r>
    </w:p>
    <w:p w14:paraId="35264F9A" w14:textId="77777777" w:rsidR="00C11B1A" w:rsidRDefault="00C11B1A" w:rsidP="00C11B1A">
      <w:r>
        <w:t>NMS – Narcotics Monitoring System</w:t>
      </w:r>
    </w:p>
    <w:p w14:paraId="19C8921A" w14:textId="77777777" w:rsidR="00C11B1A" w:rsidRDefault="00C11B1A" w:rsidP="00C11B1A">
      <w:r>
        <w:t>OAT/OMT – opioid agonist therapy</w:t>
      </w:r>
    </w:p>
    <w:p w14:paraId="3E99AA0A" w14:textId="77777777" w:rsidR="00C11B1A" w:rsidRDefault="00C11B1A" w:rsidP="00C11B1A">
      <w:r>
        <w:t>ODPRN – Ontario Drug Policy Research Network</w:t>
      </w:r>
    </w:p>
    <w:p w14:paraId="281D1D1F" w14:textId="77777777" w:rsidR="00C11B1A" w:rsidRDefault="00C11B1A" w:rsidP="00C11B1A">
      <w:r>
        <w:t>OHIP – Ontario Health Insurance Plan</w:t>
      </w:r>
    </w:p>
    <w:p w14:paraId="7FF2FFC8" w14:textId="77777777" w:rsidR="00C11B1A" w:rsidRDefault="00C11B1A" w:rsidP="00C11B1A">
      <w:r>
        <w:t>OMHRS – Ontario Mental Health Reporting System</w:t>
      </w:r>
    </w:p>
    <w:p w14:paraId="284B8D79" w14:textId="77777777" w:rsidR="00C11B1A" w:rsidRDefault="00C11B1A" w:rsidP="00C11B1A">
      <w:r>
        <w:t>RPDB – Registered Persons Database</w:t>
      </w:r>
    </w:p>
    <w:p w14:paraId="757F317F" w14:textId="77777777" w:rsidR="00C11B1A" w:rsidRDefault="00C11B1A" w:rsidP="00C11B1A">
      <w:r>
        <w:t>RUNS – opioids used for the treatment of diarrhea</w:t>
      </w:r>
    </w:p>
    <w:p w14:paraId="2B9ACD79" w14:textId="77777777" w:rsidR="00C11B1A" w:rsidRDefault="00C11B1A" w:rsidP="00C11B1A">
      <w:r>
        <w:t>SD – standard deviation</w:t>
      </w:r>
    </w:p>
    <w:p w14:paraId="6CC96A01" w14:textId="77777777" w:rsidR="00C11B1A" w:rsidRDefault="00C11B1A" w:rsidP="00C11B1A">
      <w:r>
        <w:t>SDS – Same Day Surgery</w:t>
      </w:r>
    </w:p>
    <w:p w14:paraId="607F3F39" w14:textId="05F49A68" w:rsidR="00C11B1A" w:rsidRDefault="00C11B1A" w:rsidP="00C11B1A">
      <w:r>
        <w:t>THC – tetrahydrocannabinol</w:t>
      </w:r>
    </w:p>
    <w:p w14:paraId="440A78F6" w14:textId="77777777" w:rsidR="00387017" w:rsidRDefault="00387017" w:rsidP="00A93E59"/>
    <w:p w14:paraId="05557B3E" w14:textId="77777777" w:rsidR="00A93E59" w:rsidRPr="00A93E59" w:rsidRDefault="00A93E59" w:rsidP="00A93E59"/>
    <w:sectPr w:rsidR="00A93E59" w:rsidRPr="00A93E59" w:rsidSect="00152B4F">
      <w:headerReference w:type="default" r:id="rId12"/>
      <w:footerReference w:type="default" r:id="rId13"/>
      <w:pgSz w:w="12240" w:h="15840" w:code="1"/>
      <w:pgMar w:top="187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8D07" w14:textId="77777777" w:rsidR="00026C2C" w:rsidRDefault="00026C2C" w:rsidP="00C72622">
      <w:r>
        <w:separator/>
      </w:r>
    </w:p>
  </w:endnote>
  <w:endnote w:type="continuationSeparator" w:id="0">
    <w:p w14:paraId="2C1A8D08" w14:textId="77777777" w:rsidR="00026C2C" w:rsidRDefault="00026C2C" w:rsidP="00C7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8D0A" w14:textId="6AE92C5C" w:rsidR="00026C2C" w:rsidRPr="00FB0810" w:rsidRDefault="00026C2C" w:rsidP="00FB0810">
    <w:pPr>
      <w:pStyle w:val="NormalWeb"/>
      <w:rPr>
        <w:rFonts w:asciiTheme="minorHAnsi" w:hAnsiTheme="minorHAnsi"/>
        <w:sz w:val="16"/>
      </w:rPr>
    </w:pPr>
    <w:r>
      <w:rPr>
        <w:rFonts w:asciiTheme="minorHAnsi" w:hAnsiTheme="minorHAnsi"/>
        <w:sz w:val="16"/>
      </w:rPr>
      <w:t xml:space="preserve">ICES DCP Template v. 1.6 (05/01/19)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sdt>
      <w:sdtPr>
        <w:rPr>
          <w:rFonts w:asciiTheme="minorHAnsi" w:hAnsiTheme="minorHAnsi"/>
          <w:sz w:val="16"/>
        </w:rPr>
        <w:id w:val="1078781694"/>
        <w:docPartObj>
          <w:docPartGallery w:val="Page Numbers (Bottom of Page)"/>
          <w:docPartUnique/>
        </w:docPartObj>
      </w:sdtPr>
      <w:sdtEndPr>
        <w:rPr>
          <w:noProof/>
        </w:rPr>
      </w:sdtEndPr>
      <w:sdtContent>
        <w:r>
          <w:rPr>
            <w:rFonts w:asciiTheme="minorHAnsi" w:hAnsiTheme="minorHAnsi"/>
            <w:sz w:val="16"/>
          </w:rPr>
          <w:t xml:space="preserve">Page </w:t>
        </w:r>
        <w:r w:rsidRPr="00FB0810">
          <w:rPr>
            <w:rFonts w:asciiTheme="minorHAnsi" w:hAnsiTheme="minorHAnsi"/>
            <w:sz w:val="16"/>
          </w:rPr>
          <w:fldChar w:fldCharType="begin"/>
        </w:r>
        <w:r w:rsidRPr="00FB0810">
          <w:rPr>
            <w:rFonts w:asciiTheme="minorHAnsi" w:hAnsiTheme="minorHAnsi"/>
            <w:sz w:val="16"/>
          </w:rPr>
          <w:instrText xml:space="preserve"> PAGE   \* MERGEFORMAT </w:instrText>
        </w:r>
        <w:r w:rsidRPr="00FB0810">
          <w:rPr>
            <w:rFonts w:asciiTheme="minorHAnsi" w:hAnsiTheme="minorHAnsi"/>
            <w:sz w:val="16"/>
          </w:rPr>
          <w:fldChar w:fldCharType="separate"/>
        </w:r>
        <w:r w:rsidR="00A51372">
          <w:rPr>
            <w:rFonts w:asciiTheme="minorHAnsi" w:hAnsiTheme="minorHAnsi"/>
            <w:noProof/>
            <w:sz w:val="16"/>
          </w:rPr>
          <w:t>5</w:t>
        </w:r>
        <w:r w:rsidRPr="00FB0810">
          <w:rPr>
            <w:rFonts w:asciiTheme="minorHAnsi" w:hAnsiTheme="minorHAnsi"/>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8D05" w14:textId="77777777" w:rsidR="00026C2C" w:rsidRDefault="00026C2C" w:rsidP="00C72622">
      <w:r>
        <w:separator/>
      </w:r>
    </w:p>
  </w:footnote>
  <w:footnote w:type="continuationSeparator" w:id="0">
    <w:p w14:paraId="2C1A8D06" w14:textId="77777777" w:rsidR="00026C2C" w:rsidRDefault="00026C2C" w:rsidP="00C7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8D09" w14:textId="4AF79D79" w:rsidR="00026C2C" w:rsidRDefault="00026C2C">
    <w:pPr>
      <w:pStyle w:val="Header"/>
    </w:pPr>
    <w:r>
      <w:t xml:space="preserve">S1 </w:t>
    </w:r>
    <w:r w:rsidR="00A51372">
      <w:t>Protocol</w:t>
    </w:r>
    <w:r>
      <w:t xml:space="preserve">. Dataset Creation Plan &amp; Analytic Plan: </w:t>
    </w:r>
    <w:r w:rsidRPr="00140880">
      <w:t>Inequities in Access to Primary Care Among Opioid Recipients in Ontario, Canada: A Population-Based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78756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B11E0"/>
    <w:multiLevelType w:val="hybridMultilevel"/>
    <w:tmpl w:val="C54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08A2"/>
    <w:multiLevelType w:val="hybridMultilevel"/>
    <w:tmpl w:val="68FAA5B8"/>
    <w:lvl w:ilvl="0" w:tplc="755CB690">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F02094"/>
    <w:multiLevelType w:val="hybridMultilevel"/>
    <w:tmpl w:val="F9387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06F0F"/>
    <w:multiLevelType w:val="hybridMultilevel"/>
    <w:tmpl w:val="C076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3435"/>
    <w:multiLevelType w:val="multilevel"/>
    <w:tmpl w:val="417C8FC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811D1C"/>
    <w:multiLevelType w:val="hybridMultilevel"/>
    <w:tmpl w:val="BF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C7097"/>
    <w:multiLevelType w:val="hybridMultilevel"/>
    <w:tmpl w:val="468488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461E3"/>
    <w:multiLevelType w:val="hybridMultilevel"/>
    <w:tmpl w:val="C150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22E13"/>
    <w:multiLevelType w:val="hybridMultilevel"/>
    <w:tmpl w:val="98D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10AF"/>
    <w:multiLevelType w:val="hybridMultilevel"/>
    <w:tmpl w:val="6F521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84D15"/>
    <w:multiLevelType w:val="hybridMultilevel"/>
    <w:tmpl w:val="EA0EA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62182"/>
    <w:multiLevelType w:val="hybridMultilevel"/>
    <w:tmpl w:val="325E9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21D6"/>
    <w:multiLevelType w:val="hybridMultilevel"/>
    <w:tmpl w:val="83B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44BA"/>
    <w:multiLevelType w:val="hybridMultilevel"/>
    <w:tmpl w:val="0DBC2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A14D0"/>
    <w:multiLevelType w:val="hybridMultilevel"/>
    <w:tmpl w:val="5F885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03FBE"/>
    <w:multiLevelType w:val="hybridMultilevel"/>
    <w:tmpl w:val="B04C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D2FCA"/>
    <w:multiLevelType w:val="hybridMultilevel"/>
    <w:tmpl w:val="2162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62405D"/>
    <w:multiLevelType w:val="hybridMultilevel"/>
    <w:tmpl w:val="E5F690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37BA7"/>
    <w:multiLevelType w:val="hybridMultilevel"/>
    <w:tmpl w:val="137CE1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61F84"/>
    <w:multiLevelType w:val="hybridMultilevel"/>
    <w:tmpl w:val="8D08CCB2"/>
    <w:lvl w:ilvl="0" w:tplc="0C0A2346">
      <w:numFmt w:val="bullet"/>
      <w:pStyle w:val="ListBullet3"/>
      <w:lvlText w:val=""/>
      <w:lvlJc w:val="left"/>
      <w:pPr>
        <w:ind w:left="1080" w:hanging="360"/>
      </w:pPr>
      <w:rPr>
        <w:rFonts w:ascii="Wingdings" w:eastAsia="Calibri"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9EA6B27"/>
    <w:multiLevelType w:val="hybridMultilevel"/>
    <w:tmpl w:val="C150A9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7EC2"/>
    <w:multiLevelType w:val="hybridMultilevel"/>
    <w:tmpl w:val="597EA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7068A"/>
    <w:multiLevelType w:val="hybridMultilevel"/>
    <w:tmpl w:val="1D6A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A4FC3"/>
    <w:multiLevelType w:val="hybridMultilevel"/>
    <w:tmpl w:val="5F12895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5" w15:restartNumberingAfterBreak="0">
    <w:nsid w:val="50587361"/>
    <w:multiLevelType w:val="hybridMultilevel"/>
    <w:tmpl w:val="602A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016DF"/>
    <w:multiLevelType w:val="hybridMultilevel"/>
    <w:tmpl w:val="58A4E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6A14B2"/>
    <w:multiLevelType w:val="hybridMultilevel"/>
    <w:tmpl w:val="4772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D24BA"/>
    <w:multiLevelType w:val="hybridMultilevel"/>
    <w:tmpl w:val="EC786D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23DE1"/>
    <w:multiLevelType w:val="hybridMultilevel"/>
    <w:tmpl w:val="5F4EC1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AD6859"/>
    <w:multiLevelType w:val="hybridMultilevel"/>
    <w:tmpl w:val="C42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15F3"/>
    <w:multiLevelType w:val="hybridMultilevel"/>
    <w:tmpl w:val="A0DA4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1346"/>
    <w:multiLevelType w:val="hybridMultilevel"/>
    <w:tmpl w:val="8D2419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E2B0D"/>
    <w:multiLevelType w:val="hybridMultilevel"/>
    <w:tmpl w:val="A2D4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B5996"/>
    <w:multiLevelType w:val="hybridMultilevel"/>
    <w:tmpl w:val="1F2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8558D"/>
    <w:multiLevelType w:val="hybridMultilevel"/>
    <w:tmpl w:val="8590505E"/>
    <w:lvl w:ilvl="0" w:tplc="07580540">
      <w:start w:val="1"/>
      <w:numFmt w:val="bullet"/>
      <w:pStyle w:val="ListBullet2"/>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6DB7179"/>
    <w:multiLevelType w:val="hybridMultilevel"/>
    <w:tmpl w:val="8D2419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E7FA2"/>
    <w:multiLevelType w:val="hybridMultilevel"/>
    <w:tmpl w:val="91B42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5"/>
  </w:num>
  <w:num w:numId="4">
    <w:abstractNumId w:val="5"/>
  </w:num>
  <w:num w:numId="5">
    <w:abstractNumId w:val="35"/>
  </w:num>
  <w:num w:numId="6">
    <w:abstractNumId w:val="20"/>
  </w:num>
  <w:num w:numId="7">
    <w:abstractNumId w:val="5"/>
  </w:num>
  <w:num w:numId="8">
    <w:abstractNumId w:val="18"/>
  </w:num>
  <w:num w:numId="9">
    <w:abstractNumId w:val="25"/>
  </w:num>
  <w:num w:numId="10">
    <w:abstractNumId w:val="15"/>
  </w:num>
  <w:num w:numId="11">
    <w:abstractNumId w:val="6"/>
  </w:num>
  <w:num w:numId="12">
    <w:abstractNumId w:val="10"/>
  </w:num>
  <w:num w:numId="13">
    <w:abstractNumId w:val="4"/>
  </w:num>
  <w:num w:numId="14">
    <w:abstractNumId w:val="21"/>
  </w:num>
  <w:num w:numId="15">
    <w:abstractNumId w:val="32"/>
  </w:num>
  <w:num w:numId="16">
    <w:abstractNumId w:val="19"/>
  </w:num>
  <w:num w:numId="17">
    <w:abstractNumId w:val="7"/>
  </w:num>
  <w:num w:numId="18">
    <w:abstractNumId w:val="14"/>
  </w:num>
  <w:num w:numId="19">
    <w:abstractNumId w:val="3"/>
  </w:num>
  <w:num w:numId="20">
    <w:abstractNumId w:val="31"/>
  </w:num>
  <w:num w:numId="21">
    <w:abstractNumId w:val="28"/>
  </w:num>
  <w:num w:numId="22">
    <w:abstractNumId w:val="11"/>
  </w:num>
  <w:num w:numId="23">
    <w:abstractNumId w:val="16"/>
  </w:num>
  <w:num w:numId="24">
    <w:abstractNumId w:val="29"/>
  </w:num>
  <w:num w:numId="25">
    <w:abstractNumId w:val="26"/>
  </w:num>
  <w:num w:numId="26">
    <w:abstractNumId w:val="12"/>
  </w:num>
  <w:num w:numId="27">
    <w:abstractNumId w:val="1"/>
  </w:num>
  <w:num w:numId="28">
    <w:abstractNumId w:val="27"/>
  </w:num>
  <w:num w:numId="29">
    <w:abstractNumId w:val="13"/>
  </w:num>
  <w:num w:numId="30">
    <w:abstractNumId w:val="8"/>
  </w:num>
  <w:num w:numId="31">
    <w:abstractNumId w:val="23"/>
  </w:num>
  <w:num w:numId="32">
    <w:abstractNumId w:val="17"/>
  </w:num>
  <w:num w:numId="33">
    <w:abstractNumId w:val="34"/>
  </w:num>
  <w:num w:numId="34">
    <w:abstractNumId w:val="33"/>
  </w:num>
  <w:num w:numId="35">
    <w:abstractNumId w:val="30"/>
  </w:num>
  <w:num w:numId="36">
    <w:abstractNumId w:val="24"/>
  </w:num>
  <w:num w:numId="37">
    <w:abstractNumId w:val="0"/>
  </w:num>
  <w:num w:numId="38">
    <w:abstractNumId w:val="2"/>
  </w:num>
  <w:num w:numId="39">
    <w:abstractNumId w:val="9"/>
  </w:num>
  <w:num w:numId="40">
    <w:abstractNumId w:val="37"/>
  </w:num>
  <w:num w:numId="41">
    <w:abstractNumId w:val="36"/>
  </w:num>
  <w:num w:numId="4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87"/>
  <w:drawingGridVerticalSpacing w:val="187"/>
  <w:noPunctuationKerning/>
  <w:characterSpacingControl w:val="doNotCompress"/>
  <w:hdrShapeDefaults>
    <o:shapedefaults v:ext="edit" spidmax="2252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64"/>
    <w:rsid w:val="00000BF6"/>
    <w:rsid w:val="00000C1D"/>
    <w:rsid w:val="00001535"/>
    <w:rsid w:val="00001762"/>
    <w:rsid w:val="00002557"/>
    <w:rsid w:val="000029D4"/>
    <w:rsid w:val="00002D90"/>
    <w:rsid w:val="00003850"/>
    <w:rsid w:val="000044C7"/>
    <w:rsid w:val="000045EF"/>
    <w:rsid w:val="00004D82"/>
    <w:rsid w:val="00005322"/>
    <w:rsid w:val="0000584A"/>
    <w:rsid w:val="000061DB"/>
    <w:rsid w:val="00007496"/>
    <w:rsid w:val="0000787B"/>
    <w:rsid w:val="00007B7F"/>
    <w:rsid w:val="00007C82"/>
    <w:rsid w:val="00010BBB"/>
    <w:rsid w:val="00010C38"/>
    <w:rsid w:val="00010E18"/>
    <w:rsid w:val="00012B77"/>
    <w:rsid w:val="00013FD2"/>
    <w:rsid w:val="00014805"/>
    <w:rsid w:val="0001576F"/>
    <w:rsid w:val="00015CCD"/>
    <w:rsid w:val="000162DA"/>
    <w:rsid w:val="00016D6E"/>
    <w:rsid w:val="00016E9F"/>
    <w:rsid w:val="000203B4"/>
    <w:rsid w:val="00020877"/>
    <w:rsid w:val="00021294"/>
    <w:rsid w:val="00024D60"/>
    <w:rsid w:val="00024EBA"/>
    <w:rsid w:val="000252FE"/>
    <w:rsid w:val="00025CBC"/>
    <w:rsid w:val="000260C6"/>
    <w:rsid w:val="000262D4"/>
    <w:rsid w:val="00026736"/>
    <w:rsid w:val="00026767"/>
    <w:rsid w:val="00026C2C"/>
    <w:rsid w:val="00031AD0"/>
    <w:rsid w:val="00032267"/>
    <w:rsid w:val="000323DD"/>
    <w:rsid w:val="000341DB"/>
    <w:rsid w:val="0003420C"/>
    <w:rsid w:val="000346B8"/>
    <w:rsid w:val="0003476B"/>
    <w:rsid w:val="00035002"/>
    <w:rsid w:val="00035568"/>
    <w:rsid w:val="00036155"/>
    <w:rsid w:val="0003660A"/>
    <w:rsid w:val="00041788"/>
    <w:rsid w:val="00041A39"/>
    <w:rsid w:val="00041E4D"/>
    <w:rsid w:val="000422B3"/>
    <w:rsid w:val="000433ED"/>
    <w:rsid w:val="00043982"/>
    <w:rsid w:val="0004721E"/>
    <w:rsid w:val="00047D32"/>
    <w:rsid w:val="00050356"/>
    <w:rsid w:val="00050B85"/>
    <w:rsid w:val="00050BDD"/>
    <w:rsid w:val="00050EAB"/>
    <w:rsid w:val="00054A0C"/>
    <w:rsid w:val="000553DD"/>
    <w:rsid w:val="00055A01"/>
    <w:rsid w:val="000567AA"/>
    <w:rsid w:val="00056FBE"/>
    <w:rsid w:val="00057564"/>
    <w:rsid w:val="000579D7"/>
    <w:rsid w:val="00057E70"/>
    <w:rsid w:val="00060B61"/>
    <w:rsid w:val="000628FD"/>
    <w:rsid w:val="00064FCD"/>
    <w:rsid w:val="000651D9"/>
    <w:rsid w:val="00066749"/>
    <w:rsid w:val="000712C8"/>
    <w:rsid w:val="0007157B"/>
    <w:rsid w:val="00072A52"/>
    <w:rsid w:val="00073AAD"/>
    <w:rsid w:val="00074357"/>
    <w:rsid w:val="00074729"/>
    <w:rsid w:val="00075EE0"/>
    <w:rsid w:val="000763B8"/>
    <w:rsid w:val="00076742"/>
    <w:rsid w:val="00076DFD"/>
    <w:rsid w:val="00076F9D"/>
    <w:rsid w:val="000811E9"/>
    <w:rsid w:val="00081CC0"/>
    <w:rsid w:val="00081CD8"/>
    <w:rsid w:val="000827D0"/>
    <w:rsid w:val="00083CB9"/>
    <w:rsid w:val="00084492"/>
    <w:rsid w:val="00084BE1"/>
    <w:rsid w:val="00085FB4"/>
    <w:rsid w:val="0008610C"/>
    <w:rsid w:val="00086DE4"/>
    <w:rsid w:val="00086EFF"/>
    <w:rsid w:val="00086F95"/>
    <w:rsid w:val="00087947"/>
    <w:rsid w:val="00087B34"/>
    <w:rsid w:val="00087BCD"/>
    <w:rsid w:val="000900A5"/>
    <w:rsid w:val="0009109A"/>
    <w:rsid w:val="00091810"/>
    <w:rsid w:val="0009237C"/>
    <w:rsid w:val="0009313C"/>
    <w:rsid w:val="0009357D"/>
    <w:rsid w:val="00094063"/>
    <w:rsid w:val="000958B2"/>
    <w:rsid w:val="0009591F"/>
    <w:rsid w:val="00095C24"/>
    <w:rsid w:val="00095EF0"/>
    <w:rsid w:val="0009670B"/>
    <w:rsid w:val="000A0195"/>
    <w:rsid w:val="000A0653"/>
    <w:rsid w:val="000A07C6"/>
    <w:rsid w:val="000A10DB"/>
    <w:rsid w:val="000A13D6"/>
    <w:rsid w:val="000A1891"/>
    <w:rsid w:val="000A1A25"/>
    <w:rsid w:val="000A27E3"/>
    <w:rsid w:val="000A28FB"/>
    <w:rsid w:val="000A3459"/>
    <w:rsid w:val="000A359B"/>
    <w:rsid w:val="000A50B4"/>
    <w:rsid w:val="000A558A"/>
    <w:rsid w:val="000A61C7"/>
    <w:rsid w:val="000A65FF"/>
    <w:rsid w:val="000A6C8E"/>
    <w:rsid w:val="000A77C5"/>
    <w:rsid w:val="000A7AF2"/>
    <w:rsid w:val="000A7EDD"/>
    <w:rsid w:val="000B0E72"/>
    <w:rsid w:val="000B1A91"/>
    <w:rsid w:val="000B1C9D"/>
    <w:rsid w:val="000B2568"/>
    <w:rsid w:val="000B30B0"/>
    <w:rsid w:val="000B3B18"/>
    <w:rsid w:val="000B3B34"/>
    <w:rsid w:val="000B4CCA"/>
    <w:rsid w:val="000B4E5B"/>
    <w:rsid w:val="000B51C0"/>
    <w:rsid w:val="000B56CC"/>
    <w:rsid w:val="000B5943"/>
    <w:rsid w:val="000B7680"/>
    <w:rsid w:val="000C0897"/>
    <w:rsid w:val="000C265A"/>
    <w:rsid w:val="000C28DA"/>
    <w:rsid w:val="000C38A1"/>
    <w:rsid w:val="000C5F27"/>
    <w:rsid w:val="000C766E"/>
    <w:rsid w:val="000C7A67"/>
    <w:rsid w:val="000D0001"/>
    <w:rsid w:val="000D03C6"/>
    <w:rsid w:val="000D06ED"/>
    <w:rsid w:val="000D09C1"/>
    <w:rsid w:val="000D1AE1"/>
    <w:rsid w:val="000D2DF7"/>
    <w:rsid w:val="000D312F"/>
    <w:rsid w:val="000D49E3"/>
    <w:rsid w:val="000D4D3D"/>
    <w:rsid w:val="000D54D1"/>
    <w:rsid w:val="000D5A5A"/>
    <w:rsid w:val="000D639C"/>
    <w:rsid w:val="000D6D33"/>
    <w:rsid w:val="000D738F"/>
    <w:rsid w:val="000D7874"/>
    <w:rsid w:val="000D79C0"/>
    <w:rsid w:val="000D7F8F"/>
    <w:rsid w:val="000E02CE"/>
    <w:rsid w:val="000E07CF"/>
    <w:rsid w:val="000E1595"/>
    <w:rsid w:val="000E1721"/>
    <w:rsid w:val="000E1F49"/>
    <w:rsid w:val="000E2094"/>
    <w:rsid w:val="000E2162"/>
    <w:rsid w:val="000E2970"/>
    <w:rsid w:val="000E29CD"/>
    <w:rsid w:val="000E2A72"/>
    <w:rsid w:val="000E59FE"/>
    <w:rsid w:val="000E651F"/>
    <w:rsid w:val="000E7046"/>
    <w:rsid w:val="000E7684"/>
    <w:rsid w:val="000F0824"/>
    <w:rsid w:val="000F084B"/>
    <w:rsid w:val="000F0A74"/>
    <w:rsid w:val="000F0E4F"/>
    <w:rsid w:val="000F2D30"/>
    <w:rsid w:val="000F3148"/>
    <w:rsid w:val="000F3C7E"/>
    <w:rsid w:val="000F41C3"/>
    <w:rsid w:val="000F50F3"/>
    <w:rsid w:val="000F5487"/>
    <w:rsid w:val="000F6A71"/>
    <w:rsid w:val="000F743E"/>
    <w:rsid w:val="000F76D1"/>
    <w:rsid w:val="000F7D1E"/>
    <w:rsid w:val="000F7EE6"/>
    <w:rsid w:val="00101A96"/>
    <w:rsid w:val="00101AF2"/>
    <w:rsid w:val="0010297A"/>
    <w:rsid w:val="00102BB2"/>
    <w:rsid w:val="00102BCB"/>
    <w:rsid w:val="00102FCE"/>
    <w:rsid w:val="0010430B"/>
    <w:rsid w:val="0010574F"/>
    <w:rsid w:val="001079DA"/>
    <w:rsid w:val="001103AA"/>
    <w:rsid w:val="001108E2"/>
    <w:rsid w:val="00111ADE"/>
    <w:rsid w:val="0011288A"/>
    <w:rsid w:val="00112E54"/>
    <w:rsid w:val="00114AAA"/>
    <w:rsid w:val="001154CE"/>
    <w:rsid w:val="00115A0E"/>
    <w:rsid w:val="00115FC7"/>
    <w:rsid w:val="00116139"/>
    <w:rsid w:val="0011680C"/>
    <w:rsid w:val="001171E9"/>
    <w:rsid w:val="00117485"/>
    <w:rsid w:val="00120858"/>
    <w:rsid w:val="00120EA9"/>
    <w:rsid w:val="00120F62"/>
    <w:rsid w:val="00121A16"/>
    <w:rsid w:val="0012236C"/>
    <w:rsid w:val="0012250C"/>
    <w:rsid w:val="00123D5B"/>
    <w:rsid w:val="001241B3"/>
    <w:rsid w:val="00124924"/>
    <w:rsid w:val="00125665"/>
    <w:rsid w:val="001257CA"/>
    <w:rsid w:val="00127F75"/>
    <w:rsid w:val="001308AF"/>
    <w:rsid w:val="00130F99"/>
    <w:rsid w:val="001311D2"/>
    <w:rsid w:val="00131B90"/>
    <w:rsid w:val="001321E9"/>
    <w:rsid w:val="00132BDB"/>
    <w:rsid w:val="00133D14"/>
    <w:rsid w:val="00134147"/>
    <w:rsid w:val="001350D9"/>
    <w:rsid w:val="00136B62"/>
    <w:rsid w:val="00137029"/>
    <w:rsid w:val="00140880"/>
    <w:rsid w:val="00141123"/>
    <w:rsid w:val="00141388"/>
    <w:rsid w:val="00141C68"/>
    <w:rsid w:val="0014283B"/>
    <w:rsid w:val="001433F4"/>
    <w:rsid w:val="00143DA2"/>
    <w:rsid w:val="001445BC"/>
    <w:rsid w:val="00145701"/>
    <w:rsid w:val="0014660F"/>
    <w:rsid w:val="0015000F"/>
    <w:rsid w:val="00150051"/>
    <w:rsid w:val="001507BF"/>
    <w:rsid w:val="00150EEB"/>
    <w:rsid w:val="00151157"/>
    <w:rsid w:val="00151252"/>
    <w:rsid w:val="00152394"/>
    <w:rsid w:val="001525C4"/>
    <w:rsid w:val="00152B4F"/>
    <w:rsid w:val="00152DB6"/>
    <w:rsid w:val="00153715"/>
    <w:rsid w:val="00153883"/>
    <w:rsid w:val="00153D7F"/>
    <w:rsid w:val="00154167"/>
    <w:rsid w:val="001552C7"/>
    <w:rsid w:val="001556A3"/>
    <w:rsid w:val="00155DBB"/>
    <w:rsid w:val="001575C3"/>
    <w:rsid w:val="00160548"/>
    <w:rsid w:val="001607B1"/>
    <w:rsid w:val="001607DA"/>
    <w:rsid w:val="001625BF"/>
    <w:rsid w:val="001635EB"/>
    <w:rsid w:val="00163BE9"/>
    <w:rsid w:val="00163E62"/>
    <w:rsid w:val="00163F0F"/>
    <w:rsid w:val="00164970"/>
    <w:rsid w:val="00165128"/>
    <w:rsid w:val="0016579C"/>
    <w:rsid w:val="00165AC7"/>
    <w:rsid w:val="00165F34"/>
    <w:rsid w:val="00166497"/>
    <w:rsid w:val="00166C3D"/>
    <w:rsid w:val="001672A6"/>
    <w:rsid w:val="0016762A"/>
    <w:rsid w:val="001703DB"/>
    <w:rsid w:val="00170598"/>
    <w:rsid w:val="001718A3"/>
    <w:rsid w:val="00172998"/>
    <w:rsid w:val="00173696"/>
    <w:rsid w:val="00173AFA"/>
    <w:rsid w:val="00173DAE"/>
    <w:rsid w:val="0017406A"/>
    <w:rsid w:val="0017454E"/>
    <w:rsid w:val="00174F8B"/>
    <w:rsid w:val="0017530F"/>
    <w:rsid w:val="001762F3"/>
    <w:rsid w:val="00177355"/>
    <w:rsid w:val="00177566"/>
    <w:rsid w:val="00177BD6"/>
    <w:rsid w:val="00177D56"/>
    <w:rsid w:val="0018028E"/>
    <w:rsid w:val="00180BDA"/>
    <w:rsid w:val="001817D4"/>
    <w:rsid w:val="00181D4B"/>
    <w:rsid w:val="00181F04"/>
    <w:rsid w:val="001835B1"/>
    <w:rsid w:val="00183644"/>
    <w:rsid w:val="00183745"/>
    <w:rsid w:val="0018398B"/>
    <w:rsid w:val="00183CC1"/>
    <w:rsid w:val="001842B0"/>
    <w:rsid w:val="00184409"/>
    <w:rsid w:val="001866F8"/>
    <w:rsid w:val="00187C6E"/>
    <w:rsid w:val="00190069"/>
    <w:rsid w:val="001917FC"/>
    <w:rsid w:val="00191F92"/>
    <w:rsid w:val="00192CE5"/>
    <w:rsid w:val="00192D4D"/>
    <w:rsid w:val="001934BD"/>
    <w:rsid w:val="001953B7"/>
    <w:rsid w:val="00196537"/>
    <w:rsid w:val="00196583"/>
    <w:rsid w:val="0019778C"/>
    <w:rsid w:val="001977C7"/>
    <w:rsid w:val="001A0186"/>
    <w:rsid w:val="001A0188"/>
    <w:rsid w:val="001A1739"/>
    <w:rsid w:val="001A18FB"/>
    <w:rsid w:val="001A24AB"/>
    <w:rsid w:val="001A2BF2"/>
    <w:rsid w:val="001A30F1"/>
    <w:rsid w:val="001A35DF"/>
    <w:rsid w:val="001A39FC"/>
    <w:rsid w:val="001A40DE"/>
    <w:rsid w:val="001A4576"/>
    <w:rsid w:val="001A53D5"/>
    <w:rsid w:val="001A545C"/>
    <w:rsid w:val="001A7D6A"/>
    <w:rsid w:val="001B11F4"/>
    <w:rsid w:val="001B2CF9"/>
    <w:rsid w:val="001B343D"/>
    <w:rsid w:val="001B3A5C"/>
    <w:rsid w:val="001B427D"/>
    <w:rsid w:val="001B596D"/>
    <w:rsid w:val="001B6801"/>
    <w:rsid w:val="001B6D8D"/>
    <w:rsid w:val="001B6EF9"/>
    <w:rsid w:val="001B79AD"/>
    <w:rsid w:val="001B7EF7"/>
    <w:rsid w:val="001C0326"/>
    <w:rsid w:val="001C1054"/>
    <w:rsid w:val="001C13FD"/>
    <w:rsid w:val="001C333A"/>
    <w:rsid w:val="001C4BA3"/>
    <w:rsid w:val="001C5B2B"/>
    <w:rsid w:val="001C6763"/>
    <w:rsid w:val="001C6F91"/>
    <w:rsid w:val="001D00BA"/>
    <w:rsid w:val="001D241A"/>
    <w:rsid w:val="001D340C"/>
    <w:rsid w:val="001D38B7"/>
    <w:rsid w:val="001D3A66"/>
    <w:rsid w:val="001D49C9"/>
    <w:rsid w:val="001D5829"/>
    <w:rsid w:val="001D5E1D"/>
    <w:rsid w:val="001D5F79"/>
    <w:rsid w:val="001D688E"/>
    <w:rsid w:val="001D698B"/>
    <w:rsid w:val="001D69C6"/>
    <w:rsid w:val="001D6DF9"/>
    <w:rsid w:val="001D72C8"/>
    <w:rsid w:val="001D72CD"/>
    <w:rsid w:val="001D7B26"/>
    <w:rsid w:val="001E1297"/>
    <w:rsid w:val="001E19D2"/>
    <w:rsid w:val="001E2682"/>
    <w:rsid w:val="001E2E3D"/>
    <w:rsid w:val="001E2EBE"/>
    <w:rsid w:val="001E375F"/>
    <w:rsid w:val="001E3CEC"/>
    <w:rsid w:val="001E452E"/>
    <w:rsid w:val="001E48E7"/>
    <w:rsid w:val="001E4AA1"/>
    <w:rsid w:val="001E61CB"/>
    <w:rsid w:val="001E6AB2"/>
    <w:rsid w:val="001E7BDF"/>
    <w:rsid w:val="001F04B5"/>
    <w:rsid w:val="001F16B3"/>
    <w:rsid w:val="001F1D41"/>
    <w:rsid w:val="001F2350"/>
    <w:rsid w:val="001F2A5D"/>
    <w:rsid w:val="001F38DE"/>
    <w:rsid w:val="001F3B0F"/>
    <w:rsid w:val="001F3D2B"/>
    <w:rsid w:val="001F3DAD"/>
    <w:rsid w:val="001F49BC"/>
    <w:rsid w:val="001F6A60"/>
    <w:rsid w:val="001F73C1"/>
    <w:rsid w:val="0020056F"/>
    <w:rsid w:val="0020084B"/>
    <w:rsid w:val="00201079"/>
    <w:rsid w:val="002012CF"/>
    <w:rsid w:val="00202B45"/>
    <w:rsid w:val="00202FDF"/>
    <w:rsid w:val="002031F2"/>
    <w:rsid w:val="002034C1"/>
    <w:rsid w:val="002054E0"/>
    <w:rsid w:val="002106FE"/>
    <w:rsid w:val="0021088A"/>
    <w:rsid w:val="00210922"/>
    <w:rsid w:val="00211724"/>
    <w:rsid w:val="0021172F"/>
    <w:rsid w:val="0021258D"/>
    <w:rsid w:val="00212FA3"/>
    <w:rsid w:val="00213421"/>
    <w:rsid w:val="0021442B"/>
    <w:rsid w:val="00215CB0"/>
    <w:rsid w:val="00215EF0"/>
    <w:rsid w:val="002161EE"/>
    <w:rsid w:val="0021657C"/>
    <w:rsid w:val="00220C3A"/>
    <w:rsid w:val="00221966"/>
    <w:rsid w:val="002219DD"/>
    <w:rsid w:val="00222046"/>
    <w:rsid w:val="002220AD"/>
    <w:rsid w:val="0022237C"/>
    <w:rsid w:val="002226AF"/>
    <w:rsid w:val="00222D36"/>
    <w:rsid w:val="002239E4"/>
    <w:rsid w:val="00224866"/>
    <w:rsid w:val="00224EAB"/>
    <w:rsid w:val="002253D2"/>
    <w:rsid w:val="00225A3A"/>
    <w:rsid w:val="00226B45"/>
    <w:rsid w:val="00226C7C"/>
    <w:rsid w:val="00226EDA"/>
    <w:rsid w:val="00227492"/>
    <w:rsid w:val="0022792F"/>
    <w:rsid w:val="00230599"/>
    <w:rsid w:val="0023077D"/>
    <w:rsid w:val="0023180B"/>
    <w:rsid w:val="002326CE"/>
    <w:rsid w:val="00232CE8"/>
    <w:rsid w:val="0023306A"/>
    <w:rsid w:val="00233253"/>
    <w:rsid w:val="002333DB"/>
    <w:rsid w:val="00233565"/>
    <w:rsid w:val="00233C2E"/>
    <w:rsid w:val="00233E2D"/>
    <w:rsid w:val="00233EB1"/>
    <w:rsid w:val="00233F51"/>
    <w:rsid w:val="002343C8"/>
    <w:rsid w:val="002344BB"/>
    <w:rsid w:val="00234E94"/>
    <w:rsid w:val="00235A31"/>
    <w:rsid w:val="00236A65"/>
    <w:rsid w:val="00236E96"/>
    <w:rsid w:val="00237A88"/>
    <w:rsid w:val="00240A58"/>
    <w:rsid w:val="00240AC8"/>
    <w:rsid w:val="00241698"/>
    <w:rsid w:val="00242035"/>
    <w:rsid w:val="002421CE"/>
    <w:rsid w:val="0024285A"/>
    <w:rsid w:val="00242CE6"/>
    <w:rsid w:val="00243EA4"/>
    <w:rsid w:val="00244531"/>
    <w:rsid w:val="00245787"/>
    <w:rsid w:val="00245B99"/>
    <w:rsid w:val="002460AA"/>
    <w:rsid w:val="0024765C"/>
    <w:rsid w:val="00250DDA"/>
    <w:rsid w:val="002514D8"/>
    <w:rsid w:val="00253439"/>
    <w:rsid w:val="00254868"/>
    <w:rsid w:val="002555AA"/>
    <w:rsid w:val="002569E0"/>
    <w:rsid w:val="0025711C"/>
    <w:rsid w:val="00257299"/>
    <w:rsid w:val="00257743"/>
    <w:rsid w:val="0026039A"/>
    <w:rsid w:val="00260402"/>
    <w:rsid w:val="00261032"/>
    <w:rsid w:val="00261686"/>
    <w:rsid w:val="00263642"/>
    <w:rsid w:val="00264A61"/>
    <w:rsid w:val="00264CC1"/>
    <w:rsid w:val="00265C99"/>
    <w:rsid w:val="002674AE"/>
    <w:rsid w:val="00267B0E"/>
    <w:rsid w:val="00267CDF"/>
    <w:rsid w:val="00267E83"/>
    <w:rsid w:val="00270027"/>
    <w:rsid w:val="00270141"/>
    <w:rsid w:val="00270898"/>
    <w:rsid w:val="00271361"/>
    <w:rsid w:val="00272C26"/>
    <w:rsid w:val="00272F4A"/>
    <w:rsid w:val="00273DFD"/>
    <w:rsid w:val="0027470C"/>
    <w:rsid w:val="00274C94"/>
    <w:rsid w:val="00274F2F"/>
    <w:rsid w:val="002753D0"/>
    <w:rsid w:val="00276240"/>
    <w:rsid w:val="002762C0"/>
    <w:rsid w:val="002769D5"/>
    <w:rsid w:val="00277830"/>
    <w:rsid w:val="00280729"/>
    <w:rsid w:val="00281375"/>
    <w:rsid w:val="00282DCA"/>
    <w:rsid w:val="00283FAC"/>
    <w:rsid w:val="002841B0"/>
    <w:rsid w:val="00284F94"/>
    <w:rsid w:val="0028621C"/>
    <w:rsid w:val="0029231C"/>
    <w:rsid w:val="0029367B"/>
    <w:rsid w:val="00294DFE"/>
    <w:rsid w:val="00296513"/>
    <w:rsid w:val="00296734"/>
    <w:rsid w:val="002973B1"/>
    <w:rsid w:val="002977DC"/>
    <w:rsid w:val="002A048A"/>
    <w:rsid w:val="002A04AE"/>
    <w:rsid w:val="002A06AB"/>
    <w:rsid w:val="002A0740"/>
    <w:rsid w:val="002A0841"/>
    <w:rsid w:val="002A0868"/>
    <w:rsid w:val="002A0FC5"/>
    <w:rsid w:val="002A12DA"/>
    <w:rsid w:val="002A1509"/>
    <w:rsid w:val="002A15EF"/>
    <w:rsid w:val="002A18A0"/>
    <w:rsid w:val="002A1BD4"/>
    <w:rsid w:val="002A1F0B"/>
    <w:rsid w:val="002A20BE"/>
    <w:rsid w:val="002A303C"/>
    <w:rsid w:val="002A3791"/>
    <w:rsid w:val="002A39AA"/>
    <w:rsid w:val="002A3A48"/>
    <w:rsid w:val="002A3C40"/>
    <w:rsid w:val="002A3D6F"/>
    <w:rsid w:val="002A4089"/>
    <w:rsid w:val="002A43C9"/>
    <w:rsid w:val="002A50B4"/>
    <w:rsid w:val="002A5151"/>
    <w:rsid w:val="002A5AAE"/>
    <w:rsid w:val="002A5CF4"/>
    <w:rsid w:val="002A63FB"/>
    <w:rsid w:val="002A645C"/>
    <w:rsid w:val="002A68B2"/>
    <w:rsid w:val="002A68F9"/>
    <w:rsid w:val="002A6A41"/>
    <w:rsid w:val="002A6A62"/>
    <w:rsid w:val="002A6A94"/>
    <w:rsid w:val="002A7C28"/>
    <w:rsid w:val="002A7C83"/>
    <w:rsid w:val="002A7DB2"/>
    <w:rsid w:val="002B09C9"/>
    <w:rsid w:val="002B10E8"/>
    <w:rsid w:val="002B1EC1"/>
    <w:rsid w:val="002B22C1"/>
    <w:rsid w:val="002B23C0"/>
    <w:rsid w:val="002B381B"/>
    <w:rsid w:val="002B42F3"/>
    <w:rsid w:val="002B47D1"/>
    <w:rsid w:val="002B4FCB"/>
    <w:rsid w:val="002B5AA5"/>
    <w:rsid w:val="002B5F2E"/>
    <w:rsid w:val="002B6444"/>
    <w:rsid w:val="002B6957"/>
    <w:rsid w:val="002B6AE7"/>
    <w:rsid w:val="002B76A6"/>
    <w:rsid w:val="002B7A78"/>
    <w:rsid w:val="002B7E0D"/>
    <w:rsid w:val="002C016F"/>
    <w:rsid w:val="002C05B5"/>
    <w:rsid w:val="002C0885"/>
    <w:rsid w:val="002C0DBF"/>
    <w:rsid w:val="002C237C"/>
    <w:rsid w:val="002C25BA"/>
    <w:rsid w:val="002C274C"/>
    <w:rsid w:val="002C5D44"/>
    <w:rsid w:val="002C5E37"/>
    <w:rsid w:val="002C6051"/>
    <w:rsid w:val="002C68B9"/>
    <w:rsid w:val="002C71D0"/>
    <w:rsid w:val="002C7DC3"/>
    <w:rsid w:val="002C7F8C"/>
    <w:rsid w:val="002D0ACC"/>
    <w:rsid w:val="002D0B75"/>
    <w:rsid w:val="002D0D21"/>
    <w:rsid w:val="002D1B60"/>
    <w:rsid w:val="002D1D58"/>
    <w:rsid w:val="002D204A"/>
    <w:rsid w:val="002D24A6"/>
    <w:rsid w:val="002D26DB"/>
    <w:rsid w:val="002D308E"/>
    <w:rsid w:val="002D32D7"/>
    <w:rsid w:val="002D44E9"/>
    <w:rsid w:val="002D5513"/>
    <w:rsid w:val="002D5C95"/>
    <w:rsid w:val="002D6614"/>
    <w:rsid w:val="002D6CBD"/>
    <w:rsid w:val="002D71D6"/>
    <w:rsid w:val="002E01D0"/>
    <w:rsid w:val="002E02EF"/>
    <w:rsid w:val="002E059E"/>
    <w:rsid w:val="002E0917"/>
    <w:rsid w:val="002E17B6"/>
    <w:rsid w:val="002E1AF7"/>
    <w:rsid w:val="002E1DAD"/>
    <w:rsid w:val="002E4427"/>
    <w:rsid w:val="002E64B5"/>
    <w:rsid w:val="002E64EB"/>
    <w:rsid w:val="002E6704"/>
    <w:rsid w:val="002E678D"/>
    <w:rsid w:val="002E780F"/>
    <w:rsid w:val="002E7C79"/>
    <w:rsid w:val="002F0B05"/>
    <w:rsid w:val="002F2076"/>
    <w:rsid w:val="002F3049"/>
    <w:rsid w:val="002F31F3"/>
    <w:rsid w:val="002F3D5F"/>
    <w:rsid w:val="002F436A"/>
    <w:rsid w:val="002F4BDF"/>
    <w:rsid w:val="002F4E55"/>
    <w:rsid w:val="002F6DB4"/>
    <w:rsid w:val="00301648"/>
    <w:rsid w:val="00301C36"/>
    <w:rsid w:val="00302B45"/>
    <w:rsid w:val="0030347A"/>
    <w:rsid w:val="003037FC"/>
    <w:rsid w:val="00304796"/>
    <w:rsid w:val="003049B4"/>
    <w:rsid w:val="0030565E"/>
    <w:rsid w:val="00305677"/>
    <w:rsid w:val="00305ACF"/>
    <w:rsid w:val="00305B47"/>
    <w:rsid w:val="00306922"/>
    <w:rsid w:val="00306BE7"/>
    <w:rsid w:val="00310057"/>
    <w:rsid w:val="00310F92"/>
    <w:rsid w:val="00311421"/>
    <w:rsid w:val="003127B5"/>
    <w:rsid w:val="003129B4"/>
    <w:rsid w:val="00312B78"/>
    <w:rsid w:val="00313F2E"/>
    <w:rsid w:val="00314D52"/>
    <w:rsid w:val="00315275"/>
    <w:rsid w:val="003160E3"/>
    <w:rsid w:val="0031714C"/>
    <w:rsid w:val="0032004B"/>
    <w:rsid w:val="003204CA"/>
    <w:rsid w:val="00321F24"/>
    <w:rsid w:val="003229A4"/>
    <w:rsid w:val="003233D8"/>
    <w:rsid w:val="00323B8D"/>
    <w:rsid w:val="003241DE"/>
    <w:rsid w:val="0032500A"/>
    <w:rsid w:val="00325047"/>
    <w:rsid w:val="00325730"/>
    <w:rsid w:val="003259E6"/>
    <w:rsid w:val="00326167"/>
    <w:rsid w:val="00326567"/>
    <w:rsid w:val="00326A9C"/>
    <w:rsid w:val="00326AA8"/>
    <w:rsid w:val="00327950"/>
    <w:rsid w:val="00327A2A"/>
    <w:rsid w:val="00331300"/>
    <w:rsid w:val="00331D2F"/>
    <w:rsid w:val="003325C7"/>
    <w:rsid w:val="00332A44"/>
    <w:rsid w:val="00332B5C"/>
    <w:rsid w:val="0033326B"/>
    <w:rsid w:val="003337C7"/>
    <w:rsid w:val="0033390E"/>
    <w:rsid w:val="00333C29"/>
    <w:rsid w:val="00334587"/>
    <w:rsid w:val="00334E6F"/>
    <w:rsid w:val="003366BB"/>
    <w:rsid w:val="00336E76"/>
    <w:rsid w:val="00336F8B"/>
    <w:rsid w:val="00337E03"/>
    <w:rsid w:val="00341079"/>
    <w:rsid w:val="00341D9E"/>
    <w:rsid w:val="003424A0"/>
    <w:rsid w:val="003424C7"/>
    <w:rsid w:val="00342E50"/>
    <w:rsid w:val="00342F10"/>
    <w:rsid w:val="003433F7"/>
    <w:rsid w:val="003435AE"/>
    <w:rsid w:val="00343B25"/>
    <w:rsid w:val="003464C4"/>
    <w:rsid w:val="003507B2"/>
    <w:rsid w:val="003523A4"/>
    <w:rsid w:val="00352939"/>
    <w:rsid w:val="00352C2A"/>
    <w:rsid w:val="00352F85"/>
    <w:rsid w:val="00354282"/>
    <w:rsid w:val="00356281"/>
    <w:rsid w:val="00356751"/>
    <w:rsid w:val="00356F42"/>
    <w:rsid w:val="00357D5B"/>
    <w:rsid w:val="00360323"/>
    <w:rsid w:val="003616E1"/>
    <w:rsid w:val="0036180D"/>
    <w:rsid w:val="00362CB2"/>
    <w:rsid w:val="00362D26"/>
    <w:rsid w:val="00363FE4"/>
    <w:rsid w:val="00364AF2"/>
    <w:rsid w:val="00365DEC"/>
    <w:rsid w:val="00366B87"/>
    <w:rsid w:val="00366EF3"/>
    <w:rsid w:val="003709C7"/>
    <w:rsid w:val="00370DBB"/>
    <w:rsid w:val="0037308D"/>
    <w:rsid w:val="00374133"/>
    <w:rsid w:val="003741A0"/>
    <w:rsid w:val="003742E3"/>
    <w:rsid w:val="00375342"/>
    <w:rsid w:val="0037543F"/>
    <w:rsid w:val="00375D1D"/>
    <w:rsid w:val="00376EC7"/>
    <w:rsid w:val="00376FC7"/>
    <w:rsid w:val="003770CB"/>
    <w:rsid w:val="003771C7"/>
    <w:rsid w:val="003808EC"/>
    <w:rsid w:val="003820B1"/>
    <w:rsid w:val="00383079"/>
    <w:rsid w:val="0038323E"/>
    <w:rsid w:val="003834EC"/>
    <w:rsid w:val="0038350D"/>
    <w:rsid w:val="00384610"/>
    <w:rsid w:val="0038479D"/>
    <w:rsid w:val="00386855"/>
    <w:rsid w:val="00387017"/>
    <w:rsid w:val="00391715"/>
    <w:rsid w:val="0039179A"/>
    <w:rsid w:val="003927BA"/>
    <w:rsid w:val="00392FAE"/>
    <w:rsid w:val="003933A9"/>
    <w:rsid w:val="00393821"/>
    <w:rsid w:val="00393F7D"/>
    <w:rsid w:val="00394904"/>
    <w:rsid w:val="0039540A"/>
    <w:rsid w:val="003968D0"/>
    <w:rsid w:val="00396C96"/>
    <w:rsid w:val="00397152"/>
    <w:rsid w:val="0039778D"/>
    <w:rsid w:val="003977D4"/>
    <w:rsid w:val="003A0100"/>
    <w:rsid w:val="003A0285"/>
    <w:rsid w:val="003A2A7A"/>
    <w:rsid w:val="003A2F39"/>
    <w:rsid w:val="003A31B1"/>
    <w:rsid w:val="003A3221"/>
    <w:rsid w:val="003A4252"/>
    <w:rsid w:val="003A4DA5"/>
    <w:rsid w:val="003A6240"/>
    <w:rsid w:val="003A6807"/>
    <w:rsid w:val="003A6FF1"/>
    <w:rsid w:val="003A786D"/>
    <w:rsid w:val="003A797A"/>
    <w:rsid w:val="003B00F3"/>
    <w:rsid w:val="003B0111"/>
    <w:rsid w:val="003B0370"/>
    <w:rsid w:val="003B0D29"/>
    <w:rsid w:val="003B0D73"/>
    <w:rsid w:val="003B1014"/>
    <w:rsid w:val="003B1D13"/>
    <w:rsid w:val="003B1F64"/>
    <w:rsid w:val="003B2820"/>
    <w:rsid w:val="003B2EA5"/>
    <w:rsid w:val="003B4763"/>
    <w:rsid w:val="003B4839"/>
    <w:rsid w:val="003B48AB"/>
    <w:rsid w:val="003B5794"/>
    <w:rsid w:val="003B6033"/>
    <w:rsid w:val="003B628E"/>
    <w:rsid w:val="003B683A"/>
    <w:rsid w:val="003B69D4"/>
    <w:rsid w:val="003B7D59"/>
    <w:rsid w:val="003C0DA6"/>
    <w:rsid w:val="003C2E2C"/>
    <w:rsid w:val="003C33B1"/>
    <w:rsid w:val="003C4879"/>
    <w:rsid w:val="003C507B"/>
    <w:rsid w:val="003C69B3"/>
    <w:rsid w:val="003C730C"/>
    <w:rsid w:val="003D1A78"/>
    <w:rsid w:val="003D2358"/>
    <w:rsid w:val="003D2542"/>
    <w:rsid w:val="003D26A0"/>
    <w:rsid w:val="003D39F0"/>
    <w:rsid w:val="003D3C1D"/>
    <w:rsid w:val="003D424B"/>
    <w:rsid w:val="003D5D10"/>
    <w:rsid w:val="003D6E10"/>
    <w:rsid w:val="003D73F3"/>
    <w:rsid w:val="003D7403"/>
    <w:rsid w:val="003D748A"/>
    <w:rsid w:val="003D74FD"/>
    <w:rsid w:val="003E14E7"/>
    <w:rsid w:val="003E1C42"/>
    <w:rsid w:val="003E1CA9"/>
    <w:rsid w:val="003E2FFF"/>
    <w:rsid w:val="003E4216"/>
    <w:rsid w:val="003E42BF"/>
    <w:rsid w:val="003E5254"/>
    <w:rsid w:val="003E7572"/>
    <w:rsid w:val="003E79C9"/>
    <w:rsid w:val="003E7F19"/>
    <w:rsid w:val="003F01D1"/>
    <w:rsid w:val="003F0CF7"/>
    <w:rsid w:val="003F0DB9"/>
    <w:rsid w:val="003F1280"/>
    <w:rsid w:val="003F16EC"/>
    <w:rsid w:val="003F1717"/>
    <w:rsid w:val="003F28F2"/>
    <w:rsid w:val="003F2B10"/>
    <w:rsid w:val="003F3EDD"/>
    <w:rsid w:val="003F42D1"/>
    <w:rsid w:val="003F4843"/>
    <w:rsid w:val="003F4896"/>
    <w:rsid w:val="003F5078"/>
    <w:rsid w:val="003F57C3"/>
    <w:rsid w:val="003F5A48"/>
    <w:rsid w:val="003F5CBD"/>
    <w:rsid w:val="003F5EF1"/>
    <w:rsid w:val="003F62EF"/>
    <w:rsid w:val="003F665C"/>
    <w:rsid w:val="003F79D2"/>
    <w:rsid w:val="003F7C76"/>
    <w:rsid w:val="00400944"/>
    <w:rsid w:val="00401D23"/>
    <w:rsid w:val="00401DB6"/>
    <w:rsid w:val="00402393"/>
    <w:rsid w:val="00402580"/>
    <w:rsid w:val="00402ED5"/>
    <w:rsid w:val="0040310F"/>
    <w:rsid w:val="00403490"/>
    <w:rsid w:val="00403889"/>
    <w:rsid w:val="00403D75"/>
    <w:rsid w:val="00404969"/>
    <w:rsid w:val="00406837"/>
    <w:rsid w:val="00406875"/>
    <w:rsid w:val="00406C9B"/>
    <w:rsid w:val="00407377"/>
    <w:rsid w:val="00407D48"/>
    <w:rsid w:val="00411ABC"/>
    <w:rsid w:val="00412C49"/>
    <w:rsid w:val="00412F06"/>
    <w:rsid w:val="0041312F"/>
    <w:rsid w:val="00414106"/>
    <w:rsid w:val="00414A4C"/>
    <w:rsid w:val="00414CA2"/>
    <w:rsid w:val="0041556B"/>
    <w:rsid w:val="00416AE0"/>
    <w:rsid w:val="00416C5D"/>
    <w:rsid w:val="00416E7A"/>
    <w:rsid w:val="00416FE9"/>
    <w:rsid w:val="00417171"/>
    <w:rsid w:val="00417394"/>
    <w:rsid w:val="004173B9"/>
    <w:rsid w:val="00417AC5"/>
    <w:rsid w:val="004206E2"/>
    <w:rsid w:val="00420D64"/>
    <w:rsid w:val="00420DBB"/>
    <w:rsid w:val="004222F6"/>
    <w:rsid w:val="00422D53"/>
    <w:rsid w:val="004230CB"/>
    <w:rsid w:val="00423A21"/>
    <w:rsid w:val="00423E50"/>
    <w:rsid w:val="00424106"/>
    <w:rsid w:val="00424BE3"/>
    <w:rsid w:val="00424E99"/>
    <w:rsid w:val="00424F0E"/>
    <w:rsid w:val="00425551"/>
    <w:rsid w:val="00425724"/>
    <w:rsid w:val="0042585E"/>
    <w:rsid w:val="00425B7A"/>
    <w:rsid w:val="0042620C"/>
    <w:rsid w:val="00426A0E"/>
    <w:rsid w:val="004277E0"/>
    <w:rsid w:val="00427DE8"/>
    <w:rsid w:val="00430279"/>
    <w:rsid w:val="00430DC8"/>
    <w:rsid w:val="0043140A"/>
    <w:rsid w:val="004314FB"/>
    <w:rsid w:val="0043174A"/>
    <w:rsid w:val="00431A68"/>
    <w:rsid w:val="004343C5"/>
    <w:rsid w:val="004346AB"/>
    <w:rsid w:val="00434DEB"/>
    <w:rsid w:val="004354B1"/>
    <w:rsid w:val="00435A58"/>
    <w:rsid w:val="00435BE2"/>
    <w:rsid w:val="004367E0"/>
    <w:rsid w:val="00436DFB"/>
    <w:rsid w:val="00440122"/>
    <w:rsid w:val="00442446"/>
    <w:rsid w:val="004428D7"/>
    <w:rsid w:val="00442C46"/>
    <w:rsid w:val="0044319B"/>
    <w:rsid w:val="00443C97"/>
    <w:rsid w:val="004440C7"/>
    <w:rsid w:val="004460EF"/>
    <w:rsid w:val="004466F5"/>
    <w:rsid w:val="00446810"/>
    <w:rsid w:val="00446AD2"/>
    <w:rsid w:val="00446C93"/>
    <w:rsid w:val="00447421"/>
    <w:rsid w:val="00447C15"/>
    <w:rsid w:val="00447E6F"/>
    <w:rsid w:val="00450082"/>
    <w:rsid w:val="00451B92"/>
    <w:rsid w:val="00452885"/>
    <w:rsid w:val="00452B5D"/>
    <w:rsid w:val="00453826"/>
    <w:rsid w:val="00453C6D"/>
    <w:rsid w:val="00453C70"/>
    <w:rsid w:val="0045423D"/>
    <w:rsid w:val="0045452F"/>
    <w:rsid w:val="00454F6F"/>
    <w:rsid w:val="0045552A"/>
    <w:rsid w:val="004600C8"/>
    <w:rsid w:val="00460266"/>
    <w:rsid w:val="00461521"/>
    <w:rsid w:val="004619F6"/>
    <w:rsid w:val="00461D86"/>
    <w:rsid w:val="004626AC"/>
    <w:rsid w:val="00463727"/>
    <w:rsid w:val="00463A3A"/>
    <w:rsid w:val="00463F3B"/>
    <w:rsid w:val="00463F5C"/>
    <w:rsid w:val="00464477"/>
    <w:rsid w:val="004676A6"/>
    <w:rsid w:val="004701A1"/>
    <w:rsid w:val="00471760"/>
    <w:rsid w:val="00472EDA"/>
    <w:rsid w:val="0047402E"/>
    <w:rsid w:val="004750DC"/>
    <w:rsid w:val="00475533"/>
    <w:rsid w:val="00475627"/>
    <w:rsid w:val="0047572F"/>
    <w:rsid w:val="00475D83"/>
    <w:rsid w:val="004761EE"/>
    <w:rsid w:val="00476BEC"/>
    <w:rsid w:val="00477194"/>
    <w:rsid w:val="004776C5"/>
    <w:rsid w:val="0048008B"/>
    <w:rsid w:val="004804EE"/>
    <w:rsid w:val="00480E55"/>
    <w:rsid w:val="004837B0"/>
    <w:rsid w:val="00484089"/>
    <w:rsid w:val="004852D3"/>
    <w:rsid w:val="00486726"/>
    <w:rsid w:val="00486E38"/>
    <w:rsid w:val="00486E43"/>
    <w:rsid w:val="00487895"/>
    <w:rsid w:val="00487FD8"/>
    <w:rsid w:val="00490389"/>
    <w:rsid w:val="004903A8"/>
    <w:rsid w:val="00491423"/>
    <w:rsid w:val="00491CCD"/>
    <w:rsid w:val="00491F5A"/>
    <w:rsid w:val="00492091"/>
    <w:rsid w:val="004923AB"/>
    <w:rsid w:val="00492EE5"/>
    <w:rsid w:val="004947A3"/>
    <w:rsid w:val="004963FB"/>
    <w:rsid w:val="0049646A"/>
    <w:rsid w:val="004977A8"/>
    <w:rsid w:val="004A00B8"/>
    <w:rsid w:val="004A0E0F"/>
    <w:rsid w:val="004A197D"/>
    <w:rsid w:val="004A2F95"/>
    <w:rsid w:val="004A3779"/>
    <w:rsid w:val="004A37AB"/>
    <w:rsid w:val="004A575B"/>
    <w:rsid w:val="004A5933"/>
    <w:rsid w:val="004A6628"/>
    <w:rsid w:val="004A6E17"/>
    <w:rsid w:val="004A729C"/>
    <w:rsid w:val="004A7385"/>
    <w:rsid w:val="004A74C5"/>
    <w:rsid w:val="004A7677"/>
    <w:rsid w:val="004A7A61"/>
    <w:rsid w:val="004B171E"/>
    <w:rsid w:val="004B1DCB"/>
    <w:rsid w:val="004B20E3"/>
    <w:rsid w:val="004B2788"/>
    <w:rsid w:val="004B2B7E"/>
    <w:rsid w:val="004B2D7A"/>
    <w:rsid w:val="004B3356"/>
    <w:rsid w:val="004B38DE"/>
    <w:rsid w:val="004B4D50"/>
    <w:rsid w:val="004B6617"/>
    <w:rsid w:val="004B6B1E"/>
    <w:rsid w:val="004B6FB3"/>
    <w:rsid w:val="004B7ACF"/>
    <w:rsid w:val="004C100B"/>
    <w:rsid w:val="004C15E4"/>
    <w:rsid w:val="004C1636"/>
    <w:rsid w:val="004C2987"/>
    <w:rsid w:val="004C29D0"/>
    <w:rsid w:val="004C333F"/>
    <w:rsid w:val="004C39B1"/>
    <w:rsid w:val="004C3FE3"/>
    <w:rsid w:val="004C469B"/>
    <w:rsid w:val="004C513E"/>
    <w:rsid w:val="004C5C39"/>
    <w:rsid w:val="004C5E3B"/>
    <w:rsid w:val="004C760D"/>
    <w:rsid w:val="004C77DD"/>
    <w:rsid w:val="004D0685"/>
    <w:rsid w:val="004D0851"/>
    <w:rsid w:val="004D21FD"/>
    <w:rsid w:val="004D24D5"/>
    <w:rsid w:val="004D3096"/>
    <w:rsid w:val="004D55B3"/>
    <w:rsid w:val="004D625D"/>
    <w:rsid w:val="004D6546"/>
    <w:rsid w:val="004D6A0C"/>
    <w:rsid w:val="004D77F3"/>
    <w:rsid w:val="004D7AC6"/>
    <w:rsid w:val="004D7D49"/>
    <w:rsid w:val="004E1393"/>
    <w:rsid w:val="004E2441"/>
    <w:rsid w:val="004E3834"/>
    <w:rsid w:val="004E44B9"/>
    <w:rsid w:val="004E4624"/>
    <w:rsid w:val="004E4BFF"/>
    <w:rsid w:val="004E5F87"/>
    <w:rsid w:val="004E64F9"/>
    <w:rsid w:val="004E6BC7"/>
    <w:rsid w:val="004E7CBF"/>
    <w:rsid w:val="004F0536"/>
    <w:rsid w:val="004F1631"/>
    <w:rsid w:val="004F16BB"/>
    <w:rsid w:val="004F1F26"/>
    <w:rsid w:val="004F4246"/>
    <w:rsid w:val="004F4EA4"/>
    <w:rsid w:val="004F604C"/>
    <w:rsid w:val="004F61C6"/>
    <w:rsid w:val="004F66D7"/>
    <w:rsid w:val="004F696C"/>
    <w:rsid w:val="004F6CA6"/>
    <w:rsid w:val="004F6E76"/>
    <w:rsid w:val="004F76EB"/>
    <w:rsid w:val="004F7E3E"/>
    <w:rsid w:val="0050058F"/>
    <w:rsid w:val="00500BB8"/>
    <w:rsid w:val="00501423"/>
    <w:rsid w:val="00501663"/>
    <w:rsid w:val="00501A7D"/>
    <w:rsid w:val="00501AA0"/>
    <w:rsid w:val="005027CB"/>
    <w:rsid w:val="00502C34"/>
    <w:rsid w:val="00506267"/>
    <w:rsid w:val="005075D0"/>
    <w:rsid w:val="0051011D"/>
    <w:rsid w:val="00510CA6"/>
    <w:rsid w:val="00511429"/>
    <w:rsid w:val="00511626"/>
    <w:rsid w:val="005123D7"/>
    <w:rsid w:val="00513253"/>
    <w:rsid w:val="00513B47"/>
    <w:rsid w:val="00514B42"/>
    <w:rsid w:val="00520292"/>
    <w:rsid w:val="0052102B"/>
    <w:rsid w:val="0052129B"/>
    <w:rsid w:val="0052149B"/>
    <w:rsid w:val="0052158D"/>
    <w:rsid w:val="0052171A"/>
    <w:rsid w:val="00521731"/>
    <w:rsid w:val="00521DC6"/>
    <w:rsid w:val="0052260B"/>
    <w:rsid w:val="0052270E"/>
    <w:rsid w:val="00523CC6"/>
    <w:rsid w:val="005259F9"/>
    <w:rsid w:val="0052600A"/>
    <w:rsid w:val="0052616C"/>
    <w:rsid w:val="0052664C"/>
    <w:rsid w:val="005268CA"/>
    <w:rsid w:val="00526BB7"/>
    <w:rsid w:val="00526C5C"/>
    <w:rsid w:val="00527E72"/>
    <w:rsid w:val="005300B8"/>
    <w:rsid w:val="005301C6"/>
    <w:rsid w:val="005309B0"/>
    <w:rsid w:val="00530C14"/>
    <w:rsid w:val="00531650"/>
    <w:rsid w:val="005317B6"/>
    <w:rsid w:val="00531C90"/>
    <w:rsid w:val="00532284"/>
    <w:rsid w:val="0053240D"/>
    <w:rsid w:val="005327B3"/>
    <w:rsid w:val="00532F9D"/>
    <w:rsid w:val="005330BE"/>
    <w:rsid w:val="00533539"/>
    <w:rsid w:val="00533D8E"/>
    <w:rsid w:val="00534417"/>
    <w:rsid w:val="00534CEC"/>
    <w:rsid w:val="00535466"/>
    <w:rsid w:val="0053551F"/>
    <w:rsid w:val="00535544"/>
    <w:rsid w:val="00535648"/>
    <w:rsid w:val="00535B95"/>
    <w:rsid w:val="0053668E"/>
    <w:rsid w:val="0053722F"/>
    <w:rsid w:val="00537756"/>
    <w:rsid w:val="00540CEA"/>
    <w:rsid w:val="00540E0C"/>
    <w:rsid w:val="00542D33"/>
    <w:rsid w:val="005430D1"/>
    <w:rsid w:val="00543FA6"/>
    <w:rsid w:val="005441B3"/>
    <w:rsid w:val="00544E10"/>
    <w:rsid w:val="00544EB1"/>
    <w:rsid w:val="00545023"/>
    <w:rsid w:val="005451BA"/>
    <w:rsid w:val="00545345"/>
    <w:rsid w:val="00545C08"/>
    <w:rsid w:val="00546556"/>
    <w:rsid w:val="00546D2A"/>
    <w:rsid w:val="00547301"/>
    <w:rsid w:val="00550123"/>
    <w:rsid w:val="00550465"/>
    <w:rsid w:val="00550BEB"/>
    <w:rsid w:val="00550C57"/>
    <w:rsid w:val="00551429"/>
    <w:rsid w:val="005514FD"/>
    <w:rsid w:val="00552788"/>
    <w:rsid w:val="00552C52"/>
    <w:rsid w:val="005537C8"/>
    <w:rsid w:val="005546F0"/>
    <w:rsid w:val="00554FAE"/>
    <w:rsid w:val="005551AE"/>
    <w:rsid w:val="00555303"/>
    <w:rsid w:val="005568DD"/>
    <w:rsid w:val="005600D1"/>
    <w:rsid w:val="00560995"/>
    <w:rsid w:val="00561EF4"/>
    <w:rsid w:val="00562F19"/>
    <w:rsid w:val="005630AE"/>
    <w:rsid w:val="005630BC"/>
    <w:rsid w:val="00563ABD"/>
    <w:rsid w:val="00565290"/>
    <w:rsid w:val="00565333"/>
    <w:rsid w:val="005657FC"/>
    <w:rsid w:val="0056665A"/>
    <w:rsid w:val="0056749E"/>
    <w:rsid w:val="00571965"/>
    <w:rsid w:val="0057237F"/>
    <w:rsid w:val="00572ECD"/>
    <w:rsid w:val="0057324C"/>
    <w:rsid w:val="00573516"/>
    <w:rsid w:val="0057394C"/>
    <w:rsid w:val="00573DA2"/>
    <w:rsid w:val="005743D0"/>
    <w:rsid w:val="005755CA"/>
    <w:rsid w:val="0057575D"/>
    <w:rsid w:val="00575A36"/>
    <w:rsid w:val="005763BD"/>
    <w:rsid w:val="00577145"/>
    <w:rsid w:val="00577C71"/>
    <w:rsid w:val="0058094B"/>
    <w:rsid w:val="0058395E"/>
    <w:rsid w:val="00585004"/>
    <w:rsid w:val="005852ED"/>
    <w:rsid w:val="005854D9"/>
    <w:rsid w:val="0058557D"/>
    <w:rsid w:val="00585B64"/>
    <w:rsid w:val="00585DF0"/>
    <w:rsid w:val="00586DEA"/>
    <w:rsid w:val="00592494"/>
    <w:rsid w:val="00592FED"/>
    <w:rsid w:val="0059316F"/>
    <w:rsid w:val="00593E3F"/>
    <w:rsid w:val="00594F8C"/>
    <w:rsid w:val="0059593D"/>
    <w:rsid w:val="00595DC3"/>
    <w:rsid w:val="00596DD3"/>
    <w:rsid w:val="0059710A"/>
    <w:rsid w:val="005976BA"/>
    <w:rsid w:val="00597AD0"/>
    <w:rsid w:val="005A0CB7"/>
    <w:rsid w:val="005A1211"/>
    <w:rsid w:val="005A34AE"/>
    <w:rsid w:val="005A3737"/>
    <w:rsid w:val="005A4B50"/>
    <w:rsid w:val="005A625E"/>
    <w:rsid w:val="005A7941"/>
    <w:rsid w:val="005B009E"/>
    <w:rsid w:val="005B0344"/>
    <w:rsid w:val="005B0914"/>
    <w:rsid w:val="005B0C97"/>
    <w:rsid w:val="005B11C2"/>
    <w:rsid w:val="005B156E"/>
    <w:rsid w:val="005B1A4B"/>
    <w:rsid w:val="005B2771"/>
    <w:rsid w:val="005B3AA9"/>
    <w:rsid w:val="005B44AF"/>
    <w:rsid w:val="005B52CF"/>
    <w:rsid w:val="005B5929"/>
    <w:rsid w:val="005B5F32"/>
    <w:rsid w:val="005B60B6"/>
    <w:rsid w:val="005B6257"/>
    <w:rsid w:val="005B7AA4"/>
    <w:rsid w:val="005C0015"/>
    <w:rsid w:val="005C254D"/>
    <w:rsid w:val="005C2971"/>
    <w:rsid w:val="005C31B7"/>
    <w:rsid w:val="005C33FD"/>
    <w:rsid w:val="005C4121"/>
    <w:rsid w:val="005C4203"/>
    <w:rsid w:val="005C46BD"/>
    <w:rsid w:val="005C489B"/>
    <w:rsid w:val="005C4C9F"/>
    <w:rsid w:val="005C50E8"/>
    <w:rsid w:val="005C534B"/>
    <w:rsid w:val="005C53AD"/>
    <w:rsid w:val="005C56D9"/>
    <w:rsid w:val="005C56EA"/>
    <w:rsid w:val="005C5803"/>
    <w:rsid w:val="005C6915"/>
    <w:rsid w:val="005C72AE"/>
    <w:rsid w:val="005C738A"/>
    <w:rsid w:val="005C760A"/>
    <w:rsid w:val="005C7E04"/>
    <w:rsid w:val="005D0145"/>
    <w:rsid w:val="005D06A6"/>
    <w:rsid w:val="005D1A92"/>
    <w:rsid w:val="005D1AAA"/>
    <w:rsid w:val="005D1C58"/>
    <w:rsid w:val="005D20F3"/>
    <w:rsid w:val="005D280D"/>
    <w:rsid w:val="005D3CCE"/>
    <w:rsid w:val="005D41A5"/>
    <w:rsid w:val="005D49C0"/>
    <w:rsid w:val="005D53FA"/>
    <w:rsid w:val="005D5B96"/>
    <w:rsid w:val="005D5F7A"/>
    <w:rsid w:val="005D5F98"/>
    <w:rsid w:val="005D69D4"/>
    <w:rsid w:val="005D7B0C"/>
    <w:rsid w:val="005D7CCA"/>
    <w:rsid w:val="005D7E2E"/>
    <w:rsid w:val="005E0ECF"/>
    <w:rsid w:val="005E1394"/>
    <w:rsid w:val="005E2EAB"/>
    <w:rsid w:val="005E37FC"/>
    <w:rsid w:val="005E706A"/>
    <w:rsid w:val="005E730B"/>
    <w:rsid w:val="005E761B"/>
    <w:rsid w:val="005E7A5B"/>
    <w:rsid w:val="005F0273"/>
    <w:rsid w:val="005F052E"/>
    <w:rsid w:val="005F19E3"/>
    <w:rsid w:val="005F3CE1"/>
    <w:rsid w:val="005F404C"/>
    <w:rsid w:val="005F56ED"/>
    <w:rsid w:val="005F5953"/>
    <w:rsid w:val="005F59C0"/>
    <w:rsid w:val="005F5B54"/>
    <w:rsid w:val="005F5ED3"/>
    <w:rsid w:val="005F6066"/>
    <w:rsid w:val="005F624B"/>
    <w:rsid w:val="005F708F"/>
    <w:rsid w:val="005F75EC"/>
    <w:rsid w:val="006006D0"/>
    <w:rsid w:val="006009D6"/>
    <w:rsid w:val="00601C2F"/>
    <w:rsid w:val="00603A80"/>
    <w:rsid w:val="0060413A"/>
    <w:rsid w:val="0060416D"/>
    <w:rsid w:val="00605430"/>
    <w:rsid w:val="0060753C"/>
    <w:rsid w:val="00607795"/>
    <w:rsid w:val="00607E69"/>
    <w:rsid w:val="0061091C"/>
    <w:rsid w:val="00612ED8"/>
    <w:rsid w:val="006131DF"/>
    <w:rsid w:val="006135B1"/>
    <w:rsid w:val="00614DF1"/>
    <w:rsid w:val="00614FC9"/>
    <w:rsid w:val="00615055"/>
    <w:rsid w:val="00615EA8"/>
    <w:rsid w:val="00616908"/>
    <w:rsid w:val="00616CB1"/>
    <w:rsid w:val="00617DB7"/>
    <w:rsid w:val="00617F52"/>
    <w:rsid w:val="00621373"/>
    <w:rsid w:val="006214F4"/>
    <w:rsid w:val="00621608"/>
    <w:rsid w:val="00623A7E"/>
    <w:rsid w:val="00623D28"/>
    <w:rsid w:val="00623E13"/>
    <w:rsid w:val="006254F6"/>
    <w:rsid w:val="0062580A"/>
    <w:rsid w:val="006259FC"/>
    <w:rsid w:val="00626A44"/>
    <w:rsid w:val="0063077E"/>
    <w:rsid w:val="00631DF0"/>
    <w:rsid w:val="006326AF"/>
    <w:rsid w:val="00632DD3"/>
    <w:rsid w:val="006330D5"/>
    <w:rsid w:val="00634C24"/>
    <w:rsid w:val="00634D9D"/>
    <w:rsid w:val="00634FAA"/>
    <w:rsid w:val="0063509F"/>
    <w:rsid w:val="0063527C"/>
    <w:rsid w:val="00635BE6"/>
    <w:rsid w:val="00635CC4"/>
    <w:rsid w:val="006402A5"/>
    <w:rsid w:val="00640789"/>
    <w:rsid w:val="00641B80"/>
    <w:rsid w:val="00642B2D"/>
    <w:rsid w:val="006432C6"/>
    <w:rsid w:val="00643844"/>
    <w:rsid w:val="00643D20"/>
    <w:rsid w:val="0064411F"/>
    <w:rsid w:val="00644BF8"/>
    <w:rsid w:val="006467EB"/>
    <w:rsid w:val="00647C55"/>
    <w:rsid w:val="0065150D"/>
    <w:rsid w:val="0065190F"/>
    <w:rsid w:val="006519C9"/>
    <w:rsid w:val="00651D2B"/>
    <w:rsid w:val="00654821"/>
    <w:rsid w:val="00654FBC"/>
    <w:rsid w:val="006552CA"/>
    <w:rsid w:val="0065551C"/>
    <w:rsid w:val="006559BD"/>
    <w:rsid w:val="00656915"/>
    <w:rsid w:val="00660059"/>
    <w:rsid w:val="00660080"/>
    <w:rsid w:val="006619F0"/>
    <w:rsid w:val="006628C2"/>
    <w:rsid w:val="00662A16"/>
    <w:rsid w:val="00664357"/>
    <w:rsid w:val="0066447E"/>
    <w:rsid w:val="006657B2"/>
    <w:rsid w:val="006659A3"/>
    <w:rsid w:val="0066603C"/>
    <w:rsid w:val="00666215"/>
    <w:rsid w:val="00666708"/>
    <w:rsid w:val="00666D69"/>
    <w:rsid w:val="00670BC3"/>
    <w:rsid w:val="00671141"/>
    <w:rsid w:val="00671D5F"/>
    <w:rsid w:val="0067228D"/>
    <w:rsid w:val="006724D3"/>
    <w:rsid w:val="006729D2"/>
    <w:rsid w:val="006730C5"/>
    <w:rsid w:val="00674A1D"/>
    <w:rsid w:val="006754D3"/>
    <w:rsid w:val="00675988"/>
    <w:rsid w:val="00675E6E"/>
    <w:rsid w:val="00676A5B"/>
    <w:rsid w:val="00677028"/>
    <w:rsid w:val="00680115"/>
    <w:rsid w:val="0068067E"/>
    <w:rsid w:val="00680D79"/>
    <w:rsid w:val="0068191C"/>
    <w:rsid w:val="00682844"/>
    <w:rsid w:val="006843DE"/>
    <w:rsid w:val="00684546"/>
    <w:rsid w:val="00684899"/>
    <w:rsid w:val="00684BF7"/>
    <w:rsid w:val="00685B4E"/>
    <w:rsid w:val="00686881"/>
    <w:rsid w:val="00686D4D"/>
    <w:rsid w:val="00686F4F"/>
    <w:rsid w:val="00687DEC"/>
    <w:rsid w:val="006919DE"/>
    <w:rsid w:val="00692127"/>
    <w:rsid w:val="0069214D"/>
    <w:rsid w:val="0069250B"/>
    <w:rsid w:val="00692715"/>
    <w:rsid w:val="006933B1"/>
    <w:rsid w:val="006934D3"/>
    <w:rsid w:val="00693B40"/>
    <w:rsid w:val="0069447C"/>
    <w:rsid w:val="0069538A"/>
    <w:rsid w:val="00695A85"/>
    <w:rsid w:val="00696E6F"/>
    <w:rsid w:val="006976B7"/>
    <w:rsid w:val="00697F12"/>
    <w:rsid w:val="006A01EF"/>
    <w:rsid w:val="006A05E0"/>
    <w:rsid w:val="006A1B3A"/>
    <w:rsid w:val="006A23DE"/>
    <w:rsid w:val="006A2A87"/>
    <w:rsid w:val="006A37A7"/>
    <w:rsid w:val="006A3AFC"/>
    <w:rsid w:val="006A58C6"/>
    <w:rsid w:val="006A714C"/>
    <w:rsid w:val="006A7851"/>
    <w:rsid w:val="006B1281"/>
    <w:rsid w:val="006B14AA"/>
    <w:rsid w:val="006B150E"/>
    <w:rsid w:val="006B1641"/>
    <w:rsid w:val="006B1D51"/>
    <w:rsid w:val="006B20FB"/>
    <w:rsid w:val="006B22CE"/>
    <w:rsid w:val="006B245F"/>
    <w:rsid w:val="006B38FB"/>
    <w:rsid w:val="006B4A1E"/>
    <w:rsid w:val="006B5142"/>
    <w:rsid w:val="006B6657"/>
    <w:rsid w:val="006B741F"/>
    <w:rsid w:val="006B7E4F"/>
    <w:rsid w:val="006C02CA"/>
    <w:rsid w:val="006C0354"/>
    <w:rsid w:val="006C063F"/>
    <w:rsid w:val="006C0A50"/>
    <w:rsid w:val="006C19A7"/>
    <w:rsid w:val="006C2DFA"/>
    <w:rsid w:val="006C3D12"/>
    <w:rsid w:val="006C400C"/>
    <w:rsid w:val="006C4F1E"/>
    <w:rsid w:val="006C5E0B"/>
    <w:rsid w:val="006C623D"/>
    <w:rsid w:val="006C66B4"/>
    <w:rsid w:val="006C6CDF"/>
    <w:rsid w:val="006C6E85"/>
    <w:rsid w:val="006D0988"/>
    <w:rsid w:val="006D1225"/>
    <w:rsid w:val="006D1500"/>
    <w:rsid w:val="006D1EBC"/>
    <w:rsid w:val="006D3A35"/>
    <w:rsid w:val="006D5472"/>
    <w:rsid w:val="006D5C26"/>
    <w:rsid w:val="006D7D88"/>
    <w:rsid w:val="006E0C10"/>
    <w:rsid w:val="006E15DA"/>
    <w:rsid w:val="006E263D"/>
    <w:rsid w:val="006E3B57"/>
    <w:rsid w:val="006E75D5"/>
    <w:rsid w:val="006E7A44"/>
    <w:rsid w:val="006F05FD"/>
    <w:rsid w:val="006F0AC3"/>
    <w:rsid w:val="006F0F1C"/>
    <w:rsid w:val="006F229C"/>
    <w:rsid w:val="006F2A35"/>
    <w:rsid w:val="006F2A37"/>
    <w:rsid w:val="006F44F4"/>
    <w:rsid w:val="006F48FB"/>
    <w:rsid w:val="006F4FA4"/>
    <w:rsid w:val="006F51EF"/>
    <w:rsid w:val="006F57F2"/>
    <w:rsid w:val="006F66A8"/>
    <w:rsid w:val="006F71F5"/>
    <w:rsid w:val="006F7235"/>
    <w:rsid w:val="006F7CCD"/>
    <w:rsid w:val="00700135"/>
    <w:rsid w:val="0070113F"/>
    <w:rsid w:val="007015B0"/>
    <w:rsid w:val="0070177F"/>
    <w:rsid w:val="00701F43"/>
    <w:rsid w:val="007033C8"/>
    <w:rsid w:val="007041F0"/>
    <w:rsid w:val="0071032D"/>
    <w:rsid w:val="00710B95"/>
    <w:rsid w:val="00710FDA"/>
    <w:rsid w:val="007115FF"/>
    <w:rsid w:val="00711A96"/>
    <w:rsid w:val="00712079"/>
    <w:rsid w:val="007120FA"/>
    <w:rsid w:val="00712980"/>
    <w:rsid w:val="00712F49"/>
    <w:rsid w:val="0071306A"/>
    <w:rsid w:val="00713958"/>
    <w:rsid w:val="007159A3"/>
    <w:rsid w:val="00715BD9"/>
    <w:rsid w:val="007173AD"/>
    <w:rsid w:val="00717F1C"/>
    <w:rsid w:val="00720222"/>
    <w:rsid w:val="007206CD"/>
    <w:rsid w:val="00720DEA"/>
    <w:rsid w:val="00720E61"/>
    <w:rsid w:val="00720E97"/>
    <w:rsid w:val="00721483"/>
    <w:rsid w:val="007233D5"/>
    <w:rsid w:val="00723ACF"/>
    <w:rsid w:val="00723D40"/>
    <w:rsid w:val="00723E22"/>
    <w:rsid w:val="0072475C"/>
    <w:rsid w:val="007247BC"/>
    <w:rsid w:val="00724B36"/>
    <w:rsid w:val="00724DD1"/>
    <w:rsid w:val="00725043"/>
    <w:rsid w:val="0072550E"/>
    <w:rsid w:val="00725570"/>
    <w:rsid w:val="00725571"/>
    <w:rsid w:val="00725722"/>
    <w:rsid w:val="00725953"/>
    <w:rsid w:val="00726A5F"/>
    <w:rsid w:val="00727712"/>
    <w:rsid w:val="00727C0B"/>
    <w:rsid w:val="00730C2C"/>
    <w:rsid w:val="00731B4A"/>
    <w:rsid w:val="007322C2"/>
    <w:rsid w:val="00734F61"/>
    <w:rsid w:val="00735084"/>
    <w:rsid w:val="00735144"/>
    <w:rsid w:val="007368E9"/>
    <w:rsid w:val="00736C8A"/>
    <w:rsid w:val="0074093A"/>
    <w:rsid w:val="00740CCF"/>
    <w:rsid w:val="007415D5"/>
    <w:rsid w:val="007416A2"/>
    <w:rsid w:val="00741863"/>
    <w:rsid w:val="0074348C"/>
    <w:rsid w:val="007438D2"/>
    <w:rsid w:val="00744074"/>
    <w:rsid w:val="007442C3"/>
    <w:rsid w:val="007444BA"/>
    <w:rsid w:val="0074477C"/>
    <w:rsid w:val="00744AC7"/>
    <w:rsid w:val="00745BE6"/>
    <w:rsid w:val="00745D26"/>
    <w:rsid w:val="00746157"/>
    <w:rsid w:val="00747CC8"/>
    <w:rsid w:val="00747E95"/>
    <w:rsid w:val="00750B5C"/>
    <w:rsid w:val="007519E9"/>
    <w:rsid w:val="00751EED"/>
    <w:rsid w:val="00752C21"/>
    <w:rsid w:val="00752F6A"/>
    <w:rsid w:val="0075356A"/>
    <w:rsid w:val="007536D5"/>
    <w:rsid w:val="00753840"/>
    <w:rsid w:val="00754299"/>
    <w:rsid w:val="007544A3"/>
    <w:rsid w:val="00754833"/>
    <w:rsid w:val="00756281"/>
    <w:rsid w:val="00756B56"/>
    <w:rsid w:val="00756D31"/>
    <w:rsid w:val="00757ED1"/>
    <w:rsid w:val="0076032B"/>
    <w:rsid w:val="00761999"/>
    <w:rsid w:val="007624FF"/>
    <w:rsid w:val="00762EB4"/>
    <w:rsid w:val="00763541"/>
    <w:rsid w:val="007636BD"/>
    <w:rsid w:val="00763D79"/>
    <w:rsid w:val="00764085"/>
    <w:rsid w:val="007647FD"/>
    <w:rsid w:val="0076563F"/>
    <w:rsid w:val="00765A81"/>
    <w:rsid w:val="00765ED9"/>
    <w:rsid w:val="00770BB9"/>
    <w:rsid w:val="00773035"/>
    <w:rsid w:val="00774124"/>
    <w:rsid w:val="00774977"/>
    <w:rsid w:val="007750AA"/>
    <w:rsid w:val="00776722"/>
    <w:rsid w:val="007769E7"/>
    <w:rsid w:val="0077740F"/>
    <w:rsid w:val="00777861"/>
    <w:rsid w:val="0077789B"/>
    <w:rsid w:val="007801FF"/>
    <w:rsid w:val="007810EE"/>
    <w:rsid w:val="007817D4"/>
    <w:rsid w:val="007819D2"/>
    <w:rsid w:val="007819F6"/>
    <w:rsid w:val="00781A0C"/>
    <w:rsid w:val="00782609"/>
    <w:rsid w:val="00782F58"/>
    <w:rsid w:val="00784035"/>
    <w:rsid w:val="007851FE"/>
    <w:rsid w:val="00785E12"/>
    <w:rsid w:val="00786784"/>
    <w:rsid w:val="007872AB"/>
    <w:rsid w:val="00787B27"/>
    <w:rsid w:val="00787F0A"/>
    <w:rsid w:val="007907EA"/>
    <w:rsid w:val="00790831"/>
    <w:rsid w:val="00790ACD"/>
    <w:rsid w:val="00790BF0"/>
    <w:rsid w:val="007911C5"/>
    <w:rsid w:val="0079120E"/>
    <w:rsid w:val="00791873"/>
    <w:rsid w:val="00792367"/>
    <w:rsid w:val="00792456"/>
    <w:rsid w:val="00793247"/>
    <w:rsid w:val="0079375B"/>
    <w:rsid w:val="00793E60"/>
    <w:rsid w:val="0079402C"/>
    <w:rsid w:val="007940BF"/>
    <w:rsid w:val="007943C0"/>
    <w:rsid w:val="0079497A"/>
    <w:rsid w:val="007950E3"/>
    <w:rsid w:val="0079525F"/>
    <w:rsid w:val="00795A04"/>
    <w:rsid w:val="00796721"/>
    <w:rsid w:val="0079764E"/>
    <w:rsid w:val="00797CA4"/>
    <w:rsid w:val="007A19B5"/>
    <w:rsid w:val="007A2323"/>
    <w:rsid w:val="007A2CBE"/>
    <w:rsid w:val="007A3A37"/>
    <w:rsid w:val="007A3F2B"/>
    <w:rsid w:val="007A4B57"/>
    <w:rsid w:val="007A500A"/>
    <w:rsid w:val="007A5AFC"/>
    <w:rsid w:val="007A62FC"/>
    <w:rsid w:val="007A6546"/>
    <w:rsid w:val="007A6AC3"/>
    <w:rsid w:val="007A6DF3"/>
    <w:rsid w:val="007A72D5"/>
    <w:rsid w:val="007B024D"/>
    <w:rsid w:val="007B1474"/>
    <w:rsid w:val="007B17F1"/>
    <w:rsid w:val="007B1F97"/>
    <w:rsid w:val="007B21E8"/>
    <w:rsid w:val="007B270B"/>
    <w:rsid w:val="007B2763"/>
    <w:rsid w:val="007B2B83"/>
    <w:rsid w:val="007B4B0A"/>
    <w:rsid w:val="007B5638"/>
    <w:rsid w:val="007B59F2"/>
    <w:rsid w:val="007B5ACD"/>
    <w:rsid w:val="007B61C2"/>
    <w:rsid w:val="007B6451"/>
    <w:rsid w:val="007B6F8C"/>
    <w:rsid w:val="007B7B00"/>
    <w:rsid w:val="007B7CD5"/>
    <w:rsid w:val="007C0DAA"/>
    <w:rsid w:val="007C0E77"/>
    <w:rsid w:val="007C0FFC"/>
    <w:rsid w:val="007C148C"/>
    <w:rsid w:val="007C222A"/>
    <w:rsid w:val="007C23B0"/>
    <w:rsid w:val="007C28C9"/>
    <w:rsid w:val="007C2CC2"/>
    <w:rsid w:val="007C3255"/>
    <w:rsid w:val="007C353A"/>
    <w:rsid w:val="007C405C"/>
    <w:rsid w:val="007C48BD"/>
    <w:rsid w:val="007C57C2"/>
    <w:rsid w:val="007C5C24"/>
    <w:rsid w:val="007C5D36"/>
    <w:rsid w:val="007C6543"/>
    <w:rsid w:val="007D21EC"/>
    <w:rsid w:val="007D2B37"/>
    <w:rsid w:val="007D31AF"/>
    <w:rsid w:val="007D361F"/>
    <w:rsid w:val="007D39E6"/>
    <w:rsid w:val="007D3A0D"/>
    <w:rsid w:val="007D3A7F"/>
    <w:rsid w:val="007D3E67"/>
    <w:rsid w:val="007D4D88"/>
    <w:rsid w:val="007D5CC8"/>
    <w:rsid w:val="007D636F"/>
    <w:rsid w:val="007E00D5"/>
    <w:rsid w:val="007E03E0"/>
    <w:rsid w:val="007E0D07"/>
    <w:rsid w:val="007E1275"/>
    <w:rsid w:val="007E1A77"/>
    <w:rsid w:val="007E1AEC"/>
    <w:rsid w:val="007E2294"/>
    <w:rsid w:val="007E25B8"/>
    <w:rsid w:val="007E39BF"/>
    <w:rsid w:val="007E4568"/>
    <w:rsid w:val="007E45DD"/>
    <w:rsid w:val="007E47B2"/>
    <w:rsid w:val="007E6F07"/>
    <w:rsid w:val="007E6F15"/>
    <w:rsid w:val="007F134F"/>
    <w:rsid w:val="007F19F0"/>
    <w:rsid w:val="007F29F3"/>
    <w:rsid w:val="007F2D75"/>
    <w:rsid w:val="007F37C0"/>
    <w:rsid w:val="007F3B83"/>
    <w:rsid w:val="007F3C9B"/>
    <w:rsid w:val="007F3E4C"/>
    <w:rsid w:val="007F3F6E"/>
    <w:rsid w:val="007F43BC"/>
    <w:rsid w:val="007F64A1"/>
    <w:rsid w:val="007F6829"/>
    <w:rsid w:val="007F69DE"/>
    <w:rsid w:val="007F748E"/>
    <w:rsid w:val="007F773D"/>
    <w:rsid w:val="00800E80"/>
    <w:rsid w:val="00801DF7"/>
    <w:rsid w:val="008030A3"/>
    <w:rsid w:val="00803232"/>
    <w:rsid w:val="00803D3E"/>
    <w:rsid w:val="00804016"/>
    <w:rsid w:val="00804A33"/>
    <w:rsid w:val="00804BF0"/>
    <w:rsid w:val="00804DDB"/>
    <w:rsid w:val="00804EBB"/>
    <w:rsid w:val="00805035"/>
    <w:rsid w:val="008050FB"/>
    <w:rsid w:val="00806858"/>
    <w:rsid w:val="0080692C"/>
    <w:rsid w:val="008069F3"/>
    <w:rsid w:val="00806AFD"/>
    <w:rsid w:val="008106F7"/>
    <w:rsid w:val="00810792"/>
    <w:rsid w:val="00810FEE"/>
    <w:rsid w:val="00811EA6"/>
    <w:rsid w:val="008120A1"/>
    <w:rsid w:val="0081228F"/>
    <w:rsid w:val="00813467"/>
    <w:rsid w:val="0081395C"/>
    <w:rsid w:val="00813E65"/>
    <w:rsid w:val="0081412E"/>
    <w:rsid w:val="00816D7F"/>
    <w:rsid w:val="00817670"/>
    <w:rsid w:val="00817757"/>
    <w:rsid w:val="00817DCE"/>
    <w:rsid w:val="0082058E"/>
    <w:rsid w:val="0082163C"/>
    <w:rsid w:val="00821867"/>
    <w:rsid w:val="00821FA8"/>
    <w:rsid w:val="00822BA1"/>
    <w:rsid w:val="00823479"/>
    <w:rsid w:val="00823DDA"/>
    <w:rsid w:val="00824804"/>
    <w:rsid w:val="008303B0"/>
    <w:rsid w:val="008305C5"/>
    <w:rsid w:val="0083096B"/>
    <w:rsid w:val="008314DB"/>
    <w:rsid w:val="008315B7"/>
    <w:rsid w:val="008328E3"/>
    <w:rsid w:val="0083349F"/>
    <w:rsid w:val="00833D3D"/>
    <w:rsid w:val="0083419E"/>
    <w:rsid w:val="0083481F"/>
    <w:rsid w:val="0083495A"/>
    <w:rsid w:val="008355D0"/>
    <w:rsid w:val="00835C95"/>
    <w:rsid w:val="008361DF"/>
    <w:rsid w:val="0084018D"/>
    <w:rsid w:val="00840267"/>
    <w:rsid w:val="0084114D"/>
    <w:rsid w:val="0084314E"/>
    <w:rsid w:val="0084394E"/>
    <w:rsid w:val="008442F1"/>
    <w:rsid w:val="00844A22"/>
    <w:rsid w:val="008454C2"/>
    <w:rsid w:val="008457F8"/>
    <w:rsid w:val="00846CE9"/>
    <w:rsid w:val="0084704A"/>
    <w:rsid w:val="0084765F"/>
    <w:rsid w:val="00847A7D"/>
    <w:rsid w:val="00850500"/>
    <w:rsid w:val="008505A3"/>
    <w:rsid w:val="00853319"/>
    <w:rsid w:val="00853CD3"/>
    <w:rsid w:val="00854D27"/>
    <w:rsid w:val="008557DD"/>
    <w:rsid w:val="00855FDE"/>
    <w:rsid w:val="008560C4"/>
    <w:rsid w:val="0085711F"/>
    <w:rsid w:val="00857367"/>
    <w:rsid w:val="0086103D"/>
    <w:rsid w:val="00861926"/>
    <w:rsid w:val="00861A26"/>
    <w:rsid w:val="00861B6D"/>
    <w:rsid w:val="00862BB2"/>
    <w:rsid w:val="00864284"/>
    <w:rsid w:val="008651DD"/>
    <w:rsid w:val="008651F7"/>
    <w:rsid w:val="00865618"/>
    <w:rsid w:val="00865A88"/>
    <w:rsid w:val="00866622"/>
    <w:rsid w:val="00866908"/>
    <w:rsid w:val="00867001"/>
    <w:rsid w:val="00867222"/>
    <w:rsid w:val="00867B10"/>
    <w:rsid w:val="00867CF5"/>
    <w:rsid w:val="00870FA2"/>
    <w:rsid w:val="00871177"/>
    <w:rsid w:val="00871774"/>
    <w:rsid w:val="00872D32"/>
    <w:rsid w:val="00872FA3"/>
    <w:rsid w:val="008744D4"/>
    <w:rsid w:val="00874D71"/>
    <w:rsid w:val="00874E4C"/>
    <w:rsid w:val="00874E72"/>
    <w:rsid w:val="0087576F"/>
    <w:rsid w:val="008757DB"/>
    <w:rsid w:val="0087619A"/>
    <w:rsid w:val="00876BFA"/>
    <w:rsid w:val="00876DC0"/>
    <w:rsid w:val="00880DB7"/>
    <w:rsid w:val="008817CD"/>
    <w:rsid w:val="00882E7F"/>
    <w:rsid w:val="008831CE"/>
    <w:rsid w:val="0088352E"/>
    <w:rsid w:val="00883815"/>
    <w:rsid w:val="00883950"/>
    <w:rsid w:val="00883BB8"/>
    <w:rsid w:val="00883F66"/>
    <w:rsid w:val="0088540A"/>
    <w:rsid w:val="008858E5"/>
    <w:rsid w:val="00885A21"/>
    <w:rsid w:val="00886103"/>
    <w:rsid w:val="00886CA6"/>
    <w:rsid w:val="00887006"/>
    <w:rsid w:val="00887D2D"/>
    <w:rsid w:val="0089078B"/>
    <w:rsid w:val="00890806"/>
    <w:rsid w:val="00891601"/>
    <w:rsid w:val="00891A2E"/>
    <w:rsid w:val="00891D2E"/>
    <w:rsid w:val="008929B1"/>
    <w:rsid w:val="00892B61"/>
    <w:rsid w:val="00892C6C"/>
    <w:rsid w:val="00892EC1"/>
    <w:rsid w:val="00892FB0"/>
    <w:rsid w:val="00893278"/>
    <w:rsid w:val="008939A7"/>
    <w:rsid w:val="00895F5D"/>
    <w:rsid w:val="0089652A"/>
    <w:rsid w:val="008A00B8"/>
    <w:rsid w:val="008A0702"/>
    <w:rsid w:val="008A10F0"/>
    <w:rsid w:val="008A176E"/>
    <w:rsid w:val="008A1ABB"/>
    <w:rsid w:val="008A3514"/>
    <w:rsid w:val="008A374F"/>
    <w:rsid w:val="008A3ED2"/>
    <w:rsid w:val="008A4764"/>
    <w:rsid w:val="008A4D2A"/>
    <w:rsid w:val="008A5470"/>
    <w:rsid w:val="008A56B3"/>
    <w:rsid w:val="008A588C"/>
    <w:rsid w:val="008A5D24"/>
    <w:rsid w:val="008A5E3E"/>
    <w:rsid w:val="008A5E9C"/>
    <w:rsid w:val="008A75D4"/>
    <w:rsid w:val="008A7D08"/>
    <w:rsid w:val="008A7D22"/>
    <w:rsid w:val="008A7D6E"/>
    <w:rsid w:val="008B0283"/>
    <w:rsid w:val="008B075E"/>
    <w:rsid w:val="008B0BA6"/>
    <w:rsid w:val="008B206D"/>
    <w:rsid w:val="008B2610"/>
    <w:rsid w:val="008B275A"/>
    <w:rsid w:val="008B2C0C"/>
    <w:rsid w:val="008B4FFE"/>
    <w:rsid w:val="008B5298"/>
    <w:rsid w:val="008B5961"/>
    <w:rsid w:val="008B6143"/>
    <w:rsid w:val="008B6580"/>
    <w:rsid w:val="008B7751"/>
    <w:rsid w:val="008B7EFB"/>
    <w:rsid w:val="008C19B3"/>
    <w:rsid w:val="008C19CD"/>
    <w:rsid w:val="008C24AB"/>
    <w:rsid w:val="008C2936"/>
    <w:rsid w:val="008C2A1E"/>
    <w:rsid w:val="008C383E"/>
    <w:rsid w:val="008C3B1A"/>
    <w:rsid w:val="008C4D9B"/>
    <w:rsid w:val="008C51D5"/>
    <w:rsid w:val="008C541C"/>
    <w:rsid w:val="008C6596"/>
    <w:rsid w:val="008C6C8A"/>
    <w:rsid w:val="008C7793"/>
    <w:rsid w:val="008D16B8"/>
    <w:rsid w:val="008D1B7C"/>
    <w:rsid w:val="008D1F71"/>
    <w:rsid w:val="008D23C9"/>
    <w:rsid w:val="008D2D0B"/>
    <w:rsid w:val="008D2F0B"/>
    <w:rsid w:val="008D313A"/>
    <w:rsid w:val="008D3C6C"/>
    <w:rsid w:val="008D5355"/>
    <w:rsid w:val="008D6CEC"/>
    <w:rsid w:val="008D7118"/>
    <w:rsid w:val="008D75BD"/>
    <w:rsid w:val="008D78D7"/>
    <w:rsid w:val="008E0062"/>
    <w:rsid w:val="008E1A34"/>
    <w:rsid w:val="008E1AE9"/>
    <w:rsid w:val="008E22E2"/>
    <w:rsid w:val="008E3380"/>
    <w:rsid w:val="008E3415"/>
    <w:rsid w:val="008E3B70"/>
    <w:rsid w:val="008E3F6F"/>
    <w:rsid w:val="008E48F3"/>
    <w:rsid w:val="008E4987"/>
    <w:rsid w:val="008E52F6"/>
    <w:rsid w:val="008E558B"/>
    <w:rsid w:val="008E5E3A"/>
    <w:rsid w:val="008E6480"/>
    <w:rsid w:val="008E785B"/>
    <w:rsid w:val="008F0989"/>
    <w:rsid w:val="008F179C"/>
    <w:rsid w:val="008F1819"/>
    <w:rsid w:val="008F1C6F"/>
    <w:rsid w:val="008F3A35"/>
    <w:rsid w:val="008F4274"/>
    <w:rsid w:val="008F5974"/>
    <w:rsid w:val="008F5C18"/>
    <w:rsid w:val="008F5E08"/>
    <w:rsid w:val="008F6853"/>
    <w:rsid w:val="008F7C1B"/>
    <w:rsid w:val="00900018"/>
    <w:rsid w:val="00900D15"/>
    <w:rsid w:val="009019FC"/>
    <w:rsid w:val="00901D10"/>
    <w:rsid w:val="009028BC"/>
    <w:rsid w:val="00902B82"/>
    <w:rsid w:val="009035FA"/>
    <w:rsid w:val="0090386F"/>
    <w:rsid w:val="00904A7D"/>
    <w:rsid w:val="00904F6D"/>
    <w:rsid w:val="00907DD8"/>
    <w:rsid w:val="00907E31"/>
    <w:rsid w:val="00910112"/>
    <w:rsid w:val="009132F7"/>
    <w:rsid w:val="0091398D"/>
    <w:rsid w:val="00913A0F"/>
    <w:rsid w:val="00914A7F"/>
    <w:rsid w:val="00914AC4"/>
    <w:rsid w:val="00914DB3"/>
    <w:rsid w:val="0091569C"/>
    <w:rsid w:val="009158EB"/>
    <w:rsid w:val="00915D85"/>
    <w:rsid w:val="009163CC"/>
    <w:rsid w:val="0091641C"/>
    <w:rsid w:val="00916F52"/>
    <w:rsid w:val="00917DD4"/>
    <w:rsid w:val="00921CD0"/>
    <w:rsid w:val="00922145"/>
    <w:rsid w:val="00922160"/>
    <w:rsid w:val="00922562"/>
    <w:rsid w:val="00922710"/>
    <w:rsid w:val="00922754"/>
    <w:rsid w:val="0092303D"/>
    <w:rsid w:val="0092319A"/>
    <w:rsid w:val="00923BCD"/>
    <w:rsid w:val="009244A2"/>
    <w:rsid w:val="00924826"/>
    <w:rsid w:val="009260CE"/>
    <w:rsid w:val="00926313"/>
    <w:rsid w:val="009269A6"/>
    <w:rsid w:val="00926F2A"/>
    <w:rsid w:val="00930C32"/>
    <w:rsid w:val="00930C94"/>
    <w:rsid w:val="0093100E"/>
    <w:rsid w:val="00931643"/>
    <w:rsid w:val="00931D87"/>
    <w:rsid w:val="00931D9E"/>
    <w:rsid w:val="009322AC"/>
    <w:rsid w:val="00932475"/>
    <w:rsid w:val="00933273"/>
    <w:rsid w:val="009337E5"/>
    <w:rsid w:val="009339C8"/>
    <w:rsid w:val="00934B46"/>
    <w:rsid w:val="00934BCD"/>
    <w:rsid w:val="00934F27"/>
    <w:rsid w:val="00935150"/>
    <w:rsid w:val="009351A7"/>
    <w:rsid w:val="00935258"/>
    <w:rsid w:val="009367B5"/>
    <w:rsid w:val="00936FFE"/>
    <w:rsid w:val="00941DFB"/>
    <w:rsid w:val="009423C9"/>
    <w:rsid w:val="009425B2"/>
    <w:rsid w:val="00943553"/>
    <w:rsid w:val="009456C3"/>
    <w:rsid w:val="00947079"/>
    <w:rsid w:val="009479DF"/>
    <w:rsid w:val="00947B0A"/>
    <w:rsid w:val="009500DC"/>
    <w:rsid w:val="00951A8E"/>
    <w:rsid w:val="00954C73"/>
    <w:rsid w:val="00955759"/>
    <w:rsid w:val="00955905"/>
    <w:rsid w:val="00955CC7"/>
    <w:rsid w:val="00955D03"/>
    <w:rsid w:val="00955EBC"/>
    <w:rsid w:val="009563C5"/>
    <w:rsid w:val="0095648C"/>
    <w:rsid w:val="00957784"/>
    <w:rsid w:val="00957D8F"/>
    <w:rsid w:val="00960AB9"/>
    <w:rsid w:val="00961AE0"/>
    <w:rsid w:val="0096203B"/>
    <w:rsid w:val="009627A5"/>
    <w:rsid w:val="00962A4D"/>
    <w:rsid w:val="00962C1C"/>
    <w:rsid w:val="009631A2"/>
    <w:rsid w:val="00963E6D"/>
    <w:rsid w:val="0096434B"/>
    <w:rsid w:val="00964896"/>
    <w:rsid w:val="009654BA"/>
    <w:rsid w:val="00966C1B"/>
    <w:rsid w:val="00966F48"/>
    <w:rsid w:val="009673FC"/>
    <w:rsid w:val="00967899"/>
    <w:rsid w:val="00967E20"/>
    <w:rsid w:val="00967EC1"/>
    <w:rsid w:val="00970F21"/>
    <w:rsid w:val="00970FC5"/>
    <w:rsid w:val="00971E4F"/>
    <w:rsid w:val="0097245A"/>
    <w:rsid w:val="00972727"/>
    <w:rsid w:val="00972B01"/>
    <w:rsid w:val="00973F59"/>
    <w:rsid w:val="0097412C"/>
    <w:rsid w:val="009747ED"/>
    <w:rsid w:val="00974AAB"/>
    <w:rsid w:val="00975445"/>
    <w:rsid w:val="00975903"/>
    <w:rsid w:val="00976287"/>
    <w:rsid w:val="00976CBA"/>
    <w:rsid w:val="00976ED6"/>
    <w:rsid w:val="0097723D"/>
    <w:rsid w:val="00977577"/>
    <w:rsid w:val="00977BF6"/>
    <w:rsid w:val="00980077"/>
    <w:rsid w:val="00980EAC"/>
    <w:rsid w:val="0098150C"/>
    <w:rsid w:val="0098171D"/>
    <w:rsid w:val="00981E02"/>
    <w:rsid w:val="00981EB5"/>
    <w:rsid w:val="009825D3"/>
    <w:rsid w:val="00983CAA"/>
    <w:rsid w:val="009853CF"/>
    <w:rsid w:val="00985AD1"/>
    <w:rsid w:val="00985AD3"/>
    <w:rsid w:val="00985C82"/>
    <w:rsid w:val="009879F1"/>
    <w:rsid w:val="00991FA3"/>
    <w:rsid w:val="00992527"/>
    <w:rsid w:val="0099253B"/>
    <w:rsid w:val="00993E39"/>
    <w:rsid w:val="00994C3F"/>
    <w:rsid w:val="009968F4"/>
    <w:rsid w:val="00997266"/>
    <w:rsid w:val="00997D9E"/>
    <w:rsid w:val="009A083B"/>
    <w:rsid w:val="009A0848"/>
    <w:rsid w:val="009A0DAD"/>
    <w:rsid w:val="009A10E3"/>
    <w:rsid w:val="009A1A56"/>
    <w:rsid w:val="009A1AE4"/>
    <w:rsid w:val="009A1CD6"/>
    <w:rsid w:val="009A1FFE"/>
    <w:rsid w:val="009A2667"/>
    <w:rsid w:val="009A2FE7"/>
    <w:rsid w:val="009A446A"/>
    <w:rsid w:val="009A53EE"/>
    <w:rsid w:val="009A5554"/>
    <w:rsid w:val="009A55EC"/>
    <w:rsid w:val="009A5949"/>
    <w:rsid w:val="009A5E2C"/>
    <w:rsid w:val="009A64F8"/>
    <w:rsid w:val="009A799D"/>
    <w:rsid w:val="009A7E2B"/>
    <w:rsid w:val="009B13E2"/>
    <w:rsid w:val="009B1A9A"/>
    <w:rsid w:val="009B27AB"/>
    <w:rsid w:val="009B2BB1"/>
    <w:rsid w:val="009B4C9A"/>
    <w:rsid w:val="009B7604"/>
    <w:rsid w:val="009C2403"/>
    <w:rsid w:val="009C39A5"/>
    <w:rsid w:val="009C4E8B"/>
    <w:rsid w:val="009C5A49"/>
    <w:rsid w:val="009C7C81"/>
    <w:rsid w:val="009D0B82"/>
    <w:rsid w:val="009D0BE8"/>
    <w:rsid w:val="009D1B86"/>
    <w:rsid w:val="009D1D98"/>
    <w:rsid w:val="009D2C1B"/>
    <w:rsid w:val="009D32EA"/>
    <w:rsid w:val="009D3564"/>
    <w:rsid w:val="009D366A"/>
    <w:rsid w:val="009D377E"/>
    <w:rsid w:val="009D3ED6"/>
    <w:rsid w:val="009D4952"/>
    <w:rsid w:val="009D64B8"/>
    <w:rsid w:val="009D6985"/>
    <w:rsid w:val="009D6A27"/>
    <w:rsid w:val="009D6E28"/>
    <w:rsid w:val="009D708D"/>
    <w:rsid w:val="009D7367"/>
    <w:rsid w:val="009E1C21"/>
    <w:rsid w:val="009E2573"/>
    <w:rsid w:val="009E35D7"/>
    <w:rsid w:val="009E5A89"/>
    <w:rsid w:val="009E64B6"/>
    <w:rsid w:val="009E6579"/>
    <w:rsid w:val="009E6CCB"/>
    <w:rsid w:val="009E7955"/>
    <w:rsid w:val="009E7A0C"/>
    <w:rsid w:val="009F0676"/>
    <w:rsid w:val="009F111C"/>
    <w:rsid w:val="009F17F0"/>
    <w:rsid w:val="009F2A6B"/>
    <w:rsid w:val="009F2F17"/>
    <w:rsid w:val="009F3223"/>
    <w:rsid w:val="009F3485"/>
    <w:rsid w:val="009F3978"/>
    <w:rsid w:val="009F41BE"/>
    <w:rsid w:val="009F555F"/>
    <w:rsid w:val="009F591E"/>
    <w:rsid w:val="009F6041"/>
    <w:rsid w:val="009F6141"/>
    <w:rsid w:val="009F66AC"/>
    <w:rsid w:val="009F6F43"/>
    <w:rsid w:val="009F7C0B"/>
    <w:rsid w:val="00A000C0"/>
    <w:rsid w:val="00A01BF7"/>
    <w:rsid w:val="00A0316D"/>
    <w:rsid w:val="00A0359C"/>
    <w:rsid w:val="00A0393C"/>
    <w:rsid w:val="00A03B68"/>
    <w:rsid w:val="00A03D62"/>
    <w:rsid w:val="00A04748"/>
    <w:rsid w:val="00A04858"/>
    <w:rsid w:val="00A05544"/>
    <w:rsid w:val="00A05A0B"/>
    <w:rsid w:val="00A060F5"/>
    <w:rsid w:val="00A063E8"/>
    <w:rsid w:val="00A07F66"/>
    <w:rsid w:val="00A112A3"/>
    <w:rsid w:val="00A116A4"/>
    <w:rsid w:val="00A12CF7"/>
    <w:rsid w:val="00A138B0"/>
    <w:rsid w:val="00A13942"/>
    <w:rsid w:val="00A14D81"/>
    <w:rsid w:val="00A15D77"/>
    <w:rsid w:val="00A16383"/>
    <w:rsid w:val="00A16F88"/>
    <w:rsid w:val="00A170F7"/>
    <w:rsid w:val="00A20050"/>
    <w:rsid w:val="00A20568"/>
    <w:rsid w:val="00A2154D"/>
    <w:rsid w:val="00A22179"/>
    <w:rsid w:val="00A22228"/>
    <w:rsid w:val="00A239A1"/>
    <w:rsid w:val="00A2506D"/>
    <w:rsid w:val="00A254AB"/>
    <w:rsid w:val="00A26D8F"/>
    <w:rsid w:val="00A26DC6"/>
    <w:rsid w:val="00A27CFA"/>
    <w:rsid w:val="00A3006A"/>
    <w:rsid w:val="00A304BE"/>
    <w:rsid w:val="00A32889"/>
    <w:rsid w:val="00A339EE"/>
    <w:rsid w:val="00A3454D"/>
    <w:rsid w:val="00A355E7"/>
    <w:rsid w:val="00A35865"/>
    <w:rsid w:val="00A36206"/>
    <w:rsid w:val="00A3655B"/>
    <w:rsid w:val="00A36D09"/>
    <w:rsid w:val="00A36EEB"/>
    <w:rsid w:val="00A403CD"/>
    <w:rsid w:val="00A404CE"/>
    <w:rsid w:val="00A404F9"/>
    <w:rsid w:val="00A4196F"/>
    <w:rsid w:val="00A41F37"/>
    <w:rsid w:val="00A43D63"/>
    <w:rsid w:val="00A44821"/>
    <w:rsid w:val="00A45387"/>
    <w:rsid w:val="00A4539A"/>
    <w:rsid w:val="00A46129"/>
    <w:rsid w:val="00A4638E"/>
    <w:rsid w:val="00A469C6"/>
    <w:rsid w:val="00A47899"/>
    <w:rsid w:val="00A50163"/>
    <w:rsid w:val="00A5062D"/>
    <w:rsid w:val="00A508CF"/>
    <w:rsid w:val="00A51190"/>
    <w:rsid w:val="00A51372"/>
    <w:rsid w:val="00A51D52"/>
    <w:rsid w:val="00A53565"/>
    <w:rsid w:val="00A54484"/>
    <w:rsid w:val="00A548EC"/>
    <w:rsid w:val="00A5490F"/>
    <w:rsid w:val="00A54AC3"/>
    <w:rsid w:val="00A55275"/>
    <w:rsid w:val="00A55FFA"/>
    <w:rsid w:val="00A560D4"/>
    <w:rsid w:val="00A565A6"/>
    <w:rsid w:val="00A566B2"/>
    <w:rsid w:val="00A57569"/>
    <w:rsid w:val="00A577FA"/>
    <w:rsid w:val="00A61FC0"/>
    <w:rsid w:val="00A62C20"/>
    <w:rsid w:val="00A62C70"/>
    <w:rsid w:val="00A62D1C"/>
    <w:rsid w:val="00A631CB"/>
    <w:rsid w:val="00A635B9"/>
    <w:rsid w:val="00A63BE1"/>
    <w:rsid w:val="00A63E97"/>
    <w:rsid w:val="00A64E9E"/>
    <w:rsid w:val="00A65ACD"/>
    <w:rsid w:val="00A65F9F"/>
    <w:rsid w:val="00A66795"/>
    <w:rsid w:val="00A66F14"/>
    <w:rsid w:val="00A66F7A"/>
    <w:rsid w:val="00A67910"/>
    <w:rsid w:val="00A71867"/>
    <w:rsid w:val="00A72625"/>
    <w:rsid w:val="00A726AB"/>
    <w:rsid w:val="00A72C1A"/>
    <w:rsid w:val="00A73D46"/>
    <w:rsid w:val="00A7423E"/>
    <w:rsid w:val="00A747DD"/>
    <w:rsid w:val="00A74CF1"/>
    <w:rsid w:val="00A7667D"/>
    <w:rsid w:val="00A76AE7"/>
    <w:rsid w:val="00A770B0"/>
    <w:rsid w:val="00A8041B"/>
    <w:rsid w:val="00A805B7"/>
    <w:rsid w:val="00A809C7"/>
    <w:rsid w:val="00A81194"/>
    <w:rsid w:val="00A81BA4"/>
    <w:rsid w:val="00A81E5A"/>
    <w:rsid w:val="00A83319"/>
    <w:rsid w:val="00A83EA3"/>
    <w:rsid w:val="00A866D9"/>
    <w:rsid w:val="00A8697D"/>
    <w:rsid w:val="00A86C6C"/>
    <w:rsid w:val="00A91B85"/>
    <w:rsid w:val="00A92BCE"/>
    <w:rsid w:val="00A92E4E"/>
    <w:rsid w:val="00A9368C"/>
    <w:rsid w:val="00A93E59"/>
    <w:rsid w:val="00A93FD2"/>
    <w:rsid w:val="00A94329"/>
    <w:rsid w:val="00A948B7"/>
    <w:rsid w:val="00A961F4"/>
    <w:rsid w:val="00A9657A"/>
    <w:rsid w:val="00A968ED"/>
    <w:rsid w:val="00AA0080"/>
    <w:rsid w:val="00AA0631"/>
    <w:rsid w:val="00AA0D98"/>
    <w:rsid w:val="00AA1689"/>
    <w:rsid w:val="00AA33EF"/>
    <w:rsid w:val="00AA384E"/>
    <w:rsid w:val="00AA3AD7"/>
    <w:rsid w:val="00AA3C43"/>
    <w:rsid w:val="00AA4315"/>
    <w:rsid w:val="00AA4F67"/>
    <w:rsid w:val="00AA5C11"/>
    <w:rsid w:val="00AA64C4"/>
    <w:rsid w:val="00AA6945"/>
    <w:rsid w:val="00AA7680"/>
    <w:rsid w:val="00AA799C"/>
    <w:rsid w:val="00AA7E15"/>
    <w:rsid w:val="00AB0321"/>
    <w:rsid w:val="00AB11F1"/>
    <w:rsid w:val="00AB2377"/>
    <w:rsid w:val="00AB2542"/>
    <w:rsid w:val="00AB4B4D"/>
    <w:rsid w:val="00AB4B82"/>
    <w:rsid w:val="00AB7691"/>
    <w:rsid w:val="00AC02C2"/>
    <w:rsid w:val="00AC0DEC"/>
    <w:rsid w:val="00AC12B6"/>
    <w:rsid w:val="00AC2EF4"/>
    <w:rsid w:val="00AC349D"/>
    <w:rsid w:val="00AC3BE1"/>
    <w:rsid w:val="00AC3C0E"/>
    <w:rsid w:val="00AC5C92"/>
    <w:rsid w:val="00AC602C"/>
    <w:rsid w:val="00AC6CDA"/>
    <w:rsid w:val="00AC79F3"/>
    <w:rsid w:val="00AD1589"/>
    <w:rsid w:val="00AD15B6"/>
    <w:rsid w:val="00AD2298"/>
    <w:rsid w:val="00AD3B2A"/>
    <w:rsid w:val="00AD4603"/>
    <w:rsid w:val="00AD4C27"/>
    <w:rsid w:val="00AD6152"/>
    <w:rsid w:val="00AD696F"/>
    <w:rsid w:val="00AD6A24"/>
    <w:rsid w:val="00AD738C"/>
    <w:rsid w:val="00AD7558"/>
    <w:rsid w:val="00AD7AAE"/>
    <w:rsid w:val="00AD7CE1"/>
    <w:rsid w:val="00AE0232"/>
    <w:rsid w:val="00AE0390"/>
    <w:rsid w:val="00AE054D"/>
    <w:rsid w:val="00AE0AF6"/>
    <w:rsid w:val="00AE1329"/>
    <w:rsid w:val="00AE3140"/>
    <w:rsid w:val="00AE3511"/>
    <w:rsid w:val="00AE3762"/>
    <w:rsid w:val="00AE415F"/>
    <w:rsid w:val="00AE4AC7"/>
    <w:rsid w:val="00AE4B20"/>
    <w:rsid w:val="00AE552F"/>
    <w:rsid w:val="00AE565D"/>
    <w:rsid w:val="00AE5DC2"/>
    <w:rsid w:val="00AE5E9A"/>
    <w:rsid w:val="00AE6374"/>
    <w:rsid w:val="00AE6578"/>
    <w:rsid w:val="00AE6840"/>
    <w:rsid w:val="00AE70EE"/>
    <w:rsid w:val="00AF0DF8"/>
    <w:rsid w:val="00AF0FFF"/>
    <w:rsid w:val="00AF1E24"/>
    <w:rsid w:val="00AF1ED9"/>
    <w:rsid w:val="00AF217D"/>
    <w:rsid w:val="00AF314A"/>
    <w:rsid w:val="00AF3171"/>
    <w:rsid w:val="00AF340C"/>
    <w:rsid w:val="00AF3FB9"/>
    <w:rsid w:val="00AF4392"/>
    <w:rsid w:val="00AF6124"/>
    <w:rsid w:val="00AF76FB"/>
    <w:rsid w:val="00AF7C47"/>
    <w:rsid w:val="00B003B3"/>
    <w:rsid w:val="00B00A78"/>
    <w:rsid w:val="00B035CB"/>
    <w:rsid w:val="00B04500"/>
    <w:rsid w:val="00B04790"/>
    <w:rsid w:val="00B04893"/>
    <w:rsid w:val="00B04B28"/>
    <w:rsid w:val="00B05420"/>
    <w:rsid w:val="00B07A95"/>
    <w:rsid w:val="00B104E0"/>
    <w:rsid w:val="00B127EB"/>
    <w:rsid w:val="00B12EAB"/>
    <w:rsid w:val="00B1320E"/>
    <w:rsid w:val="00B1410E"/>
    <w:rsid w:val="00B145FF"/>
    <w:rsid w:val="00B14905"/>
    <w:rsid w:val="00B155F9"/>
    <w:rsid w:val="00B15D5F"/>
    <w:rsid w:val="00B17F5D"/>
    <w:rsid w:val="00B21AFF"/>
    <w:rsid w:val="00B22226"/>
    <w:rsid w:val="00B242CC"/>
    <w:rsid w:val="00B24E2F"/>
    <w:rsid w:val="00B259D4"/>
    <w:rsid w:val="00B26102"/>
    <w:rsid w:val="00B268CB"/>
    <w:rsid w:val="00B269AD"/>
    <w:rsid w:val="00B2742C"/>
    <w:rsid w:val="00B27903"/>
    <w:rsid w:val="00B3039C"/>
    <w:rsid w:val="00B31496"/>
    <w:rsid w:val="00B31576"/>
    <w:rsid w:val="00B315DC"/>
    <w:rsid w:val="00B325C2"/>
    <w:rsid w:val="00B33016"/>
    <w:rsid w:val="00B33F1F"/>
    <w:rsid w:val="00B344B4"/>
    <w:rsid w:val="00B34613"/>
    <w:rsid w:val="00B3462B"/>
    <w:rsid w:val="00B34C90"/>
    <w:rsid w:val="00B3505F"/>
    <w:rsid w:val="00B35A27"/>
    <w:rsid w:val="00B35B7D"/>
    <w:rsid w:val="00B35D4C"/>
    <w:rsid w:val="00B36274"/>
    <w:rsid w:val="00B3627D"/>
    <w:rsid w:val="00B362EE"/>
    <w:rsid w:val="00B3709B"/>
    <w:rsid w:val="00B37B93"/>
    <w:rsid w:val="00B4008B"/>
    <w:rsid w:val="00B403AE"/>
    <w:rsid w:val="00B41A54"/>
    <w:rsid w:val="00B41B1E"/>
    <w:rsid w:val="00B41B65"/>
    <w:rsid w:val="00B42E8B"/>
    <w:rsid w:val="00B43355"/>
    <w:rsid w:val="00B43D82"/>
    <w:rsid w:val="00B445CC"/>
    <w:rsid w:val="00B44799"/>
    <w:rsid w:val="00B44D8B"/>
    <w:rsid w:val="00B45F13"/>
    <w:rsid w:val="00B45FB8"/>
    <w:rsid w:val="00B4624F"/>
    <w:rsid w:val="00B462B2"/>
    <w:rsid w:val="00B46F29"/>
    <w:rsid w:val="00B5006C"/>
    <w:rsid w:val="00B50625"/>
    <w:rsid w:val="00B51818"/>
    <w:rsid w:val="00B51C1E"/>
    <w:rsid w:val="00B520B6"/>
    <w:rsid w:val="00B52828"/>
    <w:rsid w:val="00B52E3F"/>
    <w:rsid w:val="00B54F6B"/>
    <w:rsid w:val="00B558CB"/>
    <w:rsid w:val="00B5609D"/>
    <w:rsid w:val="00B57856"/>
    <w:rsid w:val="00B57CFB"/>
    <w:rsid w:val="00B609AB"/>
    <w:rsid w:val="00B60BC9"/>
    <w:rsid w:val="00B61C6D"/>
    <w:rsid w:val="00B622B6"/>
    <w:rsid w:val="00B624BD"/>
    <w:rsid w:val="00B62648"/>
    <w:rsid w:val="00B626D5"/>
    <w:rsid w:val="00B63291"/>
    <w:rsid w:val="00B64938"/>
    <w:rsid w:val="00B64FE0"/>
    <w:rsid w:val="00B6545A"/>
    <w:rsid w:val="00B66390"/>
    <w:rsid w:val="00B6668E"/>
    <w:rsid w:val="00B66A73"/>
    <w:rsid w:val="00B66E0B"/>
    <w:rsid w:val="00B67818"/>
    <w:rsid w:val="00B67F89"/>
    <w:rsid w:val="00B71114"/>
    <w:rsid w:val="00B7159C"/>
    <w:rsid w:val="00B71A30"/>
    <w:rsid w:val="00B72642"/>
    <w:rsid w:val="00B7283C"/>
    <w:rsid w:val="00B72A57"/>
    <w:rsid w:val="00B74173"/>
    <w:rsid w:val="00B74EBB"/>
    <w:rsid w:val="00B750A7"/>
    <w:rsid w:val="00B75214"/>
    <w:rsid w:val="00B75546"/>
    <w:rsid w:val="00B75670"/>
    <w:rsid w:val="00B75E59"/>
    <w:rsid w:val="00B76E1E"/>
    <w:rsid w:val="00B76FAD"/>
    <w:rsid w:val="00B773C0"/>
    <w:rsid w:val="00B77795"/>
    <w:rsid w:val="00B77A67"/>
    <w:rsid w:val="00B77D3D"/>
    <w:rsid w:val="00B81278"/>
    <w:rsid w:val="00B81DB1"/>
    <w:rsid w:val="00B833D5"/>
    <w:rsid w:val="00B836F3"/>
    <w:rsid w:val="00B83B03"/>
    <w:rsid w:val="00B84168"/>
    <w:rsid w:val="00B841E0"/>
    <w:rsid w:val="00B8517B"/>
    <w:rsid w:val="00B87389"/>
    <w:rsid w:val="00B9027D"/>
    <w:rsid w:val="00B9085D"/>
    <w:rsid w:val="00B920FC"/>
    <w:rsid w:val="00B92212"/>
    <w:rsid w:val="00B923E3"/>
    <w:rsid w:val="00B92AA8"/>
    <w:rsid w:val="00B92D4E"/>
    <w:rsid w:val="00B9350E"/>
    <w:rsid w:val="00B94349"/>
    <w:rsid w:val="00B95854"/>
    <w:rsid w:val="00B96982"/>
    <w:rsid w:val="00B96E69"/>
    <w:rsid w:val="00B977C4"/>
    <w:rsid w:val="00BA008B"/>
    <w:rsid w:val="00BA062C"/>
    <w:rsid w:val="00BA0F24"/>
    <w:rsid w:val="00BA266E"/>
    <w:rsid w:val="00BA3058"/>
    <w:rsid w:val="00BA30D9"/>
    <w:rsid w:val="00BA3813"/>
    <w:rsid w:val="00BA3954"/>
    <w:rsid w:val="00BA3E4F"/>
    <w:rsid w:val="00BA4026"/>
    <w:rsid w:val="00BA4854"/>
    <w:rsid w:val="00BA4B81"/>
    <w:rsid w:val="00BA4EF8"/>
    <w:rsid w:val="00BA5085"/>
    <w:rsid w:val="00BA67E7"/>
    <w:rsid w:val="00BA6CA8"/>
    <w:rsid w:val="00BA75C0"/>
    <w:rsid w:val="00BB0A50"/>
    <w:rsid w:val="00BB0C12"/>
    <w:rsid w:val="00BB1031"/>
    <w:rsid w:val="00BB3D71"/>
    <w:rsid w:val="00BB4552"/>
    <w:rsid w:val="00BB4A2F"/>
    <w:rsid w:val="00BB64DE"/>
    <w:rsid w:val="00BB7ED3"/>
    <w:rsid w:val="00BC0C16"/>
    <w:rsid w:val="00BC1767"/>
    <w:rsid w:val="00BC2194"/>
    <w:rsid w:val="00BC3186"/>
    <w:rsid w:val="00BC3C13"/>
    <w:rsid w:val="00BC4282"/>
    <w:rsid w:val="00BC43E1"/>
    <w:rsid w:val="00BC46DD"/>
    <w:rsid w:val="00BC61C5"/>
    <w:rsid w:val="00BC6B48"/>
    <w:rsid w:val="00BC6C37"/>
    <w:rsid w:val="00BC730F"/>
    <w:rsid w:val="00BC73CC"/>
    <w:rsid w:val="00BC7E65"/>
    <w:rsid w:val="00BD01FF"/>
    <w:rsid w:val="00BD0B74"/>
    <w:rsid w:val="00BD0FF0"/>
    <w:rsid w:val="00BD11E6"/>
    <w:rsid w:val="00BD1334"/>
    <w:rsid w:val="00BD2398"/>
    <w:rsid w:val="00BD2E23"/>
    <w:rsid w:val="00BD38C2"/>
    <w:rsid w:val="00BD4A31"/>
    <w:rsid w:val="00BD4EDE"/>
    <w:rsid w:val="00BD50E7"/>
    <w:rsid w:val="00BD5852"/>
    <w:rsid w:val="00BD6130"/>
    <w:rsid w:val="00BD6B1C"/>
    <w:rsid w:val="00BD719E"/>
    <w:rsid w:val="00BD7F8F"/>
    <w:rsid w:val="00BE0A64"/>
    <w:rsid w:val="00BE1E61"/>
    <w:rsid w:val="00BE3874"/>
    <w:rsid w:val="00BE3C7F"/>
    <w:rsid w:val="00BE42A4"/>
    <w:rsid w:val="00BE46DA"/>
    <w:rsid w:val="00BE4B4B"/>
    <w:rsid w:val="00BE5238"/>
    <w:rsid w:val="00BE5EF3"/>
    <w:rsid w:val="00BE67F4"/>
    <w:rsid w:val="00BE6CA4"/>
    <w:rsid w:val="00BE6FC3"/>
    <w:rsid w:val="00BE7544"/>
    <w:rsid w:val="00BE7B8E"/>
    <w:rsid w:val="00BE7F9D"/>
    <w:rsid w:val="00BF091F"/>
    <w:rsid w:val="00BF0E95"/>
    <w:rsid w:val="00BF1AF5"/>
    <w:rsid w:val="00BF2A0C"/>
    <w:rsid w:val="00BF2D9F"/>
    <w:rsid w:val="00BF34A7"/>
    <w:rsid w:val="00BF4175"/>
    <w:rsid w:val="00BF6A93"/>
    <w:rsid w:val="00BF7B36"/>
    <w:rsid w:val="00C00203"/>
    <w:rsid w:val="00C00A6A"/>
    <w:rsid w:val="00C00BFD"/>
    <w:rsid w:val="00C010EA"/>
    <w:rsid w:val="00C01463"/>
    <w:rsid w:val="00C017A6"/>
    <w:rsid w:val="00C03307"/>
    <w:rsid w:val="00C03847"/>
    <w:rsid w:val="00C038D8"/>
    <w:rsid w:val="00C0451A"/>
    <w:rsid w:val="00C04D4E"/>
    <w:rsid w:val="00C06493"/>
    <w:rsid w:val="00C07777"/>
    <w:rsid w:val="00C10808"/>
    <w:rsid w:val="00C11357"/>
    <w:rsid w:val="00C11AF3"/>
    <w:rsid w:val="00C11B1A"/>
    <w:rsid w:val="00C122BB"/>
    <w:rsid w:val="00C129D4"/>
    <w:rsid w:val="00C12DE9"/>
    <w:rsid w:val="00C12E28"/>
    <w:rsid w:val="00C1409F"/>
    <w:rsid w:val="00C150EA"/>
    <w:rsid w:val="00C15105"/>
    <w:rsid w:val="00C15257"/>
    <w:rsid w:val="00C154CB"/>
    <w:rsid w:val="00C17588"/>
    <w:rsid w:val="00C207F6"/>
    <w:rsid w:val="00C214A6"/>
    <w:rsid w:val="00C21B2A"/>
    <w:rsid w:val="00C21EBE"/>
    <w:rsid w:val="00C22354"/>
    <w:rsid w:val="00C22491"/>
    <w:rsid w:val="00C22617"/>
    <w:rsid w:val="00C22757"/>
    <w:rsid w:val="00C23C7D"/>
    <w:rsid w:val="00C24009"/>
    <w:rsid w:val="00C24E6A"/>
    <w:rsid w:val="00C2509B"/>
    <w:rsid w:val="00C2695E"/>
    <w:rsid w:val="00C26A83"/>
    <w:rsid w:val="00C26BF4"/>
    <w:rsid w:val="00C26C97"/>
    <w:rsid w:val="00C2751D"/>
    <w:rsid w:val="00C27F64"/>
    <w:rsid w:val="00C331BB"/>
    <w:rsid w:val="00C33CD0"/>
    <w:rsid w:val="00C348CA"/>
    <w:rsid w:val="00C34CEE"/>
    <w:rsid w:val="00C34DCB"/>
    <w:rsid w:val="00C3546E"/>
    <w:rsid w:val="00C35E8F"/>
    <w:rsid w:val="00C36D61"/>
    <w:rsid w:val="00C37838"/>
    <w:rsid w:val="00C40957"/>
    <w:rsid w:val="00C40D77"/>
    <w:rsid w:val="00C42B7D"/>
    <w:rsid w:val="00C42C7D"/>
    <w:rsid w:val="00C4362B"/>
    <w:rsid w:val="00C43849"/>
    <w:rsid w:val="00C43B9A"/>
    <w:rsid w:val="00C4428E"/>
    <w:rsid w:val="00C4453B"/>
    <w:rsid w:val="00C44C31"/>
    <w:rsid w:val="00C44CCF"/>
    <w:rsid w:val="00C4561F"/>
    <w:rsid w:val="00C4564D"/>
    <w:rsid w:val="00C45F8D"/>
    <w:rsid w:val="00C46B20"/>
    <w:rsid w:val="00C46F8D"/>
    <w:rsid w:val="00C47EAE"/>
    <w:rsid w:val="00C47FEF"/>
    <w:rsid w:val="00C50AE4"/>
    <w:rsid w:val="00C51DEA"/>
    <w:rsid w:val="00C51FE0"/>
    <w:rsid w:val="00C52731"/>
    <w:rsid w:val="00C537D0"/>
    <w:rsid w:val="00C544F0"/>
    <w:rsid w:val="00C54F60"/>
    <w:rsid w:val="00C55958"/>
    <w:rsid w:val="00C55987"/>
    <w:rsid w:val="00C5708F"/>
    <w:rsid w:val="00C602EE"/>
    <w:rsid w:val="00C61FED"/>
    <w:rsid w:val="00C62E60"/>
    <w:rsid w:val="00C62F04"/>
    <w:rsid w:val="00C64905"/>
    <w:rsid w:val="00C64CF6"/>
    <w:rsid w:val="00C65A64"/>
    <w:rsid w:val="00C66144"/>
    <w:rsid w:val="00C66EE3"/>
    <w:rsid w:val="00C67020"/>
    <w:rsid w:val="00C675CE"/>
    <w:rsid w:val="00C67979"/>
    <w:rsid w:val="00C67C13"/>
    <w:rsid w:val="00C72622"/>
    <w:rsid w:val="00C72F53"/>
    <w:rsid w:val="00C73512"/>
    <w:rsid w:val="00C73780"/>
    <w:rsid w:val="00C73A3F"/>
    <w:rsid w:val="00C74D9E"/>
    <w:rsid w:val="00C7553C"/>
    <w:rsid w:val="00C75568"/>
    <w:rsid w:val="00C76880"/>
    <w:rsid w:val="00C768F5"/>
    <w:rsid w:val="00C76A96"/>
    <w:rsid w:val="00C76D6F"/>
    <w:rsid w:val="00C804EE"/>
    <w:rsid w:val="00C81AB0"/>
    <w:rsid w:val="00C81AB2"/>
    <w:rsid w:val="00C82C9D"/>
    <w:rsid w:val="00C8302A"/>
    <w:rsid w:val="00C83410"/>
    <w:rsid w:val="00C83436"/>
    <w:rsid w:val="00C8370C"/>
    <w:rsid w:val="00C83D98"/>
    <w:rsid w:val="00C8413E"/>
    <w:rsid w:val="00C84220"/>
    <w:rsid w:val="00C84229"/>
    <w:rsid w:val="00C85685"/>
    <w:rsid w:val="00C85EDB"/>
    <w:rsid w:val="00C85FB4"/>
    <w:rsid w:val="00C862E8"/>
    <w:rsid w:val="00C8681E"/>
    <w:rsid w:val="00C86ED5"/>
    <w:rsid w:val="00C877D9"/>
    <w:rsid w:val="00C879F9"/>
    <w:rsid w:val="00C87A11"/>
    <w:rsid w:val="00C910A1"/>
    <w:rsid w:val="00C933B3"/>
    <w:rsid w:val="00C940B2"/>
    <w:rsid w:val="00C95400"/>
    <w:rsid w:val="00C95E6A"/>
    <w:rsid w:val="00C961BB"/>
    <w:rsid w:val="00C96217"/>
    <w:rsid w:val="00C96DF4"/>
    <w:rsid w:val="00C96E1F"/>
    <w:rsid w:val="00C97222"/>
    <w:rsid w:val="00CA0218"/>
    <w:rsid w:val="00CA0B3F"/>
    <w:rsid w:val="00CA155F"/>
    <w:rsid w:val="00CA2A32"/>
    <w:rsid w:val="00CA2EB9"/>
    <w:rsid w:val="00CA37EE"/>
    <w:rsid w:val="00CA3B41"/>
    <w:rsid w:val="00CA51FE"/>
    <w:rsid w:val="00CA56BE"/>
    <w:rsid w:val="00CA6233"/>
    <w:rsid w:val="00CA66E8"/>
    <w:rsid w:val="00CA6B0F"/>
    <w:rsid w:val="00CA74EB"/>
    <w:rsid w:val="00CA7E2D"/>
    <w:rsid w:val="00CB0C90"/>
    <w:rsid w:val="00CB0FFA"/>
    <w:rsid w:val="00CB1A5C"/>
    <w:rsid w:val="00CB22FD"/>
    <w:rsid w:val="00CB268E"/>
    <w:rsid w:val="00CB469B"/>
    <w:rsid w:val="00CB5C3C"/>
    <w:rsid w:val="00CB65D9"/>
    <w:rsid w:val="00CB6C1B"/>
    <w:rsid w:val="00CB7081"/>
    <w:rsid w:val="00CB72CF"/>
    <w:rsid w:val="00CB7CB7"/>
    <w:rsid w:val="00CC04DD"/>
    <w:rsid w:val="00CC2082"/>
    <w:rsid w:val="00CC23EA"/>
    <w:rsid w:val="00CC2EBF"/>
    <w:rsid w:val="00CC47BB"/>
    <w:rsid w:val="00CC4955"/>
    <w:rsid w:val="00CC5750"/>
    <w:rsid w:val="00CC5B64"/>
    <w:rsid w:val="00CC7147"/>
    <w:rsid w:val="00CC77B8"/>
    <w:rsid w:val="00CD0C79"/>
    <w:rsid w:val="00CD0F12"/>
    <w:rsid w:val="00CD20D6"/>
    <w:rsid w:val="00CD3FDC"/>
    <w:rsid w:val="00CD4419"/>
    <w:rsid w:val="00CD6D99"/>
    <w:rsid w:val="00CE1037"/>
    <w:rsid w:val="00CE18D7"/>
    <w:rsid w:val="00CE21A1"/>
    <w:rsid w:val="00CE3B7D"/>
    <w:rsid w:val="00CE3CE9"/>
    <w:rsid w:val="00CE4F7E"/>
    <w:rsid w:val="00CE55F8"/>
    <w:rsid w:val="00CE57D3"/>
    <w:rsid w:val="00CE5ED1"/>
    <w:rsid w:val="00CE6989"/>
    <w:rsid w:val="00CE6A39"/>
    <w:rsid w:val="00CE6B79"/>
    <w:rsid w:val="00CE6F58"/>
    <w:rsid w:val="00CE77A2"/>
    <w:rsid w:val="00CE78AF"/>
    <w:rsid w:val="00CF04D9"/>
    <w:rsid w:val="00CF06E3"/>
    <w:rsid w:val="00CF11EA"/>
    <w:rsid w:val="00CF1986"/>
    <w:rsid w:val="00CF1DFA"/>
    <w:rsid w:val="00CF3546"/>
    <w:rsid w:val="00CF597B"/>
    <w:rsid w:val="00CF5A39"/>
    <w:rsid w:val="00CF5F06"/>
    <w:rsid w:val="00CF6C2C"/>
    <w:rsid w:val="00CF6F85"/>
    <w:rsid w:val="00CF7F2E"/>
    <w:rsid w:val="00D008AC"/>
    <w:rsid w:val="00D00B04"/>
    <w:rsid w:val="00D00B53"/>
    <w:rsid w:val="00D00D9F"/>
    <w:rsid w:val="00D016B7"/>
    <w:rsid w:val="00D02453"/>
    <w:rsid w:val="00D024B1"/>
    <w:rsid w:val="00D02764"/>
    <w:rsid w:val="00D0323C"/>
    <w:rsid w:val="00D0362F"/>
    <w:rsid w:val="00D04A2A"/>
    <w:rsid w:val="00D04BD2"/>
    <w:rsid w:val="00D05659"/>
    <w:rsid w:val="00D0585E"/>
    <w:rsid w:val="00D066CF"/>
    <w:rsid w:val="00D073EA"/>
    <w:rsid w:val="00D07783"/>
    <w:rsid w:val="00D100D0"/>
    <w:rsid w:val="00D10643"/>
    <w:rsid w:val="00D1066F"/>
    <w:rsid w:val="00D112EB"/>
    <w:rsid w:val="00D13760"/>
    <w:rsid w:val="00D13AD3"/>
    <w:rsid w:val="00D14099"/>
    <w:rsid w:val="00D141B4"/>
    <w:rsid w:val="00D143B4"/>
    <w:rsid w:val="00D14963"/>
    <w:rsid w:val="00D15A84"/>
    <w:rsid w:val="00D15EA0"/>
    <w:rsid w:val="00D15EA7"/>
    <w:rsid w:val="00D15EC6"/>
    <w:rsid w:val="00D15FFC"/>
    <w:rsid w:val="00D16099"/>
    <w:rsid w:val="00D163D2"/>
    <w:rsid w:val="00D1716A"/>
    <w:rsid w:val="00D176D4"/>
    <w:rsid w:val="00D21045"/>
    <w:rsid w:val="00D211A9"/>
    <w:rsid w:val="00D211FD"/>
    <w:rsid w:val="00D2186C"/>
    <w:rsid w:val="00D21CE4"/>
    <w:rsid w:val="00D21E0F"/>
    <w:rsid w:val="00D22BD4"/>
    <w:rsid w:val="00D22F8E"/>
    <w:rsid w:val="00D230A8"/>
    <w:rsid w:val="00D234AD"/>
    <w:rsid w:val="00D23CD0"/>
    <w:rsid w:val="00D23E0A"/>
    <w:rsid w:val="00D24176"/>
    <w:rsid w:val="00D24BB7"/>
    <w:rsid w:val="00D24F06"/>
    <w:rsid w:val="00D2542D"/>
    <w:rsid w:val="00D2586F"/>
    <w:rsid w:val="00D25B70"/>
    <w:rsid w:val="00D25D23"/>
    <w:rsid w:val="00D26673"/>
    <w:rsid w:val="00D266B7"/>
    <w:rsid w:val="00D26D5F"/>
    <w:rsid w:val="00D26D96"/>
    <w:rsid w:val="00D26EBE"/>
    <w:rsid w:val="00D27BDC"/>
    <w:rsid w:val="00D30B5B"/>
    <w:rsid w:val="00D30E4B"/>
    <w:rsid w:val="00D318B8"/>
    <w:rsid w:val="00D31E35"/>
    <w:rsid w:val="00D31F4C"/>
    <w:rsid w:val="00D32865"/>
    <w:rsid w:val="00D3326F"/>
    <w:rsid w:val="00D33C76"/>
    <w:rsid w:val="00D34967"/>
    <w:rsid w:val="00D34B85"/>
    <w:rsid w:val="00D35147"/>
    <w:rsid w:val="00D35D78"/>
    <w:rsid w:val="00D369C1"/>
    <w:rsid w:val="00D376D9"/>
    <w:rsid w:val="00D377E2"/>
    <w:rsid w:val="00D37FD2"/>
    <w:rsid w:val="00D37FF6"/>
    <w:rsid w:val="00D37FFD"/>
    <w:rsid w:val="00D40C81"/>
    <w:rsid w:val="00D4117A"/>
    <w:rsid w:val="00D41452"/>
    <w:rsid w:val="00D415F2"/>
    <w:rsid w:val="00D4225B"/>
    <w:rsid w:val="00D4228A"/>
    <w:rsid w:val="00D429F0"/>
    <w:rsid w:val="00D42C6B"/>
    <w:rsid w:val="00D430E1"/>
    <w:rsid w:val="00D433F5"/>
    <w:rsid w:val="00D43493"/>
    <w:rsid w:val="00D435DE"/>
    <w:rsid w:val="00D43E03"/>
    <w:rsid w:val="00D4555F"/>
    <w:rsid w:val="00D478EC"/>
    <w:rsid w:val="00D50497"/>
    <w:rsid w:val="00D507D3"/>
    <w:rsid w:val="00D51332"/>
    <w:rsid w:val="00D516C3"/>
    <w:rsid w:val="00D5173B"/>
    <w:rsid w:val="00D51C7A"/>
    <w:rsid w:val="00D53114"/>
    <w:rsid w:val="00D53428"/>
    <w:rsid w:val="00D537B7"/>
    <w:rsid w:val="00D53B6B"/>
    <w:rsid w:val="00D53D2C"/>
    <w:rsid w:val="00D53FC3"/>
    <w:rsid w:val="00D5563C"/>
    <w:rsid w:val="00D55743"/>
    <w:rsid w:val="00D5657E"/>
    <w:rsid w:val="00D56ABC"/>
    <w:rsid w:val="00D57799"/>
    <w:rsid w:val="00D61651"/>
    <w:rsid w:val="00D61CB1"/>
    <w:rsid w:val="00D6284D"/>
    <w:rsid w:val="00D62C85"/>
    <w:rsid w:val="00D62E53"/>
    <w:rsid w:val="00D63B41"/>
    <w:rsid w:val="00D660F6"/>
    <w:rsid w:val="00D66316"/>
    <w:rsid w:val="00D70A66"/>
    <w:rsid w:val="00D721FB"/>
    <w:rsid w:val="00D72A30"/>
    <w:rsid w:val="00D73154"/>
    <w:rsid w:val="00D733E2"/>
    <w:rsid w:val="00D736B8"/>
    <w:rsid w:val="00D73F0F"/>
    <w:rsid w:val="00D74244"/>
    <w:rsid w:val="00D7436A"/>
    <w:rsid w:val="00D74F52"/>
    <w:rsid w:val="00D755DC"/>
    <w:rsid w:val="00D757B8"/>
    <w:rsid w:val="00D76086"/>
    <w:rsid w:val="00D774EA"/>
    <w:rsid w:val="00D80D2C"/>
    <w:rsid w:val="00D81CF8"/>
    <w:rsid w:val="00D81F18"/>
    <w:rsid w:val="00D8207A"/>
    <w:rsid w:val="00D82837"/>
    <w:rsid w:val="00D83521"/>
    <w:rsid w:val="00D83F5E"/>
    <w:rsid w:val="00D84C68"/>
    <w:rsid w:val="00D8504D"/>
    <w:rsid w:val="00D85B48"/>
    <w:rsid w:val="00D85C53"/>
    <w:rsid w:val="00D8631D"/>
    <w:rsid w:val="00D865CC"/>
    <w:rsid w:val="00D866DA"/>
    <w:rsid w:val="00D86C87"/>
    <w:rsid w:val="00D86D49"/>
    <w:rsid w:val="00D87148"/>
    <w:rsid w:val="00D90E86"/>
    <w:rsid w:val="00D930B7"/>
    <w:rsid w:val="00D9347A"/>
    <w:rsid w:val="00D940A2"/>
    <w:rsid w:val="00D949FD"/>
    <w:rsid w:val="00D94A63"/>
    <w:rsid w:val="00D9575B"/>
    <w:rsid w:val="00D963E6"/>
    <w:rsid w:val="00DA082A"/>
    <w:rsid w:val="00DA21FB"/>
    <w:rsid w:val="00DA2E27"/>
    <w:rsid w:val="00DA2FD5"/>
    <w:rsid w:val="00DA42AE"/>
    <w:rsid w:val="00DA5C5E"/>
    <w:rsid w:val="00DA5DF7"/>
    <w:rsid w:val="00DA66A1"/>
    <w:rsid w:val="00DA6987"/>
    <w:rsid w:val="00DA7270"/>
    <w:rsid w:val="00DA7322"/>
    <w:rsid w:val="00DA7DB6"/>
    <w:rsid w:val="00DB009C"/>
    <w:rsid w:val="00DB0749"/>
    <w:rsid w:val="00DB0ADD"/>
    <w:rsid w:val="00DB10E5"/>
    <w:rsid w:val="00DB20F7"/>
    <w:rsid w:val="00DB28BB"/>
    <w:rsid w:val="00DB2DBE"/>
    <w:rsid w:val="00DB40A3"/>
    <w:rsid w:val="00DB426A"/>
    <w:rsid w:val="00DB436E"/>
    <w:rsid w:val="00DB453E"/>
    <w:rsid w:val="00DB558B"/>
    <w:rsid w:val="00DB55A8"/>
    <w:rsid w:val="00DB6689"/>
    <w:rsid w:val="00DB6A97"/>
    <w:rsid w:val="00DB74B8"/>
    <w:rsid w:val="00DC0081"/>
    <w:rsid w:val="00DC0795"/>
    <w:rsid w:val="00DC0EA0"/>
    <w:rsid w:val="00DC1732"/>
    <w:rsid w:val="00DC2666"/>
    <w:rsid w:val="00DC3862"/>
    <w:rsid w:val="00DC3C1B"/>
    <w:rsid w:val="00DC465F"/>
    <w:rsid w:val="00DC4749"/>
    <w:rsid w:val="00DC4EDF"/>
    <w:rsid w:val="00DC5FB8"/>
    <w:rsid w:val="00DC7E41"/>
    <w:rsid w:val="00DD0BE4"/>
    <w:rsid w:val="00DD1087"/>
    <w:rsid w:val="00DD1994"/>
    <w:rsid w:val="00DD2952"/>
    <w:rsid w:val="00DD3014"/>
    <w:rsid w:val="00DD31DC"/>
    <w:rsid w:val="00DD3344"/>
    <w:rsid w:val="00DD39D6"/>
    <w:rsid w:val="00DD449E"/>
    <w:rsid w:val="00DD4D52"/>
    <w:rsid w:val="00DD58D4"/>
    <w:rsid w:val="00DD5F3F"/>
    <w:rsid w:val="00DD6BDF"/>
    <w:rsid w:val="00DD7516"/>
    <w:rsid w:val="00DD7554"/>
    <w:rsid w:val="00DD7BE0"/>
    <w:rsid w:val="00DE07FF"/>
    <w:rsid w:val="00DE1AB1"/>
    <w:rsid w:val="00DE3C34"/>
    <w:rsid w:val="00DE3E9B"/>
    <w:rsid w:val="00DE41B8"/>
    <w:rsid w:val="00DE43AD"/>
    <w:rsid w:val="00DE47F8"/>
    <w:rsid w:val="00DE4F8D"/>
    <w:rsid w:val="00DE5C2C"/>
    <w:rsid w:val="00DE6DAC"/>
    <w:rsid w:val="00DF1155"/>
    <w:rsid w:val="00DF12B0"/>
    <w:rsid w:val="00DF23DB"/>
    <w:rsid w:val="00DF2C1A"/>
    <w:rsid w:val="00DF2DE8"/>
    <w:rsid w:val="00DF33BC"/>
    <w:rsid w:val="00DF3427"/>
    <w:rsid w:val="00DF343C"/>
    <w:rsid w:val="00DF43ED"/>
    <w:rsid w:val="00DF451C"/>
    <w:rsid w:val="00DF4AE9"/>
    <w:rsid w:val="00DF5948"/>
    <w:rsid w:val="00DF60B7"/>
    <w:rsid w:val="00DF685D"/>
    <w:rsid w:val="00DF68C0"/>
    <w:rsid w:val="00DF691E"/>
    <w:rsid w:val="00DF7BA5"/>
    <w:rsid w:val="00DF7E24"/>
    <w:rsid w:val="00E01D57"/>
    <w:rsid w:val="00E0211D"/>
    <w:rsid w:val="00E02240"/>
    <w:rsid w:val="00E0303A"/>
    <w:rsid w:val="00E03433"/>
    <w:rsid w:val="00E05789"/>
    <w:rsid w:val="00E0587D"/>
    <w:rsid w:val="00E068E1"/>
    <w:rsid w:val="00E06E4B"/>
    <w:rsid w:val="00E0703A"/>
    <w:rsid w:val="00E07C2D"/>
    <w:rsid w:val="00E11504"/>
    <w:rsid w:val="00E11643"/>
    <w:rsid w:val="00E125DB"/>
    <w:rsid w:val="00E12BDB"/>
    <w:rsid w:val="00E1382C"/>
    <w:rsid w:val="00E14EBE"/>
    <w:rsid w:val="00E1786F"/>
    <w:rsid w:val="00E207FA"/>
    <w:rsid w:val="00E20CEC"/>
    <w:rsid w:val="00E2112B"/>
    <w:rsid w:val="00E218F3"/>
    <w:rsid w:val="00E222A5"/>
    <w:rsid w:val="00E22557"/>
    <w:rsid w:val="00E22565"/>
    <w:rsid w:val="00E22B29"/>
    <w:rsid w:val="00E23795"/>
    <w:rsid w:val="00E239EF"/>
    <w:rsid w:val="00E23B9B"/>
    <w:rsid w:val="00E24B52"/>
    <w:rsid w:val="00E24E9D"/>
    <w:rsid w:val="00E25992"/>
    <w:rsid w:val="00E25B2B"/>
    <w:rsid w:val="00E25E77"/>
    <w:rsid w:val="00E31161"/>
    <w:rsid w:val="00E322C5"/>
    <w:rsid w:val="00E33E29"/>
    <w:rsid w:val="00E34731"/>
    <w:rsid w:val="00E34947"/>
    <w:rsid w:val="00E35261"/>
    <w:rsid w:val="00E36ADD"/>
    <w:rsid w:val="00E36B6D"/>
    <w:rsid w:val="00E37B8D"/>
    <w:rsid w:val="00E41A96"/>
    <w:rsid w:val="00E44417"/>
    <w:rsid w:val="00E44DEB"/>
    <w:rsid w:val="00E4642E"/>
    <w:rsid w:val="00E47378"/>
    <w:rsid w:val="00E4739B"/>
    <w:rsid w:val="00E47DCE"/>
    <w:rsid w:val="00E501E0"/>
    <w:rsid w:val="00E508F9"/>
    <w:rsid w:val="00E520A2"/>
    <w:rsid w:val="00E522B3"/>
    <w:rsid w:val="00E5259C"/>
    <w:rsid w:val="00E53544"/>
    <w:rsid w:val="00E53B12"/>
    <w:rsid w:val="00E541D0"/>
    <w:rsid w:val="00E553C6"/>
    <w:rsid w:val="00E55956"/>
    <w:rsid w:val="00E5621B"/>
    <w:rsid w:val="00E56A3E"/>
    <w:rsid w:val="00E57F7E"/>
    <w:rsid w:val="00E617B7"/>
    <w:rsid w:val="00E625FD"/>
    <w:rsid w:val="00E62970"/>
    <w:rsid w:val="00E63293"/>
    <w:rsid w:val="00E632D7"/>
    <w:rsid w:val="00E6375A"/>
    <w:rsid w:val="00E65D07"/>
    <w:rsid w:val="00E67291"/>
    <w:rsid w:val="00E71600"/>
    <w:rsid w:val="00E71C04"/>
    <w:rsid w:val="00E72B0C"/>
    <w:rsid w:val="00E72CFB"/>
    <w:rsid w:val="00E730D8"/>
    <w:rsid w:val="00E735D9"/>
    <w:rsid w:val="00E73A56"/>
    <w:rsid w:val="00E73CF2"/>
    <w:rsid w:val="00E755F5"/>
    <w:rsid w:val="00E7583A"/>
    <w:rsid w:val="00E801AB"/>
    <w:rsid w:val="00E80733"/>
    <w:rsid w:val="00E81B66"/>
    <w:rsid w:val="00E82F1B"/>
    <w:rsid w:val="00E84029"/>
    <w:rsid w:val="00E8471B"/>
    <w:rsid w:val="00E86945"/>
    <w:rsid w:val="00E86ACD"/>
    <w:rsid w:val="00E86D2D"/>
    <w:rsid w:val="00E86D8D"/>
    <w:rsid w:val="00E905D2"/>
    <w:rsid w:val="00E909C4"/>
    <w:rsid w:val="00E909DE"/>
    <w:rsid w:val="00E90EC3"/>
    <w:rsid w:val="00E9137C"/>
    <w:rsid w:val="00E914A8"/>
    <w:rsid w:val="00E92A03"/>
    <w:rsid w:val="00E92C95"/>
    <w:rsid w:val="00E92E96"/>
    <w:rsid w:val="00E92FF2"/>
    <w:rsid w:val="00E93652"/>
    <w:rsid w:val="00E937CB"/>
    <w:rsid w:val="00E93A75"/>
    <w:rsid w:val="00E95548"/>
    <w:rsid w:val="00E95CB4"/>
    <w:rsid w:val="00E96D0A"/>
    <w:rsid w:val="00E96EBF"/>
    <w:rsid w:val="00E97073"/>
    <w:rsid w:val="00EA0C7D"/>
    <w:rsid w:val="00EA1C47"/>
    <w:rsid w:val="00EA4409"/>
    <w:rsid w:val="00EA44E2"/>
    <w:rsid w:val="00EA611F"/>
    <w:rsid w:val="00EA6767"/>
    <w:rsid w:val="00EA6CF1"/>
    <w:rsid w:val="00EA6E15"/>
    <w:rsid w:val="00EA7E8F"/>
    <w:rsid w:val="00EB0086"/>
    <w:rsid w:val="00EB0430"/>
    <w:rsid w:val="00EB0743"/>
    <w:rsid w:val="00EB1311"/>
    <w:rsid w:val="00EB265A"/>
    <w:rsid w:val="00EB2D46"/>
    <w:rsid w:val="00EB450D"/>
    <w:rsid w:val="00EB46A0"/>
    <w:rsid w:val="00EB48E2"/>
    <w:rsid w:val="00EB504E"/>
    <w:rsid w:val="00EB57A8"/>
    <w:rsid w:val="00EB5809"/>
    <w:rsid w:val="00EB607F"/>
    <w:rsid w:val="00EC0A23"/>
    <w:rsid w:val="00EC0B2A"/>
    <w:rsid w:val="00EC1159"/>
    <w:rsid w:val="00EC116B"/>
    <w:rsid w:val="00EC150C"/>
    <w:rsid w:val="00EC1EC7"/>
    <w:rsid w:val="00EC227D"/>
    <w:rsid w:val="00EC3DC3"/>
    <w:rsid w:val="00EC4331"/>
    <w:rsid w:val="00EC493E"/>
    <w:rsid w:val="00EC5C35"/>
    <w:rsid w:val="00EC69FB"/>
    <w:rsid w:val="00EC731D"/>
    <w:rsid w:val="00ED0190"/>
    <w:rsid w:val="00ED05CA"/>
    <w:rsid w:val="00ED0ACF"/>
    <w:rsid w:val="00ED0B1A"/>
    <w:rsid w:val="00ED2318"/>
    <w:rsid w:val="00ED2D1C"/>
    <w:rsid w:val="00ED2D50"/>
    <w:rsid w:val="00ED2E17"/>
    <w:rsid w:val="00ED3395"/>
    <w:rsid w:val="00ED3E9F"/>
    <w:rsid w:val="00ED5A44"/>
    <w:rsid w:val="00ED601F"/>
    <w:rsid w:val="00ED6445"/>
    <w:rsid w:val="00ED6DAC"/>
    <w:rsid w:val="00EE0175"/>
    <w:rsid w:val="00EE14FB"/>
    <w:rsid w:val="00EE2044"/>
    <w:rsid w:val="00EE244D"/>
    <w:rsid w:val="00EE2746"/>
    <w:rsid w:val="00EE2CF0"/>
    <w:rsid w:val="00EE3419"/>
    <w:rsid w:val="00EE4B94"/>
    <w:rsid w:val="00EE4DE9"/>
    <w:rsid w:val="00EE5A8A"/>
    <w:rsid w:val="00EE5BA0"/>
    <w:rsid w:val="00EE67F7"/>
    <w:rsid w:val="00EE6AA2"/>
    <w:rsid w:val="00EE6FFE"/>
    <w:rsid w:val="00EE79F4"/>
    <w:rsid w:val="00EE7B8F"/>
    <w:rsid w:val="00EF1947"/>
    <w:rsid w:val="00EF25E4"/>
    <w:rsid w:val="00EF2D25"/>
    <w:rsid w:val="00EF3E9F"/>
    <w:rsid w:val="00EF67FE"/>
    <w:rsid w:val="00EF6F92"/>
    <w:rsid w:val="00EF7D36"/>
    <w:rsid w:val="00F0145B"/>
    <w:rsid w:val="00F01EDB"/>
    <w:rsid w:val="00F02052"/>
    <w:rsid w:val="00F0253E"/>
    <w:rsid w:val="00F035F5"/>
    <w:rsid w:val="00F047FA"/>
    <w:rsid w:val="00F05108"/>
    <w:rsid w:val="00F05D3A"/>
    <w:rsid w:val="00F06067"/>
    <w:rsid w:val="00F0627D"/>
    <w:rsid w:val="00F065BD"/>
    <w:rsid w:val="00F065C5"/>
    <w:rsid w:val="00F06E30"/>
    <w:rsid w:val="00F06EF7"/>
    <w:rsid w:val="00F07214"/>
    <w:rsid w:val="00F1091C"/>
    <w:rsid w:val="00F10B47"/>
    <w:rsid w:val="00F11A32"/>
    <w:rsid w:val="00F11D65"/>
    <w:rsid w:val="00F12C80"/>
    <w:rsid w:val="00F13164"/>
    <w:rsid w:val="00F13542"/>
    <w:rsid w:val="00F13893"/>
    <w:rsid w:val="00F1446B"/>
    <w:rsid w:val="00F1451B"/>
    <w:rsid w:val="00F14895"/>
    <w:rsid w:val="00F149CE"/>
    <w:rsid w:val="00F16F98"/>
    <w:rsid w:val="00F174A9"/>
    <w:rsid w:val="00F20025"/>
    <w:rsid w:val="00F203BC"/>
    <w:rsid w:val="00F215CB"/>
    <w:rsid w:val="00F218FE"/>
    <w:rsid w:val="00F21A0C"/>
    <w:rsid w:val="00F21FA6"/>
    <w:rsid w:val="00F2474E"/>
    <w:rsid w:val="00F25269"/>
    <w:rsid w:val="00F25427"/>
    <w:rsid w:val="00F25712"/>
    <w:rsid w:val="00F26549"/>
    <w:rsid w:val="00F26ACB"/>
    <w:rsid w:val="00F270F3"/>
    <w:rsid w:val="00F27792"/>
    <w:rsid w:val="00F27AF3"/>
    <w:rsid w:val="00F27DB0"/>
    <w:rsid w:val="00F3019C"/>
    <w:rsid w:val="00F309FC"/>
    <w:rsid w:val="00F30D65"/>
    <w:rsid w:val="00F31B96"/>
    <w:rsid w:val="00F31C67"/>
    <w:rsid w:val="00F31D27"/>
    <w:rsid w:val="00F32BED"/>
    <w:rsid w:val="00F33217"/>
    <w:rsid w:val="00F343D0"/>
    <w:rsid w:val="00F34604"/>
    <w:rsid w:val="00F346FE"/>
    <w:rsid w:val="00F347E4"/>
    <w:rsid w:val="00F35FB5"/>
    <w:rsid w:val="00F36C20"/>
    <w:rsid w:val="00F36CC5"/>
    <w:rsid w:val="00F36DFC"/>
    <w:rsid w:val="00F36EF6"/>
    <w:rsid w:val="00F40449"/>
    <w:rsid w:val="00F40991"/>
    <w:rsid w:val="00F409A7"/>
    <w:rsid w:val="00F410E5"/>
    <w:rsid w:val="00F41645"/>
    <w:rsid w:val="00F41AA1"/>
    <w:rsid w:val="00F41F5E"/>
    <w:rsid w:val="00F423C8"/>
    <w:rsid w:val="00F4317D"/>
    <w:rsid w:val="00F438EB"/>
    <w:rsid w:val="00F43D0B"/>
    <w:rsid w:val="00F47977"/>
    <w:rsid w:val="00F504D9"/>
    <w:rsid w:val="00F507EB"/>
    <w:rsid w:val="00F51D50"/>
    <w:rsid w:val="00F5257D"/>
    <w:rsid w:val="00F52D0F"/>
    <w:rsid w:val="00F53006"/>
    <w:rsid w:val="00F53249"/>
    <w:rsid w:val="00F5437F"/>
    <w:rsid w:val="00F56DF7"/>
    <w:rsid w:val="00F56F07"/>
    <w:rsid w:val="00F57529"/>
    <w:rsid w:val="00F61065"/>
    <w:rsid w:val="00F61891"/>
    <w:rsid w:val="00F61C6A"/>
    <w:rsid w:val="00F61E05"/>
    <w:rsid w:val="00F630A2"/>
    <w:rsid w:val="00F63735"/>
    <w:rsid w:val="00F63ADA"/>
    <w:rsid w:val="00F64132"/>
    <w:rsid w:val="00F643D6"/>
    <w:rsid w:val="00F64782"/>
    <w:rsid w:val="00F65CCB"/>
    <w:rsid w:val="00F664B9"/>
    <w:rsid w:val="00F66511"/>
    <w:rsid w:val="00F66749"/>
    <w:rsid w:val="00F6736E"/>
    <w:rsid w:val="00F70084"/>
    <w:rsid w:val="00F70271"/>
    <w:rsid w:val="00F7032C"/>
    <w:rsid w:val="00F7106E"/>
    <w:rsid w:val="00F71357"/>
    <w:rsid w:val="00F7140C"/>
    <w:rsid w:val="00F71754"/>
    <w:rsid w:val="00F71964"/>
    <w:rsid w:val="00F72746"/>
    <w:rsid w:val="00F72DD8"/>
    <w:rsid w:val="00F73048"/>
    <w:rsid w:val="00F73512"/>
    <w:rsid w:val="00F73E57"/>
    <w:rsid w:val="00F743DB"/>
    <w:rsid w:val="00F75259"/>
    <w:rsid w:val="00F75376"/>
    <w:rsid w:val="00F77559"/>
    <w:rsid w:val="00F776D9"/>
    <w:rsid w:val="00F82BA1"/>
    <w:rsid w:val="00F84629"/>
    <w:rsid w:val="00F85068"/>
    <w:rsid w:val="00F851A9"/>
    <w:rsid w:val="00F869DD"/>
    <w:rsid w:val="00F86ECB"/>
    <w:rsid w:val="00F87BF2"/>
    <w:rsid w:val="00F87DC6"/>
    <w:rsid w:val="00F9065B"/>
    <w:rsid w:val="00F90BA2"/>
    <w:rsid w:val="00F90D22"/>
    <w:rsid w:val="00F91406"/>
    <w:rsid w:val="00F91E52"/>
    <w:rsid w:val="00F922A0"/>
    <w:rsid w:val="00F927A3"/>
    <w:rsid w:val="00F93A24"/>
    <w:rsid w:val="00F94055"/>
    <w:rsid w:val="00F942C4"/>
    <w:rsid w:val="00F94B24"/>
    <w:rsid w:val="00F959FF"/>
    <w:rsid w:val="00F95CE6"/>
    <w:rsid w:val="00F965F7"/>
    <w:rsid w:val="00F96752"/>
    <w:rsid w:val="00FA04C9"/>
    <w:rsid w:val="00FA1D90"/>
    <w:rsid w:val="00FA1E48"/>
    <w:rsid w:val="00FA25FA"/>
    <w:rsid w:val="00FA309A"/>
    <w:rsid w:val="00FA3188"/>
    <w:rsid w:val="00FA43FF"/>
    <w:rsid w:val="00FA4649"/>
    <w:rsid w:val="00FA4BB0"/>
    <w:rsid w:val="00FA5EFB"/>
    <w:rsid w:val="00FA6074"/>
    <w:rsid w:val="00FA7B8E"/>
    <w:rsid w:val="00FB02C6"/>
    <w:rsid w:val="00FB0810"/>
    <w:rsid w:val="00FB2D2B"/>
    <w:rsid w:val="00FB54B4"/>
    <w:rsid w:val="00FB5C27"/>
    <w:rsid w:val="00FB66BA"/>
    <w:rsid w:val="00FB6E1F"/>
    <w:rsid w:val="00FB7193"/>
    <w:rsid w:val="00FB72E4"/>
    <w:rsid w:val="00FB72F2"/>
    <w:rsid w:val="00FC01D5"/>
    <w:rsid w:val="00FC0A23"/>
    <w:rsid w:val="00FC1027"/>
    <w:rsid w:val="00FC15F2"/>
    <w:rsid w:val="00FC1708"/>
    <w:rsid w:val="00FC236B"/>
    <w:rsid w:val="00FC2C59"/>
    <w:rsid w:val="00FC37EF"/>
    <w:rsid w:val="00FC45B5"/>
    <w:rsid w:val="00FC4B8A"/>
    <w:rsid w:val="00FC4FE8"/>
    <w:rsid w:val="00FC5ADE"/>
    <w:rsid w:val="00FC6717"/>
    <w:rsid w:val="00FC6CCE"/>
    <w:rsid w:val="00FC6D53"/>
    <w:rsid w:val="00FC7132"/>
    <w:rsid w:val="00FD0234"/>
    <w:rsid w:val="00FD0630"/>
    <w:rsid w:val="00FD0877"/>
    <w:rsid w:val="00FD11A9"/>
    <w:rsid w:val="00FD11EA"/>
    <w:rsid w:val="00FD1866"/>
    <w:rsid w:val="00FD1E4D"/>
    <w:rsid w:val="00FD22CC"/>
    <w:rsid w:val="00FD26EB"/>
    <w:rsid w:val="00FD3E68"/>
    <w:rsid w:val="00FD48C2"/>
    <w:rsid w:val="00FD5684"/>
    <w:rsid w:val="00FD5E92"/>
    <w:rsid w:val="00FD6B5F"/>
    <w:rsid w:val="00FE082E"/>
    <w:rsid w:val="00FE092E"/>
    <w:rsid w:val="00FE09CF"/>
    <w:rsid w:val="00FE38D5"/>
    <w:rsid w:val="00FE4A1E"/>
    <w:rsid w:val="00FE4ACF"/>
    <w:rsid w:val="00FE4B23"/>
    <w:rsid w:val="00FE4D4C"/>
    <w:rsid w:val="00FE4D9B"/>
    <w:rsid w:val="00FE559B"/>
    <w:rsid w:val="00FE5EF8"/>
    <w:rsid w:val="00FE64E6"/>
    <w:rsid w:val="00FE6CAA"/>
    <w:rsid w:val="00FE7A24"/>
    <w:rsid w:val="00FF0E28"/>
    <w:rsid w:val="00FF208D"/>
    <w:rsid w:val="00FF2B15"/>
    <w:rsid w:val="00FF3224"/>
    <w:rsid w:val="00FF3687"/>
    <w:rsid w:val="00FF3A06"/>
    <w:rsid w:val="00FF4F68"/>
    <w:rsid w:val="00FF5540"/>
    <w:rsid w:val="00FF5918"/>
    <w:rsid w:val="00FF6CD9"/>
    <w:rsid w:val="00FF7BB3"/>
    <w:rsid w:val="00FF7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fillcolor="white">
      <v:fill color="white"/>
    </o:shapedefaults>
    <o:shapelayout v:ext="edit">
      <o:idmap v:ext="edit" data="1"/>
    </o:shapelayout>
  </w:shapeDefaults>
  <w:decimalSymbol w:val="."/>
  <w:listSeparator w:val=","/>
  <w14:docId w14:val="2C1A8BA0"/>
  <w15:docId w15:val="{BCF8B428-AC41-48F6-BCB9-47C0617C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99"/>
    <w:rPr>
      <w:rFonts w:asciiTheme="minorHAnsi" w:hAnsiTheme="minorHAnsi" w:cs="Arial"/>
      <w:lang w:val="en-US" w:eastAsia="en-US"/>
    </w:rPr>
  </w:style>
  <w:style w:type="paragraph" w:styleId="Heading1">
    <w:name w:val="heading 1"/>
    <w:basedOn w:val="Normal"/>
    <w:next w:val="Normal"/>
    <w:qFormat/>
    <w:rsid w:val="00CD6D99"/>
    <w:pPr>
      <w:keepNext/>
      <w:outlineLvl w:val="0"/>
    </w:pPr>
    <w:rPr>
      <w:b/>
      <w:bCs/>
      <w:kern w:val="32"/>
      <w:sz w:val="36"/>
      <w:szCs w:val="32"/>
    </w:rPr>
  </w:style>
  <w:style w:type="paragraph" w:styleId="Heading2">
    <w:name w:val="heading 2"/>
    <w:basedOn w:val="Normal"/>
    <w:next w:val="Normal"/>
    <w:qFormat/>
    <w:rsid w:val="00CD6D99"/>
    <w:pPr>
      <w:keepNext/>
      <w:jc w:val="center"/>
      <w:outlineLvl w:val="1"/>
    </w:pPr>
    <w:rPr>
      <w:b/>
      <w:sz w:val="24"/>
      <w:szCs w:val="28"/>
    </w:rPr>
  </w:style>
  <w:style w:type="paragraph" w:styleId="Heading3">
    <w:name w:val="heading 3"/>
    <w:basedOn w:val="Normal"/>
    <w:next w:val="Normal"/>
    <w:pPr>
      <w:keepNext/>
      <w:jc w:val="center"/>
      <w:outlineLvl w:val="2"/>
    </w:pPr>
    <w:rPr>
      <w:rFonts w:ascii="Times" w:hAnsi="Times"/>
      <w:b/>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qFormat/>
    <w:rsid w:val="00CD6D99"/>
    <w:pPr>
      <w:keepNext/>
      <w:spacing w:after="60"/>
      <w:outlineLvl w:val="3"/>
    </w:pPr>
    <w:rPr>
      <w:sz w:val="32"/>
    </w:rPr>
  </w:style>
  <w:style w:type="paragraph" w:styleId="Heading5">
    <w:name w:val="heading 5"/>
    <w:basedOn w:val="Normal"/>
    <w:next w:val="Normal"/>
    <w:pPr>
      <w:keepNext/>
      <w:outlineLvl w:val="4"/>
    </w:pPr>
    <w:rPr>
      <w:sz w:val="48"/>
    </w:rPr>
  </w:style>
  <w:style w:type="paragraph" w:styleId="Heading6">
    <w:name w:val="heading 6"/>
    <w:basedOn w:val="Normal"/>
    <w:next w:val="Normal"/>
    <w:qFormat/>
    <w:rsid w:val="00CD6D99"/>
    <w:pPr>
      <w:keepNext/>
      <w:spacing w:after="6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
    <w:name w:val="Body Text"/>
    <w:basedOn w:val="Normal"/>
    <w:link w:val="BodyTextCha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3A797A"/>
    <w:pPr>
      <w:tabs>
        <w:tab w:val="center" w:pos="4320"/>
        <w:tab w:val="right" w:pos="8640"/>
      </w:tabs>
    </w:pPr>
    <w:rPr>
      <w:sz w:val="16"/>
    </w:rPr>
  </w:style>
  <w:style w:type="paragraph" w:styleId="BodyTextIndent2">
    <w:name w:val="Body Text Indent 2"/>
    <w:basedOn w:val="Normal"/>
    <w:pPr>
      <w:ind w:left="1440" w:hanging="1440"/>
    </w:pPr>
  </w:style>
  <w:style w:type="paragraph" w:styleId="BodyTextIndent3">
    <w:name w:val="Body Text Indent 3"/>
    <w:basedOn w:val="Normal"/>
    <w:pPr>
      <w:spacing w:after="120"/>
      <w:ind w:left="720" w:hanging="720"/>
    </w:pPr>
  </w:style>
  <w:style w:type="character" w:styleId="PageNumber">
    <w:name w:val="page number"/>
    <w:basedOn w:val="DefaultParagraphFont"/>
  </w:style>
  <w:style w:type="paragraph" w:styleId="BodyText2">
    <w:name w:val="Body Text 2"/>
    <w:basedOn w:val="Normal"/>
    <w:pPr>
      <w:autoSpaceDE w:val="0"/>
      <w:autoSpaceDN w:val="0"/>
      <w:adjustRightInd w:val="0"/>
      <w:jc w:val="center"/>
    </w:pPr>
    <w:rPr>
      <w:color w:val="000000"/>
      <w:sz w:val="44"/>
      <w:szCs w:val="44"/>
    </w:rPr>
  </w:style>
  <w:style w:type="table" w:styleId="TableGrid">
    <w:name w:val="Table Grid"/>
    <w:basedOn w:val="TableNormal"/>
    <w:rsid w:val="0077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1CB"/>
    <w:rPr>
      <w:color w:val="0000FF"/>
      <w:u w:val="single"/>
    </w:rPr>
  </w:style>
  <w:style w:type="character" w:styleId="FollowedHyperlink">
    <w:name w:val="FollowedHyperlink"/>
    <w:rsid w:val="009D32EA"/>
    <w:rPr>
      <w:color w:val="800080"/>
      <w:u w:val="single"/>
    </w:rPr>
  </w:style>
  <w:style w:type="paragraph" w:styleId="PlainText">
    <w:name w:val="Plain Text"/>
    <w:basedOn w:val="Normal"/>
    <w:rsid w:val="00D21045"/>
    <w:rPr>
      <w:rFonts w:ascii="Courier New" w:hAnsi="Courier New" w:cs="Courier New"/>
    </w:rPr>
  </w:style>
  <w:style w:type="paragraph" w:styleId="BalloonText">
    <w:name w:val="Balloon Text"/>
    <w:basedOn w:val="Normal"/>
    <w:semiHidden/>
    <w:rsid w:val="000D06ED"/>
    <w:rPr>
      <w:rFonts w:ascii="Tahoma" w:hAnsi="Tahoma" w:cs="Tahoma"/>
      <w:sz w:val="16"/>
      <w:szCs w:val="16"/>
    </w:rPr>
  </w:style>
  <w:style w:type="character" w:styleId="CommentReference">
    <w:name w:val="annotation reference"/>
    <w:semiHidden/>
    <w:rsid w:val="00EB2D46"/>
    <w:rPr>
      <w:sz w:val="16"/>
      <w:szCs w:val="16"/>
    </w:rPr>
  </w:style>
  <w:style w:type="paragraph" w:styleId="CommentText">
    <w:name w:val="annotation text"/>
    <w:basedOn w:val="Normal"/>
    <w:link w:val="CommentTextChar"/>
    <w:semiHidden/>
    <w:rsid w:val="00EB2D46"/>
  </w:style>
  <w:style w:type="paragraph" w:styleId="CommentSubject">
    <w:name w:val="annotation subject"/>
    <w:basedOn w:val="CommentText"/>
    <w:next w:val="CommentText"/>
    <w:semiHidden/>
    <w:rsid w:val="00EB2D46"/>
    <w:rPr>
      <w:b/>
      <w:bCs/>
    </w:rPr>
  </w:style>
  <w:style w:type="paragraph" w:styleId="FootnoteText">
    <w:name w:val="footnote text"/>
    <w:basedOn w:val="Normal"/>
    <w:semiHidden/>
    <w:rsid w:val="00C95400"/>
    <w:pPr>
      <w:spacing w:after="200" w:line="276" w:lineRule="auto"/>
    </w:pPr>
    <w:rPr>
      <w:rFonts w:eastAsia="Calibri"/>
      <w:lang w:val="en-CA"/>
    </w:rPr>
  </w:style>
  <w:style w:type="character" w:customStyle="1" w:styleId="BodyTextChar">
    <w:name w:val="Body Text Char"/>
    <w:basedOn w:val="DefaultParagraphFont"/>
    <w:link w:val="BodyText"/>
    <w:rsid w:val="009F17F0"/>
    <w:rPr>
      <w:rFonts w:ascii="Arial" w:hAnsi="Arial" w:cs="Arial"/>
      <w:lang w:val="en-US" w:eastAsia="en-US"/>
    </w:rPr>
  </w:style>
  <w:style w:type="character" w:customStyle="1" w:styleId="BodyTextIndentChar">
    <w:name w:val="Body Text Indent Char"/>
    <w:basedOn w:val="DefaultParagraphFont"/>
    <w:link w:val="BodyTextIndent"/>
    <w:rsid w:val="009F17F0"/>
    <w:rPr>
      <w:rFonts w:ascii="Arial" w:hAnsi="Arial" w:cs="Arial"/>
      <w:lang w:val="en-US" w:eastAsia="en-US"/>
    </w:rPr>
  </w:style>
  <w:style w:type="paragraph" w:styleId="ListBullet">
    <w:name w:val="List Bullet"/>
    <w:basedOn w:val="Normal"/>
    <w:qFormat/>
    <w:rsid w:val="00CD6D99"/>
    <w:pPr>
      <w:numPr>
        <w:numId w:val="7"/>
      </w:numPr>
      <w:contextualSpacing/>
    </w:pPr>
  </w:style>
  <w:style w:type="numbering" w:customStyle="1" w:styleId="ListBullets">
    <w:name w:val="ListBullets"/>
    <w:uiPriority w:val="99"/>
    <w:rsid w:val="00227492"/>
  </w:style>
  <w:style w:type="paragraph" w:styleId="ListBullet2">
    <w:name w:val="List Bullet 2"/>
    <w:basedOn w:val="Normal"/>
    <w:qFormat/>
    <w:rsid w:val="00CD6D99"/>
    <w:pPr>
      <w:numPr>
        <w:numId w:val="5"/>
      </w:numPr>
      <w:contextualSpacing/>
    </w:pPr>
  </w:style>
  <w:style w:type="paragraph" w:styleId="ListBullet3">
    <w:name w:val="List Bullet 3"/>
    <w:basedOn w:val="Normal"/>
    <w:qFormat/>
    <w:rsid w:val="00CD6D99"/>
    <w:pPr>
      <w:numPr>
        <w:numId w:val="6"/>
      </w:numPr>
      <w:contextualSpacing/>
    </w:pPr>
  </w:style>
  <w:style w:type="paragraph" w:styleId="ListBullet4">
    <w:name w:val="List Bullet 4"/>
    <w:basedOn w:val="Normal"/>
    <w:qFormat/>
    <w:rsid w:val="00CD6D99"/>
    <w:pPr>
      <w:numPr>
        <w:ilvl w:val="3"/>
        <w:numId w:val="7"/>
      </w:numPr>
      <w:contextualSpacing/>
    </w:pPr>
  </w:style>
  <w:style w:type="paragraph" w:styleId="ListBullet5">
    <w:name w:val="List Bullet 5"/>
    <w:basedOn w:val="Normal"/>
    <w:rsid w:val="00227492"/>
    <w:pPr>
      <w:contextualSpacing/>
    </w:pPr>
  </w:style>
  <w:style w:type="paragraph" w:styleId="ListParagraph">
    <w:name w:val="List Paragraph"/>
    <w:basedOn w:val="Normal"/>
    <w:uiPriority w:val="34"/>
    <w:qFormat/>
    <w:rsid w:val="00784035"/>
    <w:pPr>
      <w:ind w:left="720"/>
      <w:contextualSpacing/>
    </w:pPr>
  </w:style>
  <w:style w:type="character" w:customStyle="1" w:styleId="HeaderChar">
    <w:name w:val="Header Char"/>
    <w:basedOn w:val="DefaultParagraphFont"/>
    <w:link w:val="Header"/>
    <w:uiPriority w:val="99"/>
    <w:rsid w:val="00CC5B64"/>
    <w:rPr>
      <w:rFonts w:asciiTheme="minorHAnsi" w:hAnsiTheme="minorHAnsi" w:cs="Arial"/>
      <w:lang w:val="en-US" w:eastAsia="en-US"/>
    </w:rPr>
  </w:style>
  <w:style w:type="character" w:customStyle="1" w:styleId="CommentTextChar">
    <w:name w:val="Comment Text Char"/>
    <w:basedOn w:val="DefaultParagraphFont"/>
    <w:link w:val="CommentText"/>
    <w:semiHidden/>
    <w:rsid w:val="00392FAE"/>
    <w:rPr>
      <w:rFonts w:asciiTheme="minorHAnsi" w:hAnsiTheme="minorHAnsi" w:cs="Arial"/>
      <w:lang w:val="en-US" w:eastAsia="en-US"/>
    </w:rPr>
  </w:style>
  <w:style w:type="character" w:styleId="PlaceholderText">
    <w:name w:val="Placeholder Text"/>
    <w:basedOn w:val="DefaultParagraphFont"/>
    <w:uiPriority w:val="99"/>
    <w:semiHidden/>
    <w:rsid w:val="00F10B47"/>
    <w:rPr>
      <w:color w:val="808080"/>
    </w:rPr>
  </w:style>
  <w:style w:type="paragraph" w:styleId="NormalWeb">
    <w:name w:val="Normal (Web)"/>
    <w:basedOn w:val="Normal"/>
    <w:uiPriority w:val="99"/>
    <w:unhideWhenUsed/>
    <w:rsid w:val="00FB0810"/>
    <w:pPr>
      <w:spacing w:before="100" w:beforeAutospacing="1" w:after="100" w:afterAutospacing="1"/>
    </w:pPr>
    <w:rPr>
      <w:rFonts w:ascii="Times New Roman" w:hAnsi="Times New Roman" w:cs="Times New Roman"/>
      <w:sz w:val="24"/>
      <w:szCs w:val="24"/>
      <w:lang w:val="en-CA" w:eastAsia="en-CA"/>
    </w:rPr>
  </w:style>
  <w:style w:type="character" w:customStyle="1" w:styleId="FooterChar">
    <w:name w:val="Footer Char"/>
    <w:basedOn w:val="DefaultParagraphFont"/>
    <w:link w:val="Footer"/>
    <w:uiPriority w:val="99"/>
    <w:rsid w:val="00FB0810"/>
    <w:rPr>
      <w:rFonts w:asciiTheme="minorHAnsi" w:hAnsiTheme="minorHAnsi" w:cs="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59369">
      <w:bodyDiv w:val="1"/>
      <w:marLeft w:val="0"/>
      <w:marRight w:val="0"/>
      <w:marTop w:val="0"/>
      <w:marBottom w:val="0"/>
      <w:divBdr>
        <w:top w:val="none" w:sz="0" w:space="0" w:color="auto"/>
        <w:left w:val="none" w:sz="0" w:space="0" w:color="auto"/>
        <w:bottom w:val="none" w:sz="0" w:space="0" w:color="auto"/>
        <w:right w:val="none" w:sz="0" w:space="0" w:color="auto"/>
      </w:divBdr>
    </w:div>
    <w:div w:id="412775381">
      <w:bodyDiv w:val="1"/>
      <w:marLeft w:val="0"/>
      <w:marRight w:val="0"/>
      <w:marTop w:val="0"/>
      <w:marBottom w:val="0"/>
      <w:divBdr>
        <w:top w:val="none" w:sz="0" w:space="0" w:color="auto"/>
        <w:left w:val="none" w:sz="0" w:space="0" w:color="auto"/>
        <w:bottom w:val="none" w:sz="0" w:space="0" w:color="auto"/>
        <w:right w:val="none" w:sz="0" w:space="0" w:color="auto"/>
      </w:divBdr>
    </w:div>
    <w:div w:id="496308579">
      <w:bodyDiv w:val="1"/>
      <w:marLeft w:val="0"/>
      <w:marRight w:val="0"/>
      <w:marTop w:val="0"/>
      <w:marBottom w:val="0"/>
      <w:divBdr>
        <w:top w:val="none" w:sz="0" w:space="0" w:color="auto"/>
        <w:left w:val="none" w:sz="0" w:space="0" w:color="auto"/>
        <w:bottom w:val="none" w:sz="0" w:space="0" w:color="auto"/>
        <w:right w:val="none" w:sz="0" w:space="0" w:color="auto"/>
      </w:divBdr>
    </w:div>
    <w:div w:id="532767267">
      <w:bodyDiv w:val="1"/>
      <w:marLeft w:val="0"/>
      <w:marRight w:val="0"/>
      <w:marTop w:val="0"/>
      <w:marBottom w:val="0"/>
      <w:divBdr>
        <w:top w:val="none" w:sz="0" w:space="0" w:color="auto"/>
        <w:left w:val="none" w:sz="0" w:space="0" w:color="auto"/>
        <w:bottom w:val="none" w:sz="0" w:space="0" w:color="auto"/>
        <w:right w:val="none" w:sz="0" w:space="0" w:color="auto"/>
      </w:divBdr>
    </w:div>
    <w:div w:id="553858475">
      <w:bodyDiv w:val="1"/>
      <w:marLeft w:val="0"/>
      <w:marRight w:val="0"/>
      <w:marTop w:val="0"/>
      <w:marBottom w:val="0"/>
      <w:divBdr>
        <w:top w:val="none" w:sz="0" w:space="0" w:color="auto"/>
        <w:left w:val="none" w:sz="0" w:space="0" w:color="auto"/>
        <w:bottom w:val="none" w:sz="0" w:space="0" w:color="auto"/>
        <w:right w:val="none" w:sz="0" w:space="0" w:color="auto"/>
      </w:divBdr>
    </w:div>
    <w:div w:id="603729667">
      <w:bodyDiv w:val="1"/>
      <w:marLeft w:val="0"/>
      <w:marRight w:val="0"/>
      <w:marTop w:val="0"/>
      <w:marBottom w:val="0"/>
      <w:divBdr>
        <w:top w:val="none" w:sz="0" w:space="0" w:color="auto"/>
        <w:left w:val="none" w:sz="0" w:space="0" w:color="auto"/>
        <w:bottom w:val="none" w:sz="0" w:space="0" w:color="auto"/>
        <w:right w:val="none" w:sz="0" w:space="0" w:color="auto"/>
      </w:divBdr>
      <w:divsChild>
        <w:div w:id="487400892">
          <w:marLeft w:val="0"/>
          <w:marRight w:val="0"/>
          <w:marTop w:val="0"/>
          <w:marBottom w:val="0"/>
          <w:divBdr>
            <w:top w:val="none" w:sz="0" w:space="0" w:color="auto"/>
            <w:left w:val="none" w:sz="0" w:space="0" w:color="auto"/>
            <w:bottom w:val="none" w:sz="0" w:space="0" w:color="auto"/>
            <w:right w:val="none" w:sz="0" w:space="0" w:color="auto"/>
          </w:divBdr>
        </w:div>
      </w:divsChild>
    </w:div>
    <w:div w:id="607084626">
      <w:bodyDiv w:val="1"/>
      <w:marLeft w:val="0"/>
      <w:marRight w:val="0"/>
      <w:marTop w:val="0"/>
      <w:marBottom w:val="0"/>
      <w:divBdr>
        <w:top w:val="none" w:sz="0" w:space="0" w:color="auto"/>
        <w:left w:val="none" w:sz="0" w:space="0" w:color="auto"/>
        <w:bottom w:val="none" w:sz="0" w:space="0" w:color="auto"/>
        <w:right w:val="none" w:sz="0" w:space="0" w:color="auto"/>
      </w:divBdr>
    </w:div>
    <w:div w:id="654141036">
      <w:bodyDiv w:val="1"/>
      <w:marLeft w:val="0"/>
      <w:marRight w:val="0"/>
      <w:marTop w:val="0"/>
      <w:marBottom w:val="0"/>
      <w:divBdr>
        <w:top w:val="none" w:sz="0" w:space="0" w:color="auto"/>
        <w:left w:val="none" w:sz="0" w:space="0" w:color="auto"/>
        <w:bottom w:val="none" w:sz="0" w:space="0" w:color="auto"/>
        <w:right w:val="none" w:sz="0" w:space="0" w:color="auto"/>
      </w:divBdr>
      <w:divsChild>
        <w:div w:id="1401439253">
          <w:marLeft w:val="0"/>
          <w:marRight w:val="0"/>
          <w:marTop w:val="0"/>
          <w:marBottom w:val="0"/>
          <w:divBdr>
            <w:top w:val="none" w:sz="0" w:space="0" w:color="auto"/>
            <w:left w:val="none" w:sz="0" w:space="0" w:color="auto"/>
            <w:bottom w:val="none" w:sz="0" w:space="0" w:color="auto"/>
            <w:right w:val="none" w:sz="0" w:space="0" w:color="auto"/>
          </w:divBdr>
        </w:div>
      </w:divsChild>
    </w:div>
    <w:div w:id="701129525">
      <w:bodyDiv w:val="1"/>
      <w:marLeft w:val="0"/>
      <w:marRight w:val="0"/>
      <w:marTop w:val="0"/>
      <w:marBottom w:val="0"/>
      <w:divBdr>
        <w:top w:val="none" w:sz="0" w:space="0" w:color="auto"/>
        <w:left w:val="none" w:sz="0" w:space="0" w:color="auto"/>
        <w:bottom w:val="none" w:sz="0" w:space="0" w:color="auto"/>
        <w:right w:val="none" w:sz="0" w:space="0" w:color="auto"/>
      </w:divBdr>
    </w:div>
    <w:div w:id="733237666">
      <w:bodyDiv w:val="1"/>
      <w:marLeft w:val="0"/>
      <w:marRight w:val="0"/>
      <w:marTop w:val="0"/>
      <w:marBottom w:val="0"/>
      <w:divBdr>
        <w:top w:val="none" w:sz="0" w:space="0" w:color="auto"/>
        <w:left w:val="none" w:sz="0" w:space="0" w:color="auto"/>
        <w:bottom w:val="none" w:sz="0" w:space="0" w:color="auto"/>
        <w:right w:val="none" w:sz="0" w:space="0" w:color="auto"/>
      </w:divBdr>
    </w:div>
    <w:div w:id="756633326">
      <w:bodyDiv w:val="1"/>
      <w:marLeft w:val="0"/>
      <w:marRight w:val="0"/>
      <w:marTop w:val="0"/>
      <w:marBottom w:val="0"/>
      <w:divBdr>
        <w:top w:val="none" w:sz="0" w:space="0" w:color="auto"/>
        <w:left w:val="none" w:sz="0" w:space="0" w:color="auto"/>
        <w:bottom w:val="none" w:sz="0" w:space="0" w:color="auto"/>
        <w:right w:val="none" w:sz="0" w:space="0" w:color="auto"/>
      </w:divBdr>
    </w:div>
    <w:div w:id="888150818">
      <w:bodyDiv w:val="1"/>
      <w:marLeft w:val="0"/>
      <w:marRight w:val="0"/>
      <w:marTop w:val="0"/>
      <w:marBottom w:val="0"/>
      <w:divBdr>
        <w:top w:val="none" w:sz="0" w:space="0" w:color="auto"/>
        <w:left w:val="none" w:sz="0" w:space="0" w:color="auto"/>
        <w:bottom w:val="none" w:sz="0" w:space="0" w:color="auto"/>
        <w:right w:val="none" w:sz="0" w:space="0" w:color="auto"/>
      </w:divBdr>
    </w:div>
    <w:div w:id="1038239581">
      <w:bodyDiv w:val="1"/>
      <w:marLeft w:val="0"/>
      <w:marRight w:val="0"/>
      <w:marTop w:val="0"/>
      <w:marBottom w:val="0"/>
      <w:divBdr>
        <w:top w:val="none" w:sz="0" w:space="0" w:color="auto"/>
        <w:left w:val="none" w:sz="0" w:space="0" w:color="auto"/>
        <w:bottom w:val="none" w:sz="0" w:space="0" w:color="auto"/>
        <w:right w:val="none" w:sz="0" w:space="0" w:color="auto"/>
      </w:divBdr>
    </w:div>
    <w:div w:id="1091201973">
      <w:bodyDiv w:val="1"/>
      <w:marLeft w:val="0"/>
      <w:marRight w:val="0"/>
      <w:marTop w:val="0"/>
      <w:marBottom w:val="0"/>
      <w:divBdr>
        <w:top w:val="none" w:sz="0" w:space="0" w:color="auto"/>
        <w:left w:val="none" w:sz="0" w:space="0" w:color="auto"/>
        <w:bottom w:val="none" w:sz="0" w:space="0" w:color="auto"/>
        <w:right w:val="none" w:sz="0" w:space="0" w:color="auto"/>
      </w:divBdr>
    </w:div>
    <w:div w:id="1130828631">
      <w:bodyDiv w:val="1"/>
      <w:marLeft w:val="0"/>
      <w:marRight w:val="0"/>
      <w:marTop w:val="0"/>
      <w:marBottom w:val="0"/>
      <w:divBdr>
        <w:top w:val="none" w:sz="0" w:space="0" w:color="auto"/>
        <w:left w:val="none" w:sz="0" w:space="0" w:color="auto"/>
        <w:bottom w:val="none" w:sz="0" w:space="0" w:color="auto"/>
        <w:right w:val="none" w:sz="0" w:space="0" w:color="auto"/>
      </w:divBdr>
    </w:div>
    <w:div w:id="1157913550">
      <w:bodyDiv w:val="1"/>
      <w:marLeft w:val="0"/>
      <w:marRight w:val="0"/>
      <w:marTop w:val="0"/>
      <w:marBottom w:val="0"/>
      <w:divBdr>
        <w:top w:val="none" w:sz="0" w:space="0" w:color="auto"/>
        <w:left w:val="none" w:sz="0" w:space="0" w:color="auto"/>
        <w:bottom w:val="none" w:sz="0" w:space="0" w:color="auto"/>
        <w:right w:val="none" w:sz="0" w:space="0" w:color="auto"/>
      </w:divBdr>
    </w:div>
    <w:div w:id="1189875266">
      <w:bodyDiv w:val="1"/>
      <w:marLeft w:val="0"/>
      <w:marRight w:val="0"/>
      <w:marTop w:val="0"/>
      <w:marBottom w:val="0"/>
      <w:divBdr>
        <w:top w:val="none" w:sz="0" w:space="0" w:color="auto"/>
        <w:left w:val="none" w:sz="0" w:space="0" w:color="auto"/>
        <w:bottom w:val="none" w:sz="0" w:space="0" w:color="auto"/>
        <w:right w:val="none" w:sz="0" w:space="0" w:color="auto"/>
      </w:divBdr>
    </w:div>
    <w:div w:id="1256399148">
      <w:bodyDiv w:val="1"/>
      <w:marLeft w:val="0"/>
      <w:marRight w:val="0"/>
      <w:marTop w:val="0"/>
      <w:marBottom w:val="0"/>
      <w:divBdr>
        <w:top w:val="none" w:sz="0" w:space="0" w:color="auto"/>
        <w:left w:val="none" w:sz="0" w:space="0" w:color="auto"/>
        <w:bottom w:val="none" w:sz="0" w:space="0" w:color="auto"/>
        <w:right w:val="none" w:sz="0" w:space="0" w:color="auto"/>
      </w:divBdr>
    </w:div>
    <w:div w:id="1306659975">
      <w:bodyDiv w:val="1"/>
      <w:marLeft w:val="0"/>
      <w:marRight w:val="0"/>
      <w:marTop w:val="0"/>
      <w:marBottom w:val="0"/>
      <w:divBdr>
        <w:top w:val="none" w:sz="0" w:space="0" w:color="auto"/>
        <w:left w:val="none" w:sz="0" w:space="0" w:color="auto"/>
        <w:bottom w:val="none" w:sz="0" w:space="0" w:color="auto"/>
        <w:right w:val="none" w:sz="0" w:space="0" w:color="auto"/>
      </w:divBdr>
    </w:div>
    <w:div w:id="1309745308">
      <w:bodyDiv w:val="1"/>
      <w:marLeft w:val="0"/>
      <w:marRight w:val="0"/>
      <w:marTop w:val="0"/>
      <w:marBottom w:val="0"/>
      <w:divBdr>
        <w:top w:val="none" w:sz="0" w:space="0" w:color="auto"/>
        <w:left w:val="none" w:sz="0" w:space="0" w:color="auto"/>
        <w:bottom w:val="none" w:sz="0" w:space="0" w:color="auto"/>
        <w:right w:val="none" w:sz="0" w:space="0" w:color="auto"/>
      </w:divBdr>
    </w:div>
    <w:div w:id="1347512726">
      <w:bodyDiv w:val="1"/>
      <w:marLeft w:val="0"/>
      <w:marRight w:val="0"/>
      <w:marTop w:val="0"/>
      <w:marBottom w:val="0"/>
      <w:divBdr>
        <w:top w:val="none" w:sz="0" w:space="0" w:color="auto"/>
        <w:left w:val="none" w:sz="0" w:space="0" w:color="auto"/>
        <w:bottom w:val="none" w:sz="0" w:space="0" w:color="auto"/>
        <w:right w:val="none" w:sz="0" w:space="0" w:color="auto"/>
      </w:divBdr>
      <w:divsChild>
        <w:div w:id="1730030810">
          <w:marLeft w:val="0"/>
          <w:marRight w:val="0"/>
          <w:marTop w:val="0"/>
          <w:marBottom w:val="0"/>
          <w:divBdr>
            <w:top w:val="none" w:sz="0" w:space="0" w:color="auto"/>
            <w:left w:val="none" w:sz="0" w:space="0" w:color="auto"/>
            <w:bottom w:val="none" w:sz="0" w:space="0" w:color="auto"/>
            <w:right w:val="none" w:sz="0" w:space="0" w:color="auto"/>
          </w:divBdr>
        </w:div>
      </w:divsChild>
    </w:div>
    <w:div w:id="1362247396">
      <w:bodyDiv w:val="1"/>
      <w:marLeft w:val="0"/>
      <w:marRight w:val="0"/>
      <w:marTop w:val="0"/>
      <w:marBottom w:val="0"/>
      <w:divBdr>
        <w:top w:val="none" w:sz="0" w:space="0" w:color="auto"/>
        <w:left w:val="none" w:sz="0" w:space="0" w:color="auto"/>
        <w:bottom w:val="none" w:sz="0" w:space="0" w:color="auto"/>
        <w:right w:val="none" w:sz="0" w:space="0" w:color="auto"/>
      </w:divBdr>
    </w:div>
    <w:div w:id="1367215276">
      <w:bodyDiv w:val="1"/>
      <w:marLeft w:val="0"/>
      <w:marRight w:val="0"/>
      <w:marTop w:val="0"/>
      <w:marBottom w:val="0"/>
      <w:divBdr>
        <w:top w:val="none" w:sz="0" w:space="0" w:color="auto"/>
        <w:left w:val="none" w:sz="0" w:space="0" w:color="auto"/>
        <w:bottom w:val="none" w:sz="0" w:space="0" w:color="auto"/>
        <w:right w:val="none" w:sz="0" w:space="0" w:color="auto"/>
      </w:divBdr>
    </w:div>
    <w:div w:id="1504510693">
      <w:bodyDiv w:val="1"/>
      <w:marLeft w:val="0"/>
      <w:marRight w:val="0"/>
      <w:marTop w:val="0"/>
      <w:marBottom w:val="0"/>
      <w:divBdr>
        <w:top w:val="none" w:sz="0" w:space="0" w:color="auto"/>
        <w:left w:val="none" w:sz="0" w:space="0" w:color="auto"/>
        <w:bottom w:val="none" w:sz="0" w:space="0" w:color="auto"/>
        <w:right w:val="none" w:sz="0" w:space="0" w:color="auto"/>
      </w:divBdr>
    </w:div>
    <w:div w:id="1546718128">
      <w:bodyDiv w:val="1"/>
      <w:marLeft w:val="0"/>
      <w:marRight w:val="0"/>
      <w:marTop w:val="0"/>
      <w:marBottom w:val="0"/>
      <w:divBdr>
        <w:top w:val="none" w:sz="0" w:space="0" w:color="auto"/>
        <w:left w:val="none" w:sz="0" w:space="0" w:color="auto"/>
        <w:bottom w:val="none" w:sz="0" w:space="0" w:color="auto"/>
        <w:right w:val="none" w:sz="0" w:space="0" w:color="auto"/>
      </w:divBdr>
    </w:div>
    <w:div w:id="1562785613">
      <w:bodyDiv w:val="1"/>
      <w:marLeft w:val="0"/>
      <w:marRight w:val="0"/>
      <w:marTop w:val="0"/>
      <w:marBottom w:val="0"/>
      <w:divBdr>
        <w:top w:val="none" w:sz="0" w:space="0" w:color="auto"/>
        <w:left w:val="none" w:sz="0" w:space="0" w:color="auto"/>
        <w:bottom w:val="none" w:sz="0" w:space="0" w:color="auto"/>
        <w:right w:val="none" w:sz="0" w:space="0" w:color="auto"/>
      </w:divBdr>
    </w:div>
    <w:div w:id="1578127762">
      <w:bodyDiv w:val="1"/>
      <w:marLeft w:val="0"/>
      <w:marRight w:val="0"/>
      <w:marTop w:val="0"/>
      <w:marBottom w:val="0"/>
      <w:divBdr>
        <w:top w:val="none" w:sz="0" w:space="0" w:color="auto"/>
        <w:left w:val="none" w:sz="0" w:space="0" w:color="auto"/>
        <w:bottom w:val="none" w:sz="0" w:space="0" w:color="auto"/>
        <w:right w:val="none" w:sz="0" w:space="0" w:color="auto"/>
      </w:divBdr>
    </w:div>
    <w:div w:id="1637947495">
      <w:bodyDiv w:val="1"/>
      <w:marLeft w:val="0"/>
      <w:marRight w:val="0"/>
      <w:marTop w:val="0"/>
      <w:marBottom w:val="0"/>
      <w:divBdr>
        <w:top w:val="none" w:sz="0" w:space="0" w:color="auto"/>
        <w:left w:val="none" w:sz="0" w:space="0" w:color="auto"/>
        <w:bottom w:val="none" w:sz="0" w:space="0" w:color="auto"/>
        <w:right w:val="none" w:sz="0" w:space="0" w:color="auto"/>
      </w:divBdr>
    </w:div>
    <w:div w:id="1746606577">
      <w:bodyDiv w:val="1"/>
      <w:marLeft w:val="0"/>
      <w:marRight w:val="0"/>
      <w:marTop w:val="0"/>
      <w:marBottom w:val="0"/>
      <w:divBdr>
        <w:top w:val="none" w:sz="0" w:space="0" w:color="auto"/>
        <w:left w:val="none" w:sz="0" w:space="0" w:color="auto"/>
        <w:bottom w:val="none" w:sz="0" w:space="0" w:color="auto"/>
        <w:right w:val="none" w:sz="0" w:space="0" w:color="auto"/>
      </w:divBdr>
    </w:div>
    <w:div w:id="1766075950">
      <w:bodyDiv w:val="1"/>
      <w:marLeft w:val="0"/>
      <w:marRight w:val="0"/>
      <w:marTop w:val="0"/>
      <w:marBottom w:val="0"/>
      <w:divBdr>
        <w:top w:val="none" w:sz="0" w:space="0" w:color="auto"/>
        <w:left w:val="none" w:sz="0" w:space="0" w:color="auto"/>
        <w:bottom w:val="none" w:sz="0" w:space="0" w:color="auto"/>
        <w:right w:val="none" w:sz="0" w:space="0" w:color="auto"/>
      </w:divBdr>
    </w:div>
    <w:div w:id="1790708220">
      <w:bodyDiv w:val="1"/>
      <w:marLeft w:val="0"/>
      <w:marRight w:val="0"/>
      <w:marTop w:val="0"/>
      <w:marBottom w:val="0"/>
      <w:divBdr>
        <w:top w:val="none" w:sz="0" w:space="0" w:color="auto"/>
        <w:left w:val="none" w:sz="0" w:space="0" w:color="auto"/>
        <w:bottom w:val="none" w:sz="0" w:space="0" w:color="auto"/>
        <w:right w:val="none" w:sz="0" w:space="0" w:color="auto"/>
      </w:divBdr>
    </w:div>
    <w:div w:id="1799181120">
      <w:bodyDiv w:val="1"/>
      <w:marLeft w:val="0"/>
      <w:marRight w:val="0"/>
      <w:marTop w:val="0"/>
      <w:marBottom w:val="0"/>
      <w:divBdr>
        <w:top w:val="none" w:sz="0" w:space="0" w:color="auto"/>
        <w:left w:val="none" w:sz="0" w:space="0" w:color="auto"/>
        <w:bottom w:val="none" w:sz="0" w:space="0" w:color="auto"/>
        <w:right w:val="none" w:sz="0" w:space="0" w:color="auto"/>
      </w:divBdr>
    </w:div>
    <w:div w:id="1885943405">
      <w:bodyDiv w:val="1"/>
      <w:marLeft w:val="0"/>
      <w:marRight w:val="0"/>
      <w:marTop w:val="0"/>
      <w:marBottom w:val="0"/>
      <w:divBdr>
        <w:top w:val="none" w:sz="0" w:space="0" w:color="auto"/>
        <w:left w:val="none" w:sz="0" w:space="0" w:color="auto"/>
        <w:bottom w:val="none" w:sz="0" w:space="0" w:color="auto"/>
        <w:right w:val="none" w:sz="0" w:space="0" w:color="auto"/>
      </w:divBdr>
    </w:div>
    <w:div w:id="1901478835">
      <w:bodyDiv w:val="1"/>
      <w:marLeft w:val="0"/>
      <w:marRight w:val="0"/>
      <w:marTop w:val="0"/>
      <w:marBottom w:val="0"/>
      <w:divBdr>
        <w:top w:val="none" w:sz="0" w:space="0" w:color="auto"/>
        <w:left w:val="none" w:sz="0" w:space="0" w:color="auto"/>
        <w:bottom w:val="none" w:sz="0" w:space="0" w:color="auto"/>
        <w:right w:val="none" w:sz="0" w:space="0" w:color="auto"/>
      </w:divBdr>
    </w:div>
    <w:div w:id="1902594911">
      <w:bodyDiv w:val="1"/>
      <w:marLeft w:val="0"/>
      <w:marRight w:val="0"/>
      <w:marTop w:val="0"/>
      <w:marBottom w:val="0"/>
      <w:divBdr>
        <w:top w:val="none" w:sz="0" w:space="0" w:color="auto"/>
        <w:left w:val="none" w:sz="0" w:space="0" w:color="auto"/>
        <w:bottom w:val="none" w:sz="0" w:space="0" w:color="auto"/>
        <w:right w:val="none" w:sz="0" w:space="0" w:color="auto"/>
      </w:divBdr>
    </w:div>
    <w:div w:id="1957059673">
      <w:bodyDiv w:val="1"/>
      <w:marLeft w:val="0"/>
      <w:marRight w:val="0"/>
      <w:marTop w:val="0"/>
      <w:marBottom w:val="0"/>
      <w:divBdr>
        <w:top w:val="none" w:sz="0" w:space="0" w:color="auto"/>
        <w:left w:val="none" w:sz="0" w:space="0" w:color="auto"/>
        <w:bottom w:val="none" w:sz="0" w:space="0" w:color="auto"/>
        <w:right w:val="none" w:sz="0" w:space="0" w:color="auto"/>
      </w:divBdr>
    </w:div>
    <w:div w:id="2032216618">
      <w:bodyDiv w:val="1"/>
      <w:marLeft w:val="0"/>
      <w:marRight w:val="0"/>
      <w:marTop w:val="0"/>
      <w:marBottom w:val="0"/>
      <w:divBdr>
        <w:top w:val="none" w:sz="0" w:space="0" w:color="auto"/>
        <w:left w:val="none" w:sz="0" w:space="0" w:color="auto"/>
        <w:bottom w:val="none" w:sz="0" w:space="0" w:color="auto"/>
        <w:right w:val="none" w:sz="0" w:space="0" w:color="auto"/>
      </w:divBdr>
    </w:div>
    <w:div w:id="2127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EA02DB9F4D5438FAFEDAAF8703BE2" ma:contentTypeVersion="1" ma:contentTypeDescription="Create a new document." ma:contentTypeScope="" ma:versionID="421d502e3d2ec09487f200871b98e32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A146-908D-4F14-8109-5CF93997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80BCF-EED9-43DF-8994-920E578B693C}">
  <ds:schemaRefs>
    <ds:schemaRef ds:uri="http://schemas.microsoft.com/sharepoint/v3/contenttype/forms"/>
  </ds:schemaRefs>
</ds:datastoreItem>
</file>

<file path=customXml/itemProps3.xml><?xml version="1.0" encoding="utf-8"?>
<ds:datastoreItem xmlns:ds="http://schemas.openxmlformats.org/officeDocument/2006/customXml" ds:itemID="{EE9E91AC-5F32-49F7-9A61-5D054DA64646}">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4A6893-6F46-4C22-B143-7A77921D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4101</Words>
  <Characters>21719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DCP Template</vt:lpstr>
    </vt:vector>
  </TitlesOfParts>
  <Company>ICES</Company>
  <LinksUpToDate>false</LinksUpToDate>
  <CharactersWithSpaces>25769</CharactersWithSpaces>
  <SharedDoc>false</SharedDoc>
  <HLinks>
    <vt:vector size="18" baseType="variant">
      <vt:variant>
        <vt:i4>1114158</vt:i4>
      </vt:variant>
      <vt:variant>
        <vt:i4>6</vt:i4>
      </vt:variant>
      <vt:variant>
        <vt:i4>0</vt:i4>
      </vt:variant>
      <vt:variant>
        <vt:i4>5</vt:i4>
      </vt:variant>
      <vt:variant>
        <vt:lpwstr>mailto:nadia.gunraj@ices.on.ca</vt:lpwstr>
      </vt:variant>
      <vt:variant>
        <vt:lpwstr/>
      </vt:variant>
      <vt:variant>
        <vt:i4>4259954</vt:i4>
      </vt:variant>
      <vt:variant>
        <vt:i4>3</vt:i4>
      </vt:variant>
      <vt:variant>
        <vt:i4>0</vt:i4>
      </vt:variant>
      <vt:variant>
        <vt:i4>5</vt:i4>
      </vt:variant>
      <vt:variant>
        <vt:lpwstr>mailto:jacqueline.stevenson@ices.on.ca</vt:lpwstr>
      </vt:variant>
      <vt:variant>
        <vt:lpwstr/>
      </vt:variant>
      <vt:variant>
        <vt:i4>5767290</vt:i4>
      </vt:variant>
      <vt:variant>
        <vt:i4>0</vt:i4>
      </vt:variant>
      <vt:variant>
        <vt:i4>0</vt:i4>
      </vt:variant>
      <vt:variant>
        <vt:i4>5</vt:i4>
      </vt:variant>
      <vt:variant>
        <vt:lpwstr>mailto:susan.bronskill@ices.on.ca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Template</dc:title>
  <dc:creator>Nadia Gunraj</dc:creator>
  <cp:lastModifiedBy>Tara Gomes</cp:lastModifiedBy>
  <cp:revision>30</cp:revision>
  <cp:lastPrinted>2019-08-07T15:48:00Z</cp:lastPrinted>
  <dcterms:created xsi:type="dcterms:W3CDTF">2021-01-27T19:20:00Z</dcterms:created>
  <dcterms:modified xsi:type="dcterms:W3CDTF">2021-03-29T15:50:00Z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0x010100512EA02DB9F4D5438FAFEDAAF8703BE2</vt:lpwstr>
  </property>
</Properties>
</file>