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2410"/>
        <w:gridCol w:w="4536"/>
      </w:tblGrid>
      <w:tr w:rsidR="005C6D41" w:rsidRPr="007A2BDA" w:rsidTr="00F62D4B">
        <w:tc>
          <w:tcPr>
            <w:tcW w:w="3936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Outcome</w:t>
            </w:r>
          </w:p>
        </w:tc>
        <w:tc>
          <w:tcPr>
            <w:tcW w:w="1417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Linear model AIC</w:t>
            </w:r>
          </w:p>
        </w:tc>
        <w:tc>
          <w:tcPr>
            <w:tcW w:w="2410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Final segmented regression model AIC</w:t>
            </w:r>
          </w:p>
        </w:tc>
        <w:tc>
          <w:tcPr>
            <w:tcW w:w="4536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Specification (any lags or seasonal variables included in the final segmented regression model)</w:t>
            </w:r>
          </w:p>
        </w:tc>
      </w:tr>
      <w:tr w:rsidR="005C6D41" w:rsidRPr="007A2BDA" w:rsidTr="00F62D4B">
        <w:tc>
          <w:tcPr>
            <w:tcW w:w="3936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Resistance (full time series 2005-2016)</w:t>
            </w:r>
          </w:p>
          <w:p w:rsidR="005C6D41" w:rsidRPr="007A2BDA" w:rsidRDefault="005C6D41" w:rsidP="00F62D4B">
            <w:pPr>
              <w:spacing w:after="80"/>
              <w:ind w:left="176"/>
              <w:rPr>
                <w:lang w:val="en-GB"/>
              </w:rPr>
            </w:pPr>
            <w:r w:rsidRPr="007A2BDA">
              <w:rPr>
                <w:lang w:val="en-GB"/>
              </w:rPr>
              <w:t>Fluoroquinolones</w:t>
            </w:r>
          </w:p>
          <w:p w:rsidR="005C6D41" w:rsidRPr="007A2BDA" w:rsidRDefault="005C6D41" w:rsidP="00F62D4B">
            <w:pPr>
              <w:spacing w:after="80"/>
              <w:ind w:left="176"/>
              <w:rPr>
                <w:lang w:val="en-GB"/>
              </w:rPr>
            </w:pPr>
            <w:proofErr w:type="spellStart"/>
            <w:r w:rsidRPr="007A2BDA">
              <w:rPr>
                <w:lang w:val="en-GB"/>
              </w:rPr>
              <w:t>Cephalosporins</w:t>
            </w:r>
            <w:proofErr w:type="spellEnd"/>
          </w:p>
          <w:p w:rsidR="005C6D41" w:rsidRPr="007A2BDA" w:rsidRDefault="005C6D41" w:rsidP="00F62D4B">
            <w:pPr>
              <w:spacing w:after="80"/>
              <w:ind w:left="176"/>
              <w:rPr>
                <w:lang w:val="en-GB"/>
              </w:rPr>
            </w:pPr>
            <w:r w:rsidRPr="007A2BDA">
              <w:rPr>
                <w:lang w:val="en-GB"/>
              </w:rPr>
              <w:t>Co-</w:t>
            </w:r>
            <w:proofErr w:type="spellStart"/>
            <w:r w:rsidRPr="007A2BDA">
              <w:rPr>
                <w:lang w:val="en-GB"/>
              </w:rPr>
              <w:t>amoxiclav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445.0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481.5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504.0</w:t>
            </w:r>
          </w:p>
        </w:tc>
        <w:tc>
          <w:tcPr>
            <w:tcW w:w="2410" w:type="dxa"/>
            <w:shd w:val="clear" w:color="auto" w:fill="auto"/>
          </w:tcPr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444.2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478.8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507.1</w:t>
            </w:r>
          </w:p>
        </w:tc>
        <w:tc>
          <w:tcPr>
            <w:tcW w:w="4536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</w:p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No strong evidence of autocorrelation</w:t>
            </w:r>
          </w:p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Lag 4 included</w:t>
            </w:r>
          </w:p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No strong evidence of autocorrelation</w:t>
            </w:r>
          </w:p>
        </w:tc>
      </w:tr>
      <w:tr w:rsidR="005C6D41" w:rsidRPr="007A2BDA" w:rsidTr="00F62D4B">
        <w:tc>
          <w:tcPr>
            <w:tcW w:w="3936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Resistance (sensitivity analysis 2; 2006-2015)</w:t>
            </w:r>
          </w:p>
          <w:p w:rsidR="005C6D41" w:rsidRPr="007A2BDA" w:rsidRDefault="005C6D41" w:rsidP="00F62D4B">
            <w:pPr>
              <w:spacing w:after="80"/>
              <w:ind w:left="176"/>
              <w:rPr>
                <w:lang w:val="en-GB"/>
              </w:rPr>
            </w:pPr>
            <w:r w:rsidRPr="007A2BDA">
              <w:rPr>
                <w:lang w:val="en-GB"/>
              </w:rPr>
              <w:t>Fluoroquinolones</w:t>
            </w:r>
          </w:p>
          <w:p w:rsidR="005C6D41" w:rsidRPr="007A2BDA" w:rsidRDefault="005C6D41" w:rsidP="00F62D4B">
            <w:pPr>
              <w:spacing w:after="80"/>
              <w:ind w:left="176"/>
              <w:rPr>
                <w:lang w:val="en-GB"/>
              </w:rPr>
            </w:pPr>
            <w:proofErr w:type="spellStart"/>
            <w:r w:rsidRPr="007A2BDA">
              <w:rPr>
                <w:lang w:val="en-GB"/>
              </w:rPr>
              <w:t>Cephalosporins</w:t>
            </w:r>
            <w:proofErr w:type="spellEnd"/>
          </w:p>
          <w:p w:rsidR="005C6D41" w:rsidRPr="007A2BDA" w:rsidRDefault="005C6D41" w:rsidP="00F62D4B">
            <w:pPr>
              <w:spacing w:after="80"/>
              <w:ind w:left="176"/>
              <w:rPr>
                <w:lang w:val="en-GB"/>
              </w:rPr>
            </w:pPr>
            <w:r w:rsidRPr="007A2BDA">
              <w:rPr>
                <w:lang w:val="en-GB"/>
              </w:rPr>
              <w:t>Co-</w:t>
            </w:r>
            <w:proofErr w:type="spellStart"/>
            <w:r w:rsidRPr="007A2BDA">
              <w:rPr>
                <w:lang w:val="en-GB"/>
              </w:rPr>
              <w:t>amoxiclav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407.5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439.9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461.8</w:t>
            </w:r>
          </w:p>
        </w:tc>
        <w:tc>
          <w:tcPr>
            <w:tcW w:w="2410" w:type="dxa"/>
            <w:shd w:val="clear" w:color="auto" w:fill="auto"/>
          </w:tcPr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404.8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441.4</w:t>
            </w:r>
          </w:p>
          <w:p w:rsidR="005C6D41" w:rsidRPr="007A2BDA" w:rsidRDefault="005C6D41" w:rsidP="00F62D4B">
            <w:pPr>
              <w:spacing w:after="80"/>
              <w:jc w:val="center"/>
              <w:rPr>
                <w:lang w:val="en-GB"/>
              </w:rPr>
            </w:pPr>
            <w:r w:rsidRPr="007A2BDA">
              <w:rPr>
                <w:lang w:val="en-GB"/>
              </w:rPr>
              <w:t>463.7</w:t>
            </w:r>
          </w:p>
        </w:tc>
        <w:tc>
          <w:tcPr>
            <w:tcW w:w="4536" w:type="dxa"/>
            <w:shd w:val="clear" w:color="auto" w:fill="auto"/>
          </w:tcPr>
          <w:p w:rsidR="005C6D41" w:rsidRPr="007A2BDA" w:rsidRDefault="005C6D41" w:rsidP="00F62D4B">
            <w:pPr>
              <w:spacing w:after="80"/>
              <w:rPr>
                <w:lang w:val="en-GB"/>
              </w:rPr>
            </w:pPr>
          </w:p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No strong evidence of autocorrelation</w:t>
            </w:r>
          </w:p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No strong evidence of autocorrelation</w:t>
            </w:r>
          </w:p>
          <w:p w:rsidR="005C6D41" w:rsidRPr="007A2BDA" w:rsidRDefault="005C6D41" w:rsidP="00F62D4B">
            <w:pPr>
              <w:spacing w:after="80"/>
              <w:rPr>
                <w:lang w:val="en-GB"/>
              </w:rPr>
            </w:pPr>
            <w:r w:rsidRPr="007A2BDA">
              <w:rPr>
                <w:lang w:val="en-GB"/>
              </w:rPr>
              <w:t>No strong evidence of autocorrelation</w:t>
            </w:r>
          </w:p>
        </w:tc>
      </w:tr>
    </w:tbl>
    <w:p w:rsidR="00EA53D5" w:rsidRPr="00F62D4B" w:rsidRDefault="00F62D4B" w:rsidP="00F62D4B">
      <w:pPr>
        <w:spacing w:line="360" w:lineRule="auto"/>
        <w:rPr>
          <w:sz w:val="22"/>
        </w:rPr>
      </w:pPr>
      <w:r w:rsidRPr="00F62D4B">
        <w:rPr>
          <w:sz w:val="22"/>
          <w:lang w:val="en-US"/>
        </w:rPr>
        <w:t>S5 Table. Sensitivity analysis 1: Comparing model fit for simple linear regression models of resistance outcomes over time and segmented regression models of resista</w:t>
      </w:r>
      <w:bookmarkStart w:id="0" w:name="_GoBack"/>
      <w:bookmarkEnd w:id="0"/>
      <w:r w:rsidRPr="00F62D4B">
        <w:rPr>
          <w:sz w:val="22"/>
          <w:lang w:val="en-US"/>
        </w:rPr>
        <w:t>nce outcomes incorporating the intervention (interruption at intervention plus six months).</w:t>
      </w:r>
    </w:p>
    <w:sectPr w:rsidR="00EA53D5" w:rsidRPr="00F62D4B" w:rsidSect="005C6D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1"/>
    <w:rsid w:val="005C6D41"/>
    <w:rsid w:val="00EA53D5"/>
    <w:rsid w:val="00F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D1E2F-44AF-4C2D-B37A-2350B09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41"/>
    <w:pPr>
      <w:spacing w:after="200" w:line="276" w:lineRule="auto"/>
    </w:pPr>
    <w:rPr>
      <w:rFonts w:ascii="Times New Roman" w:eastAsia="Calibri" w:hAnsi="Times New Roman" w:cs="Times New Roman"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Marwick</dc:creator>
  <cp:keywords/>
  <dc:description/>
  <cp:lastModifiedBy>Charis Marwick</cp:lastModifiedBy>
  <cp:revision>2</cp:revision>
  <dcterms:created xsi:type="dcterms:W3CDTF">2019-04-25T15:12:00Z</dcterms:created>
  <dcterms:modified xsi:type="dcterms:W3CDTF">2019-04-25T15:12:00Z</dcterms:modified>
</cp:coreProperties>
</file>