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4240" w14:textId="1FAF448B" w:rsidR="003A1CC8" w:rsidRPr="000A34F1" w:rsidRDefault="00F645D6">
      <w:pPr>
        <w:rPr>
          <w:b/>
        </w:rPr>
      </w:pPr>
      <w:bookmarkStart w:id="0" w:name="_GoBack"/>
      <w:r w:rsidRPr="000A34F1">
        <w:rPr>
          <w:rFonts w:ascii="Calibri" w:hAnsi="Calibri"/>
          <w:b/>
        </w:rPr>
        <w:t>Supp</w:t>
      </w:r>
      <w:r>
        <w:rPr>
          <w:rFonts w:ascii="Calibri" w:hAnsi="Calibri"/>
          <w:b/>
        </w:rPr>
        <w:t>orting</w:t>
      </w:r>
      <w:r w:rsidR="00E82FD1" w:rsidRPr="000A34F1">
        <w:rPr>
          <w:rFonts w:ascii="Calibri" w:hAnsi="Calibri"/>
          <w:b/>
        </w:rPr>
        <w:t xml:space="preserve"> B</w:t>
      </w:r>
      <w:r w:rsidR="000A34F1" w:rsidRPr="000A34F1">
        <w:rPr>
          <w:rFonts w:ascii="Calibri" w:hAnsi="Calibri"/>
          <w:b/>
        </w:rPr>
        <w:t>ox 1.</w:t>
      </w:r>
      <w:r w:rsidR="000A34F1" w:rsidRPr="000A34F1">
        <w:rPr>
          <w:b/>
        </w:rPr>
        <w:t xml:space="preserve"> List of adjusted covariates </w:t>
      </w:r>
      <w:r w:rsidR="00E76E3D">
        <w:rPr>
          <w:b/>
        </w:rPr>
        <w:t xml:space="preserve">included </w:t>
      </w:r>
      <w:r w:rsidR="000A34F1" w:rsidRPr="000A34F1">
        <w:rPr>
          <w:b/>
        </w:rPr>
        <w:t xml:space="preserve">in </w:t>
      </w:r>
      <w:r w:rsidR="00E76E3D">
        <w:rPr>
          <w:b/>
        </w:rPr>
        <w:t xml:space="preserve">different </w:t>
      </w:r>
      <w:r w:rsidR="000A34F1" w:rsidRPr="000A34F1">
        <w:rPr>
          <w:b/>
        </w:rPr>
        <w:t>models estimating associations between women’s groups and behaviours in the antenatal, delivery, and postpartum period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601"/>
        <w:gridCol w:w="3888"/>
        <w:gridCol w:w="3887"/>
      </w:tblGrid>
      <w:tr w:rsidR="00E76E3D" w:rsidRPr="00D035A9" w14:paraId="556D6F6B" w14:textId="4642C1BB" w:rsidTr="00A674AB">
        <w:trPr>
          <w:trHeight w:val="300"/>
        </w:trPr>
        <w:tc>
          <w:tcPr>
            <w:tcW w:w="830" w:type="pct"/>
            <w:shd w:val="clear" w:color="auto" w:fill="auto"/>
            <w:noWrap/>
            <w:hideMark/>
          </w:tcPr>
          <w:bookmarkEnd w:id="0"/>
          <w:p w14:paraId="53904F24" w14:textId="77777777" w:rsidR="00E76E3D" w:rsidRPr="00AC478F" w:rsidRDefault="00E76E3D" w:rsidP="005C2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Citation</w:t>
            </w:r>
          </w:p>
        </w:tc>
        <w:tc>
          <w:tcPr>
            <w:tcW w:w="1045" w:type="pct"/>
            <w:shd w:val="clear" w:color="auto" w:fill="auto"/>
            <w:hideMark/>
          </w:tcPr>
          <w:p w14:paraId="6238F344" w14:textId="77777777" w:rsidR="00E76E3D" w:rsidRPr="00AC478F" w:rsidRDefault="00E76E3D" w:rsidP="005C2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562" w:type="pct"/>
          </w:tcPr>
          <w:p w14:paraId="661D9EB7" w14:textId="77777777" w:rsidR="00E76E3D" w:rsidRPr="000A34F1" w:rsidRDefault="00E76E3D" w:rsidP="00E76E3D">
            <w:pPr>
              <w:rPr>
                <w:b/>
              </w:rPr>
            </w:pPr>
            <w:r w:rsidRPr="00AC47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Covariates adjusted in models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A34F1">
              <w:rPr>
                <w:b/>
              </w:rPr>
              <w:t>estimating associations between women’s groups and behaviours in the antenatal, delivery, and postpartum period</w:t>
            </w:r>
          </w:p>
          <w:p w14:paraId="3DD953B7" w14:textId="65A0D523" w:rsidR="00E76E3D" w:rsidRPr="00AC478F" w:rsidRDefault="00E76E3D" w:rsidP="005C2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pct"/>
          </w:tcPr>
          <w:p w14:paraId="0A0EF61C" w14:textId="56E791A9" w:rsidR="00E76E3D" w:rsidRPr="00AC478F" w:rsidRDefault="00E76E3D" w:rsidP="00E76E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>C</w:t>
            </w:r>
            <w:r w:rsidRPr="003E36B2">
              <w:t xml:space="preserve">ovariates </w:t>
            </w:r>
            <w:r>
              <w:t>adjusted</w:t>
            </w:r>
            <w:r w:rsidRPr="003E36B2">
              <w:t xml:space="preserve"> in models estimating associations between women’s group attendance and behaviours in antenatal, delivery, and postpartum periods</w:t>
            </w:r>
          </w:p>
        </w:tc>
      </w:tr>
      <w:tr w:rsidR="00A674AB" w:rsidRPr="00D035A9" w14:paraId="5ADDB34C" w14:textId="7B04351C" w:rsidTr="00A674AB">
        <w:trPr>
          <w:trHeight w:val="300"/>
        </w:trPr>
        <w:tc>
          <w:tcPr>
            <w:tcW w:w="830" w:type="pct"/>
            <w:shd w:val="clear" w:color="auto" w:fill="auto"/>
            <w:noWrap/>
          </w:tcPr>
          <w:p w14:paraId="625830D7" w14:textId="77777777" w:rsidR="00A674AB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Manandhar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 al. 2004</w:t>
            </w:r>
          </w:p>
          <w:p w14:paraId="6C568131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5" w:type="pct"/>
            <w:shd w:val="clear" w:color="auto" w:fill="auto"/>
          </w:tcPr>
          <w:p w14:paraId="4DA733E1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Makwanpur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rural Nepal</w:t>
            </w:r>
          </w:p>
        </w:tc>
        <w:tc>
          <w:tcPr>
            <w:tcW w:w="1562" w:type="pct"/>
          </w:tcPr>
          <w:p w14:paraId="227E1AFA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Household assets, mother’s education, </w:t>
            </w:r>
          </w:p>
        </w:tc>
        <w:tc>
          <w:tcPr>
            <w:tcW w:w="1562" w:type="pct"/>
          </w:tcPr>
          <w:p w14:paraId="6B766210" w14:textId="4CFB3D85" w:rsidR="00A674AB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Household assets, maternal education, parity, maternal age</w:t>
            </w:r>
          </w:p>
        </w:tc>
      </w:tr>
      <w:tr w:rsidR="00A674AB" w:rsidRPr="00D035A9" w14:paraId="3B85C307" w14:textId="379CF96C" w:rsidTr="00A674AB">
        <w:trPr>
          <w:trHeight w:val="300"/>
        </w:trPr>
        <w:tc>
          <w:tcPr>
            <w:tcW w:w="830" w:type="pct"/>
            <w:shd w:val="clear" w:color="auto" w:fill="auto"/>
            <w:noWrap/>
            <w:hideMark/>
          </w:tcPr>
          <w:p w14:paraId="06345995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Tripathy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 al. 2010</w:t>
            </w:r>
          </w:p>
        </w:tc>
        <w:tc>
          <w:tcPr>
            <w:tcW w:w="1045" w:type="pct"/>
            <w:shd w:val="clear" w:color="auto" w:fill="auto"/>
            <w:hideMark/>
          </w:tcPr>
          <w:p w14:paraId="215D5CFB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Jhark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 and Odisha, rural India</w:t>
            </w:r>
          </w:p>
        </w:tc>
        <w:tc>
          <w:tcPr>
            <w:tcW w:w="1562" w:type="pct"/>
          </w:tcPr>
          <w:p w14:paraId="15C4D756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Mother’s religion, mother’s education, household assets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Hindu faith</w:t>
            </w:r>
          </w:p>
        </w:tc>
        <w:tc>
          <w:tcPr>
            <w:tcW w:w="1562" w:type="pct"/>
          </w:tcPr>
          <w:p w14:paraId="1C197695" w14:textId="348ECB0C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Hindu faith</w:t>
            </w: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household assets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maternal education, parity, maternal age </w:t>
            </w:r>
          </w:p>
        </w:tc>
      </w:tr>
      <w:tr w:rsidR="00A674AB" w:rsidRPr="00D035A9" w14:paraId="511DC43B" w14:textId="17E6FD82" w:rsidTr="00A674AB">
        <w:trPr>
          <w:trHeight w:val="600"/>
        </w:trPr>
        <w:tc>
          <w:tcPr>
            <w:tcW w:w="830" w:type="pct"/>
            <w:shd w:val="clear" w:color="auto" w:fill="auto"/>
            <w:noWrap/>
            <w:hideMark/>
          </w:tcPr>
          <w:p w14:paraId="1597B3A5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Azad et al. 2010</w:t>
            </w:r>
          </w:p>
        </w:tc>
        <w:tc>
          <w:tcPr>
            <w:tcW w:w="1045" w:type="pct"/>
            <w:shd w:val="clear" w:color="auto" w:fill="auto"/>
            <w:hideMark/>
          </w:tcPr>
          <w:p w14:paraId="77D37B15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Bogra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Faridpur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Moulavibazar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rural Bangladesh</w:t>
            </w:r>
          </w:p>
        </w:tc>
        <w:tc>
          <w:tcPr>
            <w:tcW w:w="1562" w:type="pct"/>
          </w:tcPr>
          <w:p w14:paraId="0725D309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Mother’s age, mother’s education, household assets</w:t>
            </w:r>
          </w:p>
        </w:tc>
        <w:tc>
          <w:tcPr>
            <w:tcW w:w="1562" w:type="pct"/>
          </w:tcPr>
          <w:p w14:paraId="139833BB" w14:textId="2935DC12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Household assets, maternal education, parity, maternal age</w:t>
            </w:r>
          </w:p>
        </w:tc>
      </w:tr>
      <w:tr w:rsidR="00A674AB" w:rsidRPr="00D035A9" w14:paraId="3E81DBAE" w14:textId="510535B2" w:rsidTr="00A674AB">
        <w:trPr>
          <w:trHeight w:val="300"/>
        </w:trPr>
        <w:tc>
          <w:tcPr>
            <w:tcW w:w="830" w:type="pct"/>
            <w:shd w:val="clear" w:color="auto" w:fill="auto"/>
            <w:noWrap/>
            <w:hideMark/>
          </w:tcPr>
          <w:p w14:paraId="7DFDDB9A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Lewycka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 al. 2013</w:t>
            </w:r>
          </w:p>
        </w:tc>
        <w:tc>
          <w:tcPr>
            <w:tcW w:w="1045" w:type="pct"/>
            <w:shd w:val="clear" w:color="auto" w:fill="auto"/>
            <w:hideMark/>
          </w:tcPr>
          <w:p w14:paraId="0EDEB0CA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Mchinji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rural Malawi</w:t>
            </w:r>
          </w:p>
        </w:tc>
        <w:tc>
          <w:tcPr>
            <w:tcW w:w="1562" w:type="pct"/>
          </w:tcPr>
          <w:p w14:paraId="1030E304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Parity, household assets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baseline differences</w:t>
            </w:r>
          </w:p>
        </w:tc>
        <w:tc>
          <w:tcPr>
            <w:tcW w:w="1562" w:type="pct"/>
          </w:tcPr>
          <w:p w14:paraId="4FE9C04F" w14:textId="075BC5EC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Household assets, maternal education, parity, maternal age</w:t>
            </w:r>
          </w:p>
        </w:tc>
      </w:tr>
      <w:tr w:rsidR="00A674AB" w:rsidRPr="00D035A9" w14:paraId="5804B5F9" w14:textId="55837DF3" w:rsidTr="00A674AB">
        <w:trPr>
          <w:trHeight w:val="300"/>
        </w:trPr>
        <w:tc>
          <w:tcPr>
            <w:tcW w:w="830" w:type="pct"/>
            <w:shd w:val="clear" w:color="auto" w:fill="auto"/>
            <w:noWrap/>
            <w:hideMark/>
          </w:tcPr>
          <w:p w14:paraId="16D58A24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More, et al. 2012</w:t>
            </w:r>
          </w:p>
        </w:tc>
        <w:tc>
          <w:tcPr>
            <w:tcW w:w="1045" w:type="pct"/>
            <w:shd w:val="clear" w:color="auto" w:fill="auto"/>
            <w:hideMark/>
          </w:tcPr>
          <w:p w14:paraId="19213815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Mumbai, urban India</w:t>
            </w:r>
          </w:p>
        </w:tc>
        <w:tc>
          <w:tcPr>
            <w:tcW w:w="1562" w:type="pct"/>
          </w:tcPr>
          <w:p w14:paraId="2A714F87" w14:textId="77777777" w:rsidR="00A674AB" w:rsidRPr="00AC478F" w:rsidRDefault="00A674AB" w:rsidP="00D21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Household assets, Muslim faith, baseline neonatal mortality rate </w:t>
            </w:r>
          </w:p>
        </w:tc>
        <w:tc>
          <w:tcPr>
            <w:tcW w:w="1562" w:type="pct"/>
          </w:tcPr>
          <w:p w14:paraId="3083B8A8" w14:textId="3ED3A02A" w:rsidR="00A674AB" w:rsidRDefault="00A674AB" w:rsidP="00D21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Household assets, maternal education, parity, maternal age, Muslim</w:t>
            </w:r>
            <w:r w:rsidRPr="00A062B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faith</w:t>
            </w:r>
          </w:p>
        </w:tc>
      </w:tr>
      <w:tr w:rsidR="00A674AB" w:rsidRPr="00D035A9" w14:paraId="55BE5B04" w14:textId="484FD5A7" w:rsidTr="00A674AB">
        <w:trPr>
          <w:trHeight w:val="600"/>
        </w:trPr>
        <w:tc>
          <w:tcPr>
            <w:tcW w:w="830" w:type="pct"/>
            <w:shd w:val="clear" w:color="auto" w:fill="auto"/>
            <w:noWrap/>
            <w:hideMark/>
          </w:tcPr>
          <w:p w14:paraId="47C5F9AF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Fottrell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 al. 2013</w:t>
            </w:r>
          </w:p>
        </w:tc>
        <w:tc>
          <w:tcPr>
            <w:tcW w:w="1045" w:type="pct"/>
            <w:shd w:val="clear" w:color="auto" w:fill="auto"/>
            <w:hideMark/>
          </w:tcPr>
          <w:p w14:paraId="11087B74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Bogra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Faridpur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Moulavibazar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rural Bangladesh</w:t>
            </w:r>
          </w:p>
        </w:tc>
        <w:tc>
          <w:tcPr>
            <w:tcW w:w="1562" w:type="pct"/>
          </w:tcPr>
          <w:p w14:paraId="0D74D28E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Mother’s age, mother’s education, household assets</w:t>
            </w:r>
          </w:p>
        </w:tc>
        <w:tc>
          <w:tcPr>
            <w:tcW w:w="1562" w:type="pct"/>
          </w:tcPr>
          <w:p w14:paraId="39C45297" w14:textId="3B9AE05A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Household assets, maternal education, parity, maternal age</w:t>
            </w:r>
          </w:p>
        </w:tc>
      </w:tr>
      <w:tr w:rsidR="00A674AB" w:rsidRPr="00D035A9" w14:paraId="6E8AB6E0" w14:textId="3BA14C6A" w:rsidTr="00A674AB">
        <w:trPr>
          <w:trHeight w:val="600"/>
        </w:trPr>
        <w:tc>
          <w:tcPr>
            <w:tcW w:w="830" w:type="pct"/>
            <w:shd w:val="clear" w:color="auto" w:fill="auto"/>
            <w:noWrap/>
          </w:tcPr>
          <w:p w14:paraId="02B68299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Tripathy</w:t>
            </w:r>
            <w:proofErr w:type="spellEnd"/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 al. 2016</w:t>
            </w:r>
          </w:p>
        </w:tc>
        <w:tc>
          <w:tcPr>
            <w:tcW w:w="1045" w:type="pct"/>
            <w:shd w:val="clear" w:color="auto" w:fill="auto"/>
          </w:tcPr>
          <w:p w14:paraId="2EBCC867" w14:textId="0F094BF4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Jhark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 and Odisha, rural India</w:t>
            </w:r>
          </w:p>
        </w:tc>
        <w:tc>
          <w:tcPr>
            <w:tcW w:w="1562" w:type="pct"/>
          </w:tcPr>
          <w:p w14:paraId="1B60E054" w14:textId="77777777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C47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Baseline differences</w:t>
            </w:r>
          </w:p>
        </w:tc>
        <w:tc>
          <w:tcPr>
            <w:tcW w:w="1562" w:type="pct"/>
          </w:tcPr>
          <w:p w14:paraId="35FD4504" w14:textId="155DBB28" w:rsidR="00A674AB" w:rsidRPr="00AC478F" w:rsidRDefault="00A674AB" w:rsidP="005C2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Household assets, maternal education, parity, maternal age</w:t>
            </w:r>
          </w:p>
        </w:tc>
      </w:tr>
    </w:tbl>
    <w:p w14:paraId="6205B0A5" w14:textId="77777777" w:rsidR="00176D88" w:rsidRDefault="00176D88" w:rsidP="00176D88">
      <w:r>
        <w:t>Description of covariate:</w:t>
      </w:r>
    </w:p>
    <w:p w14:paraId="0F56A02E" w14:textId="77777777" w:rsidR="00176D88" w:rsidRDefault="00176D88" w:rsidP="00176D88">
      <w:pPr>
        <w:ind w:left="270" w:hanging="270"/>
      </w:pPr>
      <w:r>
        <w:t xml:space="preserve">1. </w:t>
      </w:r>
      <w:r w:rsidRPr="00DC6078">
        <w:t xml:space="preserve"> </w:t>
      </w:r>
      <w:r>
        <w:t xml:space="preserve">Household assets in Nepal (categorical variable: 0=none; 1=clock, radio, iron, bicycle; 2=hand tractor, sewing machine, camera; 3=bus, truck,    motorcycle, television) </w:t>
      </w:r>
    </w:p>
    <w:p w14:paraId="094BD051" w14:textId="77777777" w:rsidR="00176D88" w:rsidRDefault="00176D88" w:rsidP="00176D88">
      <w:r>
        <w:t>2. Maternal education for all trials (categorical variable: 1=no education, 2=primary education, 3=secondary education and above)</w:t>
      </w:r>
    </w:p>
    <w:p w14:paraId="3C837178" w14:textId="2097475E" w:rsidR="00176D88" w:rsidRDefault="00176D88" w:rsidP="00176D88">
      <w:r>
        <w:t>3. Parity for all trials (categorical variable: 1=</w:t>
      </w:r>
      <w:proofErr w:type="spellStart"/>
      <w:r>
        <w:t>primiparous</w:t>
      </w:r>
      <w:proofErr w:type="spellEnd"/>
      <w:r>
        <w:t xml:space="preserve">, 2=multiparous, 3=grand </w:t>
      </w:r>
      <w:r w:rsidR="00F64F09">
        <w:t>multi</w:t>
      </w:r>
      <w:r>
        <w:t>parous)</w:t>
      </w:r>
    </w:p>
    <w:p w14:paraId="19A4CB5C" w14:textId="77777777" w:rsidR="00176D88" w:rsidRDefault="00176D88" w:rsidP="00176D88">
      <w:r>
        <w:t>4. Maternal age for all trials (discrete variable)</w:t>
      </w:r>
    </w:p>
    <w:p w14:paraId="621A35D4" w14:textId="5E43F5C7" w:rsidR="00176D88" w:rsidRDefault="00176D88" w:rsidP="00176D88">
      <w:r>
        <w:lastRenderedPageBreak/>
        <w:t>5. Hind</w:t>
      </w:r>
      <w:r w:rsidR="009163C9">
        <w:t>u</w:t>
      </w:r>
      <w:r>
        <w:t xml:space="preserve"> faith for first India trial (dichotomous variable: 0=not Hind</w:t>
      </w:r>
      <w:r w:rsidR="009163C9">
        <w:t>u</w:t>
      </w:r>
      <w:r>
        <w:t>/1=Hind</w:t>
      </w:r>
      <w:r w:rsidR="009163C9">
        <w:t>u</w:t>
      </w:r>
      <w:r>
        <w:t>)</w:t>
      </w:r>
    </w:p>
    <w:p w14:paraId="228FE2B4" w14:textId="77777777" w:rsidR="00176D88" w:rsidRDefault="00176D88" w:rsidP="00176D88">
      <w:r>
        <w:t>6. Household assets for all trials except Nepal and Malawi (categorical variable reported in quintiles)</w:t>
      </w:r>
    </w:p>
    <w:p w14:paraId="04F8E152" w14:textId="77777777" w:rsidR="00176D88" w:rsidRDefault="00176D88" w:rsidP="00176D88">
      <w:r>
        <w:t>7. Household assets in Malawi (categorical variable: 0=no assets, 1=one asset, 2=two assets or more)</w:t>
      </w:r>
    </w:p>
    <w:p w14:paraId="5AE8B6AB" w14:textId="77777777" w:rsidR="00176D88" w:rsidRDefault="00176D88" w:rsidP="00176D88">
      <w:r>
        <w:t>8. Muslim faith for Mumbai trial only (0=not Muslim, 1=Muslim)</w:t>
      </w:r>
    </w:p>
    <w:p w14:paraId="2CB49A96" w14:textId="77777777" w:rsidR="00176D88" w:rsidRDefault="00176D88"/>
    <w:sectPr w:rsidR="00176D88" w:rsidSect="00176D88">
      <w:pgSz w:w="16838" w:h="11906" w:orient="landscape"/>
      <w:pgMar w:top="1440" w:right="29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1"/>
    <w:rsid w:val="000A34F1"/>
    <w:rsid w:val="00176D88"/>
    <w:rsid w:val="009163C9"/>
    <w:rsid w:val="00933FC3"/>
    <w:rsid w:val="00A674AB"/>
    <w:rsid w:val="00BC60B3"/>
    <w:rsid w:val="00CD26C2"/>
    <w:rsid w:val="00D21627"/>
    <w:rsid w:val="00E24C05"/>
    <w:rsid w:val="00E76E3D"/>
    <w:rsid w:val="00E82FD1"/>
    <w:rsid w:val="00E87055"/>
    <w:rsid w:val="00F645D6"/>
    <w:rsid w:val="00F64F09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F533"/>
  <w15:chartTrackingRefBased/>
  <w15:docId w15:val="{001DA00A-16A6-4B37-A5E4-4408E30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FD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FD1"/>
    <w:rPr>
      <w:rFonts w:ascii="Times New Roman" w:eastAsiaTheme="majorEastAsia" w:hAnsi="Times New Roman" w:cstheme="majorBidi"/>
      <w:b/>
      <w:sz w:val="24"/>
      <w:szCs w:val="26"/>
    </w:rPr>
  </w:style>
  <w:style w:type="character" w:styleId="CommentReference">
    <w:name w:val="annotation reference"/>
    <w:uiPriority w:val="99"/>
    <w:semiHidden/>
    <w:unhideWhenUsed/>
    <w:rsid w:val="00E82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2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FD1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3C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3C9"/>
    <w:rPr>
      <w:rFonts w:ascii="Times New Roman" w:eastAsia="MS Mincho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Seward</dc:creator>
  <cp:keywords/>
  <dc:description/>
  <cp:lastModifiedBy>Nadine Seward</cp:lastModifiedBy>
  <cp:revision>3</cp:revision>
  <dcterms:created xsi:type="dcterms:W3CDTF">2017-10-27T09:54:00Z</dcterms:created>
  <dcterms:modified xsi:type="dcterms:W3CDTF">2017-10-27T11:27:00Z</dcterms:modified>
</cp:coreProperties>
</file>