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0B" w:rsidRDefault="004E600B" w:rsidP="004E600B">
      <w:pPr>
        <w:rPr>
          <w:rFonts w:asciiTheme="majorBidi" w:hAnsiTheme="majorBidi" w:cstheme="majorBidi"/>
          <w:b/>
          <w:sz w:val="24"/>
          <w:szCs w:val="24"/>
        </w:rPr>
      </w:pPr>
      <w:r w:rsidRPr="006800ED">
        <w:rPr>
          <w:rFonts w:asciiTheme="majorBidi" w:hAnsiTheme="majorBidi" w:cstheme="majorBidi"/>
          <w:b/>
          <w:sz w:val="24"/>
          <w:szCs w:val="24"/>
          <w:highlight w:val="yellow"/>
        </w:rPr>
        <w:t>S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Table:  STI Indicators included in the Global AIDS Response Progress Reporting System (GARPR)</w:t>
      </w:r>
    </w:p>
    <w:p w:rsidR="004E600B" w:rsidRDefault="004E600B" w:rsidP="004E600B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  <w:gridCol w:w="3260"/>
      </w:tblGrid>
      <w:tr w:rsidR="004E600B" w:rsidTr="002144DE">
        <w:tc>
          <w:tcPr>
            <w:tcW w:w="10031" w:type="dxa"/>
          </w:tcPr>
          <w:p w:rsidR="004E600B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GARPR Indicator</w:t>
            </w:r>
          </w:p>
        </w:tc>
        <w:tc>
          <w:tcPr>
            <w:tcW w:w="3260" w:type="dxa"/>
          </w:tcPr>
          <w:p w:rsidR="004E600B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Population</w:t>
            </w:r>
          </w:p>
          <w:p w:rsidR="004E600B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600B" w:rsidTr="002144DE">
        <w:tc>
          <w:tcPr>
            <w:tcW w:w="10031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0D43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women accessing antenatal care (ANC) services who were tested for syphilis</w:t>
            </w:r>
          </w:p>
        </w:tc>
        <w:tc>
          <w:tcPr>
            <w:tcW w:w="3260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00D43">
              <w:rPr>
                <w:rFonts w:asciiTheme="majorBidi" w:hAnsiTheme="majorBidi" w:cstheme="majorBidi"/>
                <w:bCs/>
                <w:sz w:val="24"/>
                <w:szCs w:val="24"/>
              </w:rPr>
              <w:t>Pregnant women</w:t>
            </w:r>
          </w:p>
        </w:tc>
      </w:tr>
      <w:tr w:rsidR="004E600B" w:rsidTr="002144DE">
        <w:tc>
          <w:tcPr>
            <w:tcW w:w="10031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0D43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antenatal care attendees tested who were positive for syphilis;</w:t>
            </w:r>
          </w:p>
        </w:tc>
        <w:tc>
          <w:tcPr>
            <w:tcW w:w="3260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00D43">
              <w:rPr>
                <w:rFonts w:asciiTheme="majorBidi" w:hAnsiTheme="majorBidi" w:cstheme="majorBidi"/>
                <w:bCs/>
                <w:sz w:val="24"/>
                <w:szCs w:val="24"/>
              </w:rPr>
              <w:t>Pregnant women</w:t>
            </w:r>
          </w:p>
        </w:tc>
      </w:tr>
      <w:tr w:rsidR="004E600B" w:rsidTr="002144DE">
        <w:tc>
          <w:tcPr>
            <w:tcW w:w="10031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0D43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antenatal care attendees positive for syphilis who received treatment;</w:t>
            </w:r>
          </w:p>
        </w:tc>
        <w:tc>
          <w:tcPr>
            <w:tcW w:w="3260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00D43">
              <w:rPr>
                <w:rFonts w:asciiTheme="majorBidi" w:hAnsiTheme="majorBidi" w:cstheme="majorBidi"/>
                <w:bCs/>
                <w:sz w:val="24"/>
                <w:szCs w:val="24"/>
              </w:rPr>
              <w:t>Pregnant women</w:t>
            </w:r>
          </w:p>
        </w:tc>
      </w:tr>
      <w:tr w:rsidR="004E600B" w:rsidTr="002144DE">
        <w:tc>
          <w:tcPr>
            <w:tcW w:w="10031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0D43">
              <w:rPr>
                <w:rFonts w:ascii="Times New Roman" w:hAnsi="Times New Roman" w:cs="Times New Roman"/>
                <w:bCs/>
                <w:sz w:val="24"/>
                <w:szCs w:val="24"/>
              </w:rPr>
              <w:t>Rate of reported congenital syphilis cases (live births and stillbirths) in the past 12 months (per 100,000 live births).</w:t>
            </w:r>
          </w:p>
        </w:tc>
        <w:tc>
          <w:tcPr>
            <w:tcW w:w="3260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00D4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Infants </w:t>
            </w:r>
          </w:p>
        </w:tc>
      </w:tr>
      <w:tr w:rsidR="004E600B" w:rsidTr="002144DE">
        <w:tc>
          <w:tcPr>
            <w:tcW w:w="10031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778A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sex workers with active syphilis</w:t>
            </w:r>
          </w:p>
        </w:tc>
        <w:tc>
          <w:tcPr>
            <w:tcW w:w="3260" w:type="dxa"/>
          </w:tcPr>
          <w:p w:rsidR="004E600B" w:rsidRPr="00300D43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00D43">
              <w:rPr>
                <w:rFonts w:asciiTheme="majorBidi" w:hAnsiTheme="majorBidi" w:cstheme="majorBidi"/>
                <w:bCs/>
                <w:sz w:val="24"/>
                <w:szCs w:val="24"/>
              </w:rPr>
              <w:t>Sex workers</w:t>
            </w:r>
          </w:p>
        </w:tc>
      </w:tr>
      <w:tr w:rsidR="004E600B" w:rsidTr="002144DE">
        <w:tc>
          <w:tcPr>
            <w:tcW w:w="10031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778A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men who have sex with men with active syphilis</w:t>
            </w:r>
          </w:p>
        </w:tc>
        <w:tc>
          <w:tcPr>
            <w:tcW w:w="3260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778A">
              <w:rPr>
                <w:rFonts w:asciiTheme="majorBidi" w:hAnsiTheme="majorBidi" w:cstheme="majorBidi"/>
                <w:bCs/>
                <w:sz w:val="24"/>
                <w:szCs w:val="24"/>
              </w:rPr>
              <w:t>Men who have sex with men</w:t>
            </w:r>
          </w:p>
        </w:tc>
      </w:tr>
      <w:tr w:rsidR="004E600B" w:rsidTr="002144DE">
        <w:tc>
          <w:tcPr>
            <w:tcW w:w="10031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778A">
              <w:rPr>
                <w:rFonts w:ascii="Times New Roman" w:hAnsi="Times New Roman" w:cs="Times New Roman"/>
                <w:bCs/>
                <w:sz w:val="24"/>
                <w:szCs w:val="24"/>
              </w:rPr>
              <w:t>Rate of clinically diagnosed (syndromic diagnosis) cases of urethral discharge among men</w:t>
            </w:r>
          </w:p>
        </w:tc>
        <w:tc>
          <w:tcPr>
            <w:tcW w:w="3260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 ages 15-49</w:t>
            </w:r>
          </w:p>
        </w:tc>
      </w:tr>
      <w:tr w:rsidR="004E600B" w:rsidTr="002144DE">
        <w:tc>
          <w:tcPr>
            <w:tcW w:w="10031" w:type="dxa"/>
          </w:tcPr>
          <w:p w:rsidR="004E600B" w:rsidRPr="00CF778A" w:rsidRDefault="004E600B" w:rsidP="00214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8A">
              <w:rPr>
                <w:rFonts w:ascii="Times New Roman" w:hAnsi="Times New Roman" w:cs="Times New Roman"/>
                <w:bCs/>
                <w:sz w:val="24"/>
                <w:szCs w:val="24"/>
              </w:rPr>
              <w:t>Rate of male gonorrhoea cases based on laboratory diagnosis</w:t>
            </w:r>
          </w:p>
        </w:tc>
        <w:tc>
          <w:tcPr>
            <w:tcW w:w="3260" w:type="dxa"/>
          </w:tcPr>
          <w:p w:rsidR="004E600B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 ages 15-49</w:t>
            </w:r>
          </w:p>
        </w:tc>
      </w:tr>
      <w:tr w:rsidR="004E600B" w:rsidTr="002144DE">
        <w:tc>
          <w:tcPr>
            <w:tcW w:w="10031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778A">
              <w:rPr>
                <w:rFonts w:ascii="Times New Roman" w:hAnsi="Times New Roman" w:cs="Times New Roman"/>
                <w:bCs/>
                <w:sz w:val="24"/>
                <w:szCs w:val="24"/>
              </w:rPr>
              <w:t>Rate of clinically diagnosed cases of genital ulcer disease among men and women (removed in 2015);</w:t>
            </w:r>
          </w:p>
        </w:tc>
        <w:tc>
          <w:tcPr>
            <w:tcW w:w="3260" w:type="dxa"/>
          </w:tcPr>
          <w:p w:rsidR="004E600B" w:rsidRPr="00CF778A" w:rsidRDefault="004E600B" w:rsidP="002144D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 and women ages 15-49</w:t>
            </w:r>
          </w:p>
        </w:tc>
      </w:tr>
    </w:tbl>
    <w:p w:rsidR="001F37B7" w:rsidRDefault="001F37B7">
      <w:bookmarkStart w:id="0" w:name="_GoBack"/>
      <w:bookmarkEnd w:id="0"/>
    </w:p>
    <w:sectPr w:rsidR="001F37B7" w:rsidSect="004E60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B"/>
    <w:rsid w:val="001F37B7"/>
    <w:rsid w:val="004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0B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0B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Melanie</dc:creator>
  <cp:lastModifiedBy>TAYLOR, Melanie</cp:lastModifiedBy>
  <cp:revision>1</cp:revision>
  <dcterms:created xsi:type="dcterms:W3CDTF">2017-02-27T12:30:00Z</dcterms:created>
  <dcterms:modified xsi:type="dcterms:W3CDTF">2017-02-27T12:32:00Z</dcterms:modified>
</cp:coreProperties>
</file>