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120C0" w14:textId="193D57D7" w:rsidR="002A52E0" w:rsidRPr="00AE33D6" w:rsidRDefault="002A52E0" w:rsidP="002A52E0">
      <w:pPr>
        <w:rPr>
          <w:b/>
        </w:rPr>
      </w:pPr>
      <w:r>
        <w:rPr>
          <w:b/>
        </w:rPr>
        <w:t>S</w:t>
      </w:r>
      <w:r w:rsidR="009F2AC8">
        <w:rPr>
          <w:b/>
        </w:rPr>
        <w:t>2</w:t>
      </w:r>
      <w:bookmarkStart w:id="0" w:name="_GoBack"/>
      <w:bookmarkEnd w:id="0"/>
      <w:r>
        <w:rPr>
          <w:b/>
        </w:rPr>
        <w:t xml:space="preserve"> Table – Sensitivity analysis: different classifications of </w:t>
      </w:r>
      <w:proofErr w:type="spellStart"/>
      <w:r w:rsidR="00AE33D6" w:rsidRPr="00AE33D6">
        <w:rPr>
          <w:b/>
        </w:rPr>
        <w:t>Estratégia</w:t>
      </w:r>
      <w:proofErr w:type="spellEnd"/>
      <w:r w:rsidR="00AE33D6" w:rsidRPr="00AE33D6">
        <w:rPr>
          <w:b/>
        </w:rPr>
        <w:t xml:space="preserve"> de </w:t>
      </w:r>
      <w:proofErr w:type="spellStart"/>
      <w:r w:rsidR="00AE33D6" w:rsidRPr="00AE33D6">
        <w:rPr>
          <w:b/>
        </w:rPr>
        <w:t>Saúde</w:t>
      </w:r>
      <w:proofErr w:type="spellEnd"/>
      <w:r w:rsidR="00AE33D6" w:rsidRPr="00AE33D6">
        <w:rPr>
          <w:b/>
        </w:rPr>
        <w:t xml:space="preserve"> da </w:t>
      </w:r>
      <w:proofErr w:type="spellStart"/>
      <w:r w:rsidR="00AE33D6" w:rsidRPr="00AE33D6">
        <w:rPr>
          <w:b/>
        </w:rPr>
        <w:t>Família</w:t>
      </w:r>
      <w:proofErr w:type="spellEnd"/>
      <w:r w:rsidR="00AE33D6" w:rsidRPr="00AE33D6">
        <w:rPr>
          <w:b/>
        </w:rPr>
        <w:t xml:space="preserve"> </w:t>
      </w:r>
      <w:r w:rsidRPr="00AE33D6">
        <w:rPr>
          <w:b/>
        </w:rPr>
        <w:t>coverage</w:t>
      </w:r>
    </w:p>
    <w:p w14:paraId="0BC2218C" w14:textId="77777777" w:rsidR="002A52E0" w:rsidRDefault="002A52E0" w:rsidP="002A52E0">
      <w:pPr>
        <w:rPr>
          <w:b/>
        </w:rPr>
      </w:pPr>
    </w:p>
    <w:p w14:paraId="318DA963" w14:textId="77777777" w:rsidR="002A52E0" w:rsidRDefault="002A52E0" w:rsidP="002A52E0">
      <w:r>
        <w:t>Two-year average ESF (</w:t>
      </w:r>
      <w:proofErr w:type="spellStart"/>
      <w:r w:rsidRPr="005603D3">
        <w:rPr>
          <w:i/>
        </w:rPr>
        <w:t>Estratégia</w:t>
      </w:r>
      <w:proofErr w:type="spellEnd"/>
      <w:r w:rsidRPr="005603D3">
        <w:rPr>
          <w:i/>
        </w:rPr>
        <w:t xml:space="preserve"> de </w:t>
      </w:r>
      <w:proofErr w:type="spellStart"/>
      <w:r w:rsidRPr="005603D3">
        <w:rPr>
          <w:i/>
        </w:rPr>
        <w:t>Saúde</w:t>
      </w:r>
      <w:proofErr w:type="spellEnd"/>
      <w:r w:rsidRPr="005603D3">
        <w:rPr>
          <w:i/>
        </w:rPr>
        <w:t xml:space="preserve"> da </w:t>
      </w:r>
      <w:proofErr w:type="spellStart"/>
      <w:r w:rsidRPr="005603D3">
        <w:rPr>
          <w:i/>
        </w:rPr>
        <w:t>Família</w:t>
      </w:r>
      <w:proofErr w:type="spellEnd"/>
      <w:r>
        <w:t xml:space="preserve">) coverage was employed in the main analysis to account for lagged and duration effects of the ESF over two years, as well as interpretability. Below are the results showing alternative classifications of ESF coverage. Covariates and model specifications are identical (except ESF coverage) to the main analyses. Model 1 shows ESF classification as a two-year average (used in the main analyses). Model 2 shows the associations using only within-year ESF coverage, whereas Model 3 shows ESF coverage including both within-year ESF coverage and ESF coverage in the year prior. </w:t>
      </w:r>
    </w:p>
    <w:p w14:paraId="22A81747" w14:textId="77777777" w:rsidR="002A52E0" w:rsidRDefault="002A52E0" w:rsidP="002A52E0"/>
    <w:p w14:paraId="2591D03E" w14:textId="77777777" w:rsidR="002A52E0" w:rsidRPr="00615ED0" w:rsidRDefault="002A52E0" w:rsidP="002A52E0">
      <w:r>
        <w:rPr>
          <w:b/>
        </w:rPr>
        <w:t xml:space="preserve">Results from longitudinal fixed-effects Poisson regression of ACSC mortality in black/ </w:t>
      </w:r>
      <w:proofErr w:type="spellStart"/>
      <w:r w:rsidRPr="00103A36">
        <w:rPr>
          <w:b/>
          <w:i/>
        </w:rPr>
        <w:t>pardo</w:t>
      </w:r>
      <w:proofErr w:type="spellEnd"/>
      <w:r>
        <w:rPr>
          <w:b/>
        </w:rPr>
        <w:t xml:space="preserve"> and white populations with different classifications of ESF</w:t>
      </w:r>
      <w:r w:rsidRPr="000414ED">
        <w:t xml:space="preserve"> </w:t>
      </w:r>
      <w:r>
        <w:rPr>
          <w:b/>
        </w:rPr>
        <w:t>coverage</w:t>
      </w: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935"/>
        <w:gridCol w:w="106"/>
        <w:gridCol w:w="943"/>
        <w:gridCol w:w="140"/>
        <w:gridCol w:w="853"/>
        <w:gridCol w:w="992"/>
        <w:gridCol w:w="895"/>
        <w:gridCol w:w="27"/>
        <w:gridCol w:w="1002"/>
        <w:gridCol w:w="8"/>
      </w:tblGrid>
      <w:tr w:rsidR="002A52E0" w:rsidRPr="00E50F22" w14:paraId="5CE54961" w14:textId="77777777" w:rsidTr="004C4C09">
        <w:trPr>
          <w:gridAfter w:val="1"/>
          <w:wAfter w:w="8" w:type="dxa"/>
          <w:trHeight w:val="284"/>
        </w:trPr>
        <w:tc>
          <w:tcPr>
            <w:tcW w:w="3119" w:type="dxa"/>
            <w:noWrap/>
            <w:vAlign w:val="center"/>
          </w:tcPr>
          <w:p w14:paraId="65EE9F02" w14:textId="77777777" w:rsidR="002A52E0" w:rsidRPr="00615ED0" w:rsidRDefault="002A52E0" w:rsidP="004C4C09"/>
        </w:tc>
        <w:tc>
          <w:tcPr>
            <w:tcW w:w="2124" w:type="dxa"/>
            <w:gridSpan w:val="4"/>
            <w:noWrap/>
            <w:vAlign w:val="center"/>
          </w:tcPr>
          <w:p w14:paraId="0E56EA51" w14:textId="77777777" w:rsidR="002A52E0" w:rsidRPr="00615ED0" w:rsidRDefault="002A52E0" w:rsidP="004C4C09"/>
        </w:tc>
        <w:tc>
          <w:tcPr>
            <w:tcW w:w="853" w:type="dxa"/>
            <w:noWrap/>
            <w:vAlign w:val="center"/>
          </w:tcPr>
          <w:p w14:paraId="3767F00E" w14:textId="77777777" w:rsidR="002A52E0" w:rsidRPr="00615ED0" w:rsidRDefault="002A52E0" w:rsidP="004C4C09"/>
        </w:tc>
        <w:tc>
          <w:tcPr>
            <w:tcW w:w="992" w:type="dxa"/>
            <w:noWrap/>
            <w:vAlign w:val="center"/>
          </w:tcPr>
          <w:p w14:paraId="29711FA1" w14:textId="77777777" w:rsidR="002A52E0" w:rsidRPr="00615ED0" w:rsidRDefault="002A52E0" w:rsidP="004C4C09"/>
        </w:tc>
        <w:tc>
          <w:tcPr>
            <w:tcW w:w="922" w:type="dxa"/>
            <w:gridSpan w:val="2"/>
            <w:noWrap/>
            <w:vAlign w:val="center"/>
          </w:tcPr>
          <w:p w14:paraId="73D73575" w14:textId="77777777" w:rsidR="002A52E0" w:rsidRPr="00615ED0" w:rsidRDefault="002A52E0" w:rsidP="004C4C09"/>
        </w:tc>
        <w:tc>
          <w:tcPr>
            <w:tcW w:w="1002" w:type="dxa"/>
            <w:noWrap/>
            <w:vAlign w:val="center"/>
          </w:tcPr>
          <w:p w14:paraId="222ABEC5" w14:textId="77777777" w:rsidR="002A52E0" w:rsidRPr="00615ED0" w:rsidRDefault="002A52E0" w:rsidP="004C4C09"/>
        </w:tc>
      </w:tr>
      <w:tr w:rsidR="002A52E0" w:rsidRPr="00E50F22" w14:paraId="1164DBB8" w14:textId="77777777" w:rsidTr="004C4C09">
        <w:trPr>
          <w:trHeight w:val="284"/>
        </w:trPr>
        <w:tc>
          <w:tcPr>
            <w:tcW w:w="3119" w:type="dxa"/>
            <w:noWrap/>
            <w:vAlign w:val="center"/>
            <w:hideMark/>
          </w:tcPr>
          <w:p w14:paraId="633D08D2" w14:textId="77777777" w:rsidR="002A52E0" w:rsidRPr="00615ED0" w:rsidRDefault="002A52E0" w:rsidP="004C4C09"/>
        </w:tc>
        <w:tc>
          <w:tcPr>
            <w:tcW w:w="935" w:type="dxa"/>
            <w:noWrap/>
            <w:vAlign w:val="center"/>
            <w:hideMark/>
          </w:tcPr>
          <w:p w14:paraId="3788406C" w14:textId="77777777" w:rsidR="002A52E0" w:rsidRPr="003F63D5" w:rsidRDefault="002A52E0" w:rsidP="004C4C09">
            <w:pPr>
              <w:rPr>
                <w:b/>
                <w:sz w:val="22"/>
                <w:szCs w:val="22"/>
              </w:rPr>
            </w:pPr>
            <w:r w:rsidRPr="003F63D5">
              <w:rPr>
                <w:b/>
                <w:sz w:val="22"/>
                <w:szCs w:val="22"/>
              </w:rPr>
              <w:t>Model 1</w:t>
            </w:r>
          </w:p>
        </w:tc>
        <w:tc>
          <w:tcPr>
            <w:tcW w:w="1049" w:type="dxa"/>
            <w:gridSpan w:val="2"/>
            <w:noWrap/>
            <w:vAlign w:val="center"/>
            <w:hideMark/>
          </w:tcPr>
          <w:p w14:paraId="011C4ACD" w14:textId="77777777" w:rsidR="002A52E0" w:rsidRPr="003F63D5" w:rsidRDefault="002A52E0" w:rsidP="004C4C09">
            <w:pPr>
              <w:rPr>
                <w:b/>
                <w:sz w:val="22"/>
                <w:szCs w:val="22"/>
              </w:rPr>
            </w:pPr>
          </w:p>
        </w:tc>
        <w:tc>
          <w:tcPr>
            <w:tcW w:w="993" w:type="dxa"/>
            <w:gridSpan w:val="2"/>
            <w:noWrap/>
            <w:vAlign w:val="center"/>
            <w:hideMark/>
          </w:tcPr>
          <w:p w14:paraId="356E4C9A" w14:textId="77777777" w:rsidR="002A52E0" w:rsidRPr="003F63D5" w:rsidRDefault="002A52E0" w:rsidP="004C4C09">
            <w:pPr>
              <w:rPr>
                <w:b/>
                <w:sz w:val="22"/>
                <w:szCs w:val="22"/>
              </w:rPr>
            </w:pPr>
            <w:r w:rsidRPr="003F63D5">
              <w:rPr>
                <w:b/>
                <w:sz w:val="22"/>
                <w:szCs w:val="22"/>
              </w:rPr>
              <w:t>Model 2</w:t>
            </w:r>
          </w:p>
        </w:tc>
        <w:tc>
          <w:tcPr>
            <w:tcW w:w="992" w:type="dxa"/>
            <w:noWrap/>
            <w:vAlign w:val="center"/>
            <w:hideMark/>
          </w:tcPr>
          <w:p w14:paraId="637D7747" w14:textId="77777777" w:rsidR="002A52E0" w:rsidRPr="003F63D5" w:rsidRDefault="002A52E0" w:rsidP="004C4C09">
            <w:pPr>
              <w:rPr>
                <w:b/>
                <w:sz w:val="22"/>
                <w:szCs w:val="22"/>
              </w:rPr>
            </w:pPr>
          </w:p>
        </w:tc>
        <w:tc>
          <w:tcPr>
            <w:tcW w:w="895" w:type="dxa"/>
            <w:noWrap/>
            <w:vAlign w:val="center"/>
            <w:hideMark/>
          </w:tcPr>
          <w:p w14:paraId="5F55C119" w14:textId="77777777" w:rsidR="002A52E0" w:rsidRPr="003F63D5" w:rsidRDefault="002A52E0" w:rsidP="004C4C09">
            <w:pPr>
              <w:rPr>
                <w:b/>
                <w:sz w:val="22"/>
                <w:szCs w:val="22"/>
              </w:rPr>
            </w:pPr>
            <w:r w:rsidRPr="003F63D5">
              <w:rPr>
                <w:b/>
                <w:sz w:val="22"/>
                <w:szCs w:val="22"/>
              </w:rPr>
              <w:t>Model 3</w:t>
            </w:r>
          </w:p>
        </w:tc>
        <w:tc>
          <w:tcPr>
            <w:tcW w:w="1037" w:type="dxa"/>
            <w:gridSpan w:val="3"/>
            <w:noWrap/>
            <w:vAlign w:val="center"/>
            <w:hideMark/>
          </w:tcPr>
          <w:p w14:paraId="77DDC1E8" w14:textId="77777777" w:rsidR="002A52E0" w:rsidRPr="003F63D5" w:rsidRDefault="002A52E0" w:rsidP="004C4C09">
            <w:pPr>
              <w:rPr>
                <w:b/>
                <w:sz w:val="22"/>
                <w:szCs w:val="22"/>
              </w:rPr>
            </w:pPr>
          </w:p>
        </w:tc>
      </w:tr>
      <w:tr w:rsidR="002A52E0" w:rsidRPr="00E50F22" w14:paraId="2FCF756A" w14:textId="77777777" w:rsidTr="004C4C09">
        <w:trPr>
          <w:trHeight w:val="284"/>
        </w:trPr>
        <w:tc>
          <w:tcPr>
            <w:tcW w:w="3119" w:type="dxa"/>
            <w:tcBorders>
              <w:bottom w:val="single" w:sz="4" w:space="0" w:color="auto"/>
            </w:tcBorders>
            <w:noWrap/>
            <w:vAlign w:val="center"/>
          </w:tcPr>
          <w:p w14:paraId="654DCDD3" w14:textId="77777777" w:rsidR="002A52E0" w:rsidRPr="00615ED0" w:rsidRDefault="002A52E0" w:rsidP="004C4C09"/>
        </w:tc>
        <w:tc>
          <w:tcPr>
            <w:tcW w:w="935" w:type="dxa"/>
            <w:tcBorders>
              <w:bottom w:val="single" w:sz="4" w:space="0" w:color="auto"/>
            </w:tcBorders>
            <w:noWrap/>
            <w:vAlign w:val="center"/>
          </w:tcPr>
          <w:p w14:paraId="74DE0964" w14:textId="77777777" w:rsidR="002A52E0" w:rsidRPr="003F63D5" w:rsidRDefault="002A52E0" w:rsidP="004C4C09">
            <w:pPr>
              <w:rPr>
                <w:b/>
                <w:sz w:val="22"/>
                <w:szCs w:val="22"/>
              </w:rPr>
            </w:pPr>
            <w:r w:rsidRPr="003F63D5">
              <w:rPr>
                <w:rFonts w:eastAsia="Times New Roman"/>
                <w:b/>
                <w:color w:val="000000"/>
                <w:sz w:val="22"/>
                <w:szCs w:val="22"/>
              </w:rPr>
              <w:t>RR</w:t>
            </w:r>
          </w:p>
        </w:tc>
        <w:tc>
          <w:tcPr>
            <w:tcW w:w="1049" w:type="dxa"/>
            <w:gridSpan w:val="2"/>
            <w:tcBorders>
              <w:bottom w:val="single" w:sz="4" w:space="0" w:color="auto"/>
            </w:tcBorders>
            <w:noWrap/>
            <w:vAlign w:val="center"/>
          </w:tcPr>
          <w:p w14:paraId="051B3732" w14:textId="77777777" w:rsidR="002A52E0" w:rsidRPr="003F63D5" w:rsidRDefault="002A52E0" w:rsidP="004C4C09">
            <w:pPr>
              <w:rPr>
                <w:b/>
                <w:sz w:val="22"/>
                <w:szCs w:val="22"/>
              </w:rPr>
            </w:pPr>
            <w:r w:rsidRPr="003F63D5">
              <w:rPr>
                <w:rFonts w:eastAsia="Times New Roman"/>
                <w:b/>
                <w:color w:val="000000"/>
                <w:sz w:val="22"/>
                <w:szCs w:val="22"/>
              </w:rPr>
              <w:t>95% CI</w:t>
            </w:r>
          </w:p>
        </w:tc>
        <w:tc>
          <w:tcPr>
            <w:tcW w:w="993" w:type="dxa"/>
            <w:gridSpan w:val="2"/>
            <w:tcBorders>
              <w:bottom w:val="single" w:sz="4" w:space="0" w:color="auto"/>
            </w:tcBorders>
            <w:noWrap/>
            <w:vAlign w:val="center"/>
          </w:tcPr>
          <w:p w14:paraId="00212201" w14:textId="77777777" w:rsidR="002A52E0" w:rsidRPr="003F63D5" w:rsidRDefault="002A52E0" w:rsidP="004C4C09">
            <w:pPr>
              <w:rPr>
                <w:b/>
                <w:sz w:val="22"/>
                <w:szCs w:val="22"/>
              </w:rPr>
            </w:pPr>
            <w:r w:rsidRPr="003F63D5">
              <w:rPr>
                <w:rFonts w:eastAsia="Times New Roman"/>
                <w:b/>
                <w:color w:val="000000"/>
                <w:sz w:val="22"/>
                <w:szCs w:val="22"/>
              </w:rPr>
              <w:t>RR</w:t>
            </w:r>
          </w:p>
        </w:tc>
        <w:tc>
          <w:tcPr>
            <w:tcW w:w="992" w:type="dxa"/>
            <w:tcBorders>
              <w:bottom w:val="single" w:sz="4" w:space="0" w:color="auto"/>
            </w:tcBorders>
            <w:noWrap/>
            <w:vAlign w:val="center"/>
          </w:tcPr>
          <w:p w14:paraId="1222339E" w14:textId="77777777" w:rsidR="002A52E0" w:rsidRPr="003F63D5" w:rsidRDefault="002A52E0" w:rsidP="004C4C09">
            <w:pPr>
              <w:rPr>
                <w:b/>
                <w:sz w:val="22"/>
                <w:szCs w:val="22"/>
              </w:rPr>
            </w:pPr>
            <w:r w:rsidRPr="003F63D5">
              <w:rPr>
                <w:rFonts w:eastAsia="Times New Roman"/>
                <w:b/>
                <w:color w:val="000000"/>
                <w:sz w:val="22"/>
                <w:szCs w:val="22"/>
              </w:rPr>
              <w:t>95% CI</w:t>
            </w:r>
          </w:p>
        </w:tc>
        <w:tc>
          <w:tcPr>
            <w:tcW w:w="895" w:type="dxa"/>
            <w:tcBorders>
              <w:bottom w:val="single" w:sz="4" w:space="0" w:color="auto"/>
            </w:tcBorders>
            <w:noWrap/>
            <w:vAlign w:val="center"/>
          </w:tcPr>
          <w:p w14:paraId="4522F12B" w14:textId="77777777" w:rsidR="002A52E0" w:rsidRPr="003F63D5" w:rsidRDefault="002A52E0" w:rsidP="004C4C09">
            <w:pPr>
              <w:rPr>
                <w:b/>
                <w:sz w:val="22"/>
                <w:szCs w:val="22"/>
              </w:rPr>
            </w:pPr>
            <w:r w:rsidRPr="003F63D5">
              <w:rPr>
                <w:rFonts w:eastAsia="Times New Roman"/>
                <w:b/>
                <w:color w:val="000000"/>
                <w:sz w:val="22"/>
                <w:szCs w:val="22"/>
              </w:rPr>
              <w:t>RR</w:t>
            </w:r>
          </w:p>
        </w:tc>
        <w:tc>
          <w:tcPr>
            <w:tcW w:w="1037" w:type="dxa"/>
            <w:gridSpan w:val="3"/>
            <w:tcBorders>
              <w:bottom w:val="single" w:sz="4" w:space="0" w:color="auto"/>
            </w:tcBorders>
            <w:noWrap/>
            <w:vAlign w:val="center"/>
          </w:tcPr>
          <w:p w14:paraId="688ACC60" w14:textId="77777777" w:rsidR="002A52E0" w:rsidRPr="003F63D5" w:rsidRDefault="002A52E0" w:rsidP="004C4C09">
            <w:pPr>
              <w:rPr>
                <w:b/>
                <w:sz w:val="22"/>
                <w:szCs w:val="22"/>
              </w:rPr>
            </w:pPr>
            <w:r w:rsidRPr="003F63D5">
              <w:rPr>
                <w:rFonts w:eastAsia="Times New Roman"/>
                <w:b/>
                <w:color w:val="000000"/>
                <w:sz w:val="22"/>
                <w:szCs w:val="22"/>
              </w:rPr>
              <w:t>95% CI</w:t>
            </w:r>
          </w:p>
        </w:tc>
      </w:tr>
      <w:tr w:rsidR="002A52E0" w:rsidRPr="00E50F22" w14:paraId="65E6C415" w14:textId="77777777" w:rsidTr="004C4C09">
        <w:trPr>
          <w:trHeight w:val="284"/>
        </w:trPr>
        <w:tc>
          <w:tcPr>
            <w:tcW w:w="3119" w:type="dxa"/>
            <w:tcBorders>
              <w:top w:val="single" w:sz="4" w:space="0" w:color="auto"/>
            </w:tcBorders>
            <w:noWrap/>
            <w:vAlign w:val="center"/>
          </w:tcPr>
          <w:p w14:paraId="44D8249F" w14:textId="77777777" w:rsidR="002A52E0" w:rsidRPr="003F63D5" w:rsidRDefault="002A52E0" w:rsidP="004C4C09">
            <w:pPr>
              <w:rPr>
                <w:b/>
                <w:i/>
                <w:sz w:val="22"/>
                <w:szCs w:val="22"/>
              </w:rPr>
            </w:pPr>
            <w:r w:rsidRPr="003F63D5">
              <w:rPr>
                <w:b/>
                <w:i/>
                <w:sz w:val="22"/>
                <w:szCs w:val="22"/>
              </w:rPr>
              <w:t xml:space="preserve">Black / </w:t>
            </w:r>
            <w:r w:rsidRPr="00103A36">
              <w:rPr>
                <w:b/>
                <w:i/>
                <w:sz w:val="22"/>
                <w:szCs w:val="22"/>
              </w:rPr>
              <w:t>Pardo</w:t>
            </w:r>
          </w:p>
        </w:tc>
        <w:tc>
          <w:tcPr>
            <w:tcW w:w="935" w:type="dxa"/>
            <w:tcBorders>
              <w:top w:val="single" w:sz="4" w:space="0" w:color="auto"/>
            </w:tcBorders>
            <w:noWrap/>
            <w:vAlign w:val="center"/>
          </w:tcPr>
          <w:p w14:paraId="3301BBAF" w14:textId="77777777" w:rsidR="002A52E0" w:rsidRPr="003F63D5" w:rsidRDefault="002A52E0" w:rsidP="004C4C09">
            <w:pPr>
              <w:rPr>
                <w:rFonts w:eastAsia="Times New Roman"/>
                <w:b/>
                <w:color w:val="000000"/>
                <w:sz w:val="18"/>
                <w:szCs w:val="18"/>
              </w:rPr>
            </w:pPr>
          </w:p>
        </w:tc>
        <w:tc>
          <w:tcPr>
            <w:tcW w:w="1049" w:type="dxa"/>
            <w:gridSpan w:val="2"/>
            <w:tcBorders>
              <w:top w:val="single" w:sz="4" w:space="0" w:color="auto"/>
            </w:tcBorders>
            <w:noWrap/>
            <w:vAlign w:val="center"/>
          </w:tcPr>
          <w:p w14:paraId="6489ECD5" w14:textId="77777777" w:rsidR="002A52E0" w:rsidRPr="003F63D5" w:rsidRDefault="002A52E0" w:rsidP="004C4C09">
            <w:pPr>
              <w:rPr>
                <w:rFonts w:eastAsia="Times New Roman"/>
                <w:b/>
                <w:color w:val="000000"/>
                <w:sz w:val="18"/>
                <w:szCs w:val="18"/>
              </w:rPr>
            </w:pPr>
          </w:p>
        </w:tc>
        <w:tc>
          <w:tcPr>
            <w:tcW w:w="993" w:type="dxa"/>
            <w:gridSpan w:val="2"/>
            <w:tcBorders>
              <w:top w:val="single" w:sz="4" w:space="0" w:color="auto"/>
            </w:tcBorders>
            <w:noWrap/>
            <w:vAlign w:val="center"/>
          </w:tcPr>
          <w:p w14:paraId="1A4F936E" w14:textId="77777777" w:rsidR="002A52E0" w:rsidRPr="003F63D5" w:rsidRDefault="002A52E0" w:rsidP="004C4C09">
            <w:pPr>
              <w:rPr>
                <w:rFonts w:eastAsia="Times New Roman"/>
                <w:b/>
                <w:color w:val="000000"/>
                <w:sz w:val="18"/>
                <w:szCs w:val="18"/>
              </w:rPr>
            </w:pPr>
          </w:p>
        </w:tc>
        <w:tc>
          <w:tcPr>
            <w:tcW w:w="992" w:type="dxa"/>
            <w:tcBorders>
              <w:top w:val="single" w:sz="4" w:space="0" w:color="auto"/>
            </w:tcBorders>
            <w:noWrap/>
            <w:vAlign w:val="center"/>
          </w:tcPr>
          <w:p w14:paraId="79D79396" w14:textId="77777777" w:rsidR="002A52E0" w:rsidRPr="003F63D5" w:rsidRDefault="002A52E0" w:rsidP="004C4C09">
            <w:pPr>
              <w:rPr>
                <w:rFonts w:eastAsia="Times New Roman"/>
                <w:b/>
                <w:color w:val="000000"/>
                <w:sz w:val="18"/>
                <w:szCs w:val="18"/>
              </w:rPr>
            </w:pPr>
          </w:p>
        </w:tc>
        <w:tc>
          <w:tcPr>
            <w:tcW w:w="895" w:type="dxa"/>
            <w:tcBorders>
              <w:top w:val="single" w:sz="4" w:space="0" w:color="auto"/>
            </w:tcBorders>
            <w:noWrap/>
            <w:vAlign w:val="center"/>
          </w:tcPr>
          <w:p w14:paraId="5E45DD46" w14:textId="77777777" w:rsidR="002A52E0" w:rsidRPr="003F63D5" w:rsidRDefault="002A52E0" w:rsidP="004C4C09">
            <w:pPr>
              <w:rPr>
                <w:rFonts w:eastAsia="Times New Roman"/>
                <w:b/>
                <w:color w:val="000000"/>
                <w:sz w:val="18"/>
                <w:szCs w:val="18"/>
              </w:rPr>
            </w:pPr>
          </w:p>
        </w:tc>
        <w:tc>
          <w:tcPr>
            <w:tcW w:w="1037" w:type="dxa"/>
            <w:gridSpan w:val="3"/>
            <w:tcBorders>
              <w:top w:val="single" w:sz="4" w:space="0" w:color="auto"/>
            </w:tcBorders>
            <w:noWrap/>
            <w:vAlign w:val="center"/>
          </w:tcPr>
          <w:p w14:paraId="3946A2F8" w14:textId="77777777" w:rsidR="002A52E0" w:rsidRPr="003F63D5" w:rsidRDefault="002A52E0" w:rsidP="004C4C09">
            <w:pPr>
              <w:rPr>
                <w:rFonts w:eastAsia="Times New Roman"/>
                <w:b/>
                <w:color w:val="000000"/>
                <w:sz w:val="18"/>
                <w:szCs w:val="18"/>
              </w:rPr>
            </w:pPr>
          </w:p>
        </w:tc>
      </w:tr>
      <w:tr w:rsidR="002A52E0" w:rsidRPr="00E50F22" w14:paraId="1A0426DB" w14:textId="77777777" w:rsidTr="004C4C09">
        <w:trPr>
          <w:trHeight w:val="284"/>
        </w:trPr>
        <w:tc>
          <w:tcPr>
            <w:tcW w:w="3119" w:type="dxa"/>
            <w:noWrap/>
            <w:vAlign w:val="center"/>
            <w:hideMark/>
          </w:tcPr>
          <w:p w14:paraId="60FD381D" w14:textId="77777777" w:rsidR="002A52E0" w:rsidRPr="003F63D5" w:rsidRDefault="002A52E0" w:rsidP="004C4C09">
            <w:pPr>
              <w:rPr>
                <w:sz w:val="22"/>
                <w:szCs w:val="22"/>
              </w:rPr>
            </w:pPr>
            <w:r w:rsidRPr="003F63D5">
              <w:rPr>
                <w:sz w:val="22"/>
                <w:szCs w:val="22"/>
              </w:rPr>
              <w:t>Two-year average ESF coverage</w:t>
            </w:r>
          </w:p>
        </w:tc>
        <w:tc>
          <w:tcPr>
            <w:tcW w:w="935" w:type="dxa"/>
            <w:noWrap/>
            <w:vAlign w:val="center"/>
            <w:hideMark/>
          </w:tcPr>
          <w:p w14:paraId="6D5E8C3F" w14:textId="77777777" w:rsidR="002A52E0" w:rsidRPr="003F63D5" w:rsidRDefault="002A52E0" w:rsidP="004C4C09">
            <w:pPr>
              <w:rPr>
                <w:sz w:val="18"/>
                <w:szCs w:val="18"/>
              </w:rPr>
            </w:pPr>
            <w:r w:rsidRPr="003F63D5">
              <w:rPr>
                <w:sz w:val="18"/>
                <w:szCs w:val="18"/>
              </w:rPr>
              <w:t>0.846***</w:t>
            </w:r>
          </w:p>
        </w:tc>
        <w:tc>
          <w:tcPr>
            <w:tcW w:w="1049" w:type="dxa"/>
            <w:gridSpan w:val="2"/>
            <w:noWrap/>
            <w:vAlign w:val="center"/>
            <w:hideMark/>
          </w:tcPr>
          <w:p w14:paraId="5F373350" w14:textId="77777777" w:rsidR="002A52E0" w:rsidRPr="003F63D5" w:rsidRDefault="002A52E0" w:rsidP="004C4C09">
            <w:pPr>
              <w:rPr>
                <w:sz w:val="18"/>
                <w:szCs w:val="18"/>
              </w:rPr>
            </w:pPr>
            <w:r w:rsidRPr="003F63D5">
              <w:rPr>
                <w:sz w:val="18"/>
                <w:szCs w:val="18"/>
              </w:rPr>
              <w:t>0.796,0.899</w:t>
            </w:r>
          </w:p>
        </w:tc>
        <w:tc>
          <w:tcPr>
            <w:tcW w:w="993" w:type="dxa"/>
            <w:gridSpan w:val="2"/>
            <w:noWrap/>
            <w:vAlign w:val="center"/>
            <w:hideMark/>
          </w:tcPr>
          <w:p w14:paraId="63B86997" w14:textId="77777777" w:rsidR="002A52E0" w:rsidRPr="003F63D5" w:rsidRDefault="002A52E0" w:rsidP="004C4C09">
            <w:pPr>
              <w:rPr>
                <w:sz w:val="18"/>
                <w:szCs w:val="18"/>
              </w:rPr>
            </w:pPr>
            <w:r w:rsidRPr="003F63D5">
              <w:rPr>
                <w:sz w:val="18"/>
                <w:szCs w:val="18"/>
              </w:rPr>
              <w:t>-</w:t>
            </w:r>
          </w:p>
        </w:tc>
        <w:tc>
          <w:tcPr>
            <w:tcW w:w="992" w:type="dxa"/>
            <w:noWrap/>
            <w:vAlign w:val="center"/>
            <w:hideMark/>
          </w:tcPr>
          <w:p w14:paraId="34B7A46A" w14:textId="77777777" w:rsidR="002A52E0" w:rsidRPr="003F63D5" w:rsidRDefault="002A52E0" w:rsidP="004C4C09">
            <w:pPr>
              <w:rPr>
                <w:sz w:val="18"/>
                <w:szCs w:val="18"/>
              </w:rPr>
            </w:pPr>
            <w:r w:rsidRPr="003F63D5">
              <w:rPr>
                <w:sz w:val="18"/>
                <w:szCs w:val="18"/>
              </w:rPr>
              <w:t>-</w:t>
            </w:r>
          </w:p>
        </w:tc>
        <w:tc>
          <w:tcPr>
            <w:tcW w:w="895" w:type="dxa"/>
            <w:noWrap/>
            <w:vAlign w:val="center"/>
            <w:hideMark/>
          </w:tcPr>
          <w:p w14:paraId="042B5931" w14:textId="77777777" w:rsidR="002A52E0" w:rsidRPr="003F63D5" w:rsidRDefault="002A52E0" w:rsidP="004C4C09">
            <w:pPr>
              <w:rPr>
                <w:sz w:val="18"/>
                <w:szCs w:val="18"/>
              </w:rPr>
            </w:pPr>
            <w:r w:rsidRPr="003F63D5">
              <w:rPr>
                <w:sz w:val="18"/>
                <w:szCs w:val="18"/>
              </w:rPr>
              <w:t>-</w:t>
            </w:r>
          </w:p>
        </w:tc>
        <w:tc>
          <w:tcPr>
            <w:tcW w:w="1037" w:type="dxa"/>
            <w:gridSpan w:val="3"/>
            <w:noWrap/>
            <w:vAlign w:val="center"/>
            <w:hideMark/>
          </w:tcPr>
          <w:p w14:paraId="0E0968BF" w14:textId="77777777" w:rsidR="002A52E0" w:rsidRPr="003F63D5" w:rsidRDefault="002A52E0" w:rsidP="004C4C09">
            <w:pPr>
              <w:rPr>
                <w:sz w:val="18"/>
                <w:szCs w:val="18"/>
              </w:rPr>
            </w:pPr>
            <w:r w:rsidRPr="003F63D5">
              <w:rPr>
                <w:sz w:val="18"/>
                <w:szCs w:val="18"/>
              </w:rPr>
              <w:t>-</w:t>
            </w:r>
          </w:p>
        </w:tc>
      </w:tr>
      <w:tr w:rsidR="002A52E0" w:rsidRPr="00E50F22" w14:paraId="152EC111" w14:textId="77777777" w:rsidTr="004C4C09">
        <w:trPr>
          <w:trHeight w:val="284"/>
        </w:trPr>
        <w:tc>
          <w:tcPr>
            <w:tcW w:w="3119" w:type="dxa"/>
            <w:noWrap/>
            <w:vAlign w:val="center"/>
            <w:hideMark/>
          </w:tcPr>
          <w:p w14:paraId="2C534D44" w14:textId="77777777" w:rsidR="002A52E0" w:rsidRPr="003F63D5" w:rsidRDefault="002A52E0" w:rsidP="004C4C09">
            <w:pPr>
              <w:rPr>
                <w:sz w:val="22"/>
                <w:szCs w:val="22"/>
              </w:rPr>
            </w:pPr>
            <w:r w:rsidRPr="003F63D5">
              <w:rPr>
                <w:sz w:val="22"/>
                <w:szCs w:val="22"/>
              </w:rPr>
              <w:t>ESF coverage (within year)</w:t>
            </w:r>
          </w:p>
        </w:tc>
        <w:tc>
          <w:tcPr>
            <w:tcW w:w="935" w:type="dxa"/>
            <w:noWrap/>
            <w:vAlign w:val="center"/>
            <w:hideMark/>
          </w:tcPr>
          <w:p w14:paraId="12C7FBE7" w14:textId="77777777" w:rsidR="002A52E0" w:rsidRPr="003F63D5" w:rsidRDefault="002A52E0" w:rsidP="004C4C09">
            <w:pPr>
              <w:rPr>
                <w:sz w:val="18"/>
                <w:szCs w:val="18"/>
              </w:rPr>
            </w:pPr>
            <w:r w:rsidRPr="003F63D5">
              <w:rPr>
                <w:sz w:val="18"/>
                <w:szCs w:val="18"/>
              </w:rPr>
              <w:t>-</w:t>
            </w:r>
          </w:p>
        </w:tc>
        <w:tc>
          <w:tcPr>
            <w:tcW w:w="1049" w:type="dxa"/>
            <w:gridSpan w:val="2"/>
            <w:noWrap/>
            <w:vAlign w:val="center"/>
            <w:hideMark/>
          </w:tcPr>
          <w:p w14:paraId="1D178A5D" w14:textId="77777777" w:rsidR="002A52E0" w:rsidRPr="003F63D5" w:rsidRDefault="002A52E0" w:rsidP="004C4C09">
            <w:pPr>
              <w:rPr>
                <w:sz w:val="18"/>
                <w:szCs w:val="18"/>
              </w:rPr>
            </w:pPr>
            <w:r w:rsidRPr="003F63D5">
              <w:rPr>
                <w:sz w:val="18"/>
                <w:szCs w:val="18"/>
              </w:rPr>
              <w:t>-</w:t>
            </w:r>
          </w:p>
        </w:tc>
        <w:tc>
          <w:tcPr>
            <w:tcW w:w="993" w:type="dxa"/>
            <w:gridSpan w:val="2"/>
            <w:noWrap/>
            <w:vAlign w:val="center"/>
            <w:hideMark/>
          </w:tcPr>
          <w:p w14:paraId="2B23C32A" w14:textId="77777777" w:rsidR="002A52E0" w:rsidRPr="003F63D5" w:rsidRDefault="002A52E0" w:rsidP="004C4C09">
            <w:pPr>
              <w:rPr>
                <w:sz w:val="18"/>
                <w:szCs w:val="18"/>
              </w:rPr>
            </w:pPr>
            <w:r w:rsidRPr="003F63D5">
              <w:rPr>
                <w:sz w:val="18"/>
                <w:szCs w:val="18"/>
              </w:rPr>
              <w:t>0.877***</w:t>
            </w:r>
          </w:p>
        </w:tc>
        <w:tc>
          <w:tcPr>
            <w:tcW w:w="992" w:type="dxa"/>
            <w:noWrap/>
            <w:vAlign w:val="center"/>
            <w:hideMark/>
          </w:tcPr>
          <w:p w14:paraId="1602F0A3" w14:textId="77777777" w:rsidR="002A52E0" w:rsidRPr="003F63D5" w:rsidRDefault="002A52E0" w:rsidP="004C4C09">
            <w:pPr>
              <w:rPr>
                <w:sz w:val="18"/>
                <w:szCs w:val="18"/>
              </w:rPr>
            </w:pPr>
            <w:r w:rsidRPr="003F63D5">
              <w:rPr>
                <w:sz w:val="18"/>
                <w:szCs w:val="18"/>
              </w:rPr>
              <w:t>0.831,0.926</w:t>
            </w:r>
          </w:p>
        </w:tc>
        <w:tc>
          <w:tcPr>
            <w:tcW w:w="895" w:type="dxa"/>
            <w:noWrap/>
            <w:vAlign w:val="center"/>
            <w:hideMark/>
          </w:tcPr>
          <w:p w14:paraId="09D6508B" w14:textId="77777777" w:rsidR="002A52E0" w:rsidRPr="003F63D5" w:rsidRDefault="002A52E0" w:rsidP="004C4C09">
            <w:pPr>
              <w:rPr>
                <w:sz w:val="18"/>
                <w:szCs w:val="18"/>
              </w:rPr>
            </w:pPr>
            <w:r w:rsidRPr="003F63D5">
              <w:rPr>
                <w:sz w:val="18"/>
                <w:szCs w:val="18"/>
              </w:rPr>
              <w:t>0.940*</w:t>
            </w:r>
          </w:p>
        </w:tc>
        <w:tc>
          <w:tcPr>
            <w:tcW w:w="1037" w:type="dxa"/>
            <w:gridSpan w:val="3"/>
            <w:noWrap/>
            <w:vAlign w:val="center"/>
            <w:hideMark/>
          </w:tcPr>
          <w:p w14:paraId="7DDCA83A" w14:textId="77777777" w:rsidR="002A52E0" w:rsidRPr="003F63D5" w:rsidRDefault="002A52E0" w:rsidP="004C4C09">
            <w:pPr>
              <w:rPr>
                <w:sz w:val="18"/>
                <w:szCs w:val="18"/>
              </w:rPr>
            </w:pPr>
            <w:r w:rsidRPr="003F63D5">
              <w:rPr>
                <w:sz w:val="18"/>
                <w:szCs w:val="18"/>
              </w:rPr>
              <w:t>0.891,0.990</w:t>
            </w:r>
          </w:p>
        </w:tc>
      </w:tr>
      <w:tr w:rsidR="002A52E0" w:rsidRPr="00E50F22" w14:paraId="7F573DA5" w14:textId="77777777" w:rsidTr="004C4C09">
        <w:trPr>
          <w:trHeight w:val="284"/>
        </w:trPr>
        <w:tc>
          <w:tcPr>
            <w:tcW w:w="3119" w:type="dxa"/>
            <w:noWrap/>
            <w:vAlign w:val="center"/>
            <w:hideMark/>
          </w:tcPr>
          <w:p w14:paraId="3DB176BA" w14:textId="77777777" w:rsidR="002A52E0" w:rsidRPr="003F63D5" w:rsidRDefault="002A52E0" w:rsidP="004C4C09">
            <w:pPr>
              <w:rPr>
                <w:sz w:val="22"/>
                <w:szCs w:val="22"/>
              </w:rPr>
            </w:pPr>
            <w:r w:rsidRPr="003F63D5">
              <w:rPr>
                <w:sz w:val="22"/>
                <w:szCs w:val="22"/>
              </w:rPr>
              <w:t>ESF coverage (year before)</w:t>
            </w:r>
          </w:p>
        </w:tc>
        <w:tc>
          <w:tcPr>
            <w:tcW w:w="935" w:type="dxa"/>
            <w:noWrap/>
            <w:vAlign w:val="center"/>
            <w:hideMark/>
          </w:tcPr>
          <w:p w14:paraId="5C249755" w14:textId="77777777" w:rsidR="002A52E0" w:rsidRPr="003F63D5" w:rsidRDefault="002A52E0" w:rsidP="004C4C09">
            <w:pPr>
              <w:rPr>
                <w:sz w:val="18"/>
                <w:szCs w:val="18"/>
              </w:rPr>
            </w:pPr>
            <w:r w:rsidRPr="003F63D5">
              <w:rPr>
                <w:sz w:val="18"/>
                <w:szCs w:val="18"/>
              </w:rPr>
              <w:t>-</w:t>
            </w:r>
          </w:p>
        </w:tc>
        <w:tc>
          <w:tcPr>
            <w:tcW w:w="1049" w:type="dxa"/>
            <w:gridSpan w:val="2"/>
            <w:noWrap/>
            <w:vAlign w:val="center"/>
            <w:hideMark/>
          </w:tcPr>
          <w:p w14:paraId="02CE88F3" w14:textId="77777777" w:rsidR="002A52E0" w:rsidRPr="003F63D5" w:rsidRDefault="002A52E0" w:rsidP="004C4C09">
            <w:pPr>
              <w:rPr>
                <w:sz w:val="18"/>
                <w:szCs w:val="18"/>
              </w:rPr>
            </w:pPr>
            <w:r w:rsidRPr="003F63D5">
              <w:rPr>
                <w:sz w:val="18"/>
                <w:szCs w:val="18"/>
              </w:rPr>
              <w:t>-</w:t>
            </w:r>
          </w:p>
        </w:tc>
        <w:tc>
          <w:tcPr>
            <w:tcW w:w="993" w:type="dxa"/>
            <w:gridSpan w:val="2"/>
            <w:noWrap/>
            <w:vAlign w:val="center"/>
            <w:hideMark/>
          </w:tcPr>
          <w:p w14:paraId="4868896D" w14:textId="77777777" w:rsidR="002A52E0" w:rsidRPr="003F63D5" w:rsidRDefault="002A52E0" w:rsidP="004C4C09">
            <w:pPr>
              <w:rPr>
                <w:sz w:val="18"/>
                <w:szCs w:val="18"/>
              </w:rPr>
            </w:pPr>
            <w:r w:rsidRPr="003F63D5">
              <w:rPr>
                <w:sz w:val="18"/>
                <w:szCs w:val="18"/>
              </w:rPr>
              <w:t>-</w:t>
            </w:r>
          </w:p>
        </w:tc>
        <w:tc>
          <w:tcPr>
            <w:tcW w:w="992" w:type="dxa"/>
            <w:noWrap/>
            <w:vAlign w:val="center"/>
            <w:hideMark/>
          </w:tcPr>
          <w:p w14:paraId="6D6CE873" w14:textId="77777777" w:rsidR="002A52E0" w:rsidRPr="003F63D5" w:rsidRDefault="002A52E0" w:rsidP="004C4C09">
            <w:pPr>
              <w:rPr>
                <w:sz w:val="18"/>
                <w:szCs w:val="18"/>
              </w:rPr>
            </w:pPr>
            <w:r w:rsidRPr="003F63D5">
              <w:rPr>
                <w:sz w:val="18"/>
                <w:szCs w:val="18"/>
              </w:rPr>
              <w:t>-</w:t>
            </w:r>
          </w:p>
        </w:tc>
        <w:tc>
          <w:tcPr>
            <w:tcW w:w="895" w:type="dxa"/>
            <w:noWrap/>
            <w:vAlign w:val="center"/>
            <w:hideMark/>
          </w:tcPr>
          <w:p w14:paraId="061E6A0F" w14:textId="77777777" w:rsidR="002A52E0" w:rsidRPr="003F63D5" w:rsidRDefault="002A52E0" w:rsidP="004C4C09">
            <w:pPr>
              <w:rPr>
                <w:sz w:val="18"/>
                <w:szCs w:val="18"/>
              </w:rPr>
            </w:pPr>
            <w:r w:rsidRPr="003F63D5">
              <w:rPr>
                <w:sz w:val="18"/>
                <w:szCs w:val="18"/>
              </w:rPr>
              <w:t>0.902***</w:t>
            </w:r>
          </w:p>
        </w:tc>
        <w:tc>
          <w:tcPr>
            <w:tcW w:w="1037" w:type="dxa"/>
            <w:gridSpan w:val="3"/>
            <w:noWrap/>
            <w:vAlign w:val="center"/>
            <w:hideMark/>
          </w:tcPr>
          <w:p w14:paraId="57D772AD" w14:textId="77777777" w:rsidR="002A52E0" w:rsidRPr="003F63D5" w:rsidRDefault="002A52E0" w:rsidP="004C4C09">
            <w:pPr>
              <w:rPr>
                <w:sz w:val="18"/>
                <w:szCs w:val="18"/>
              </w:rPr>
            </w:pPr>
            <w:r w:rsidRPr="003F63D5">
              <w:rPr>
                <w:sz w:val="18"/>
                <w:szCs w:val="18"/>
              </w:rPr>
              <w:t>0.856,0.950</w:t>
            </w:r>
          </w:p>
        </w:tc>
      </w:tr>
      <w:tr w:rsidR="002A52E0" w:rsidRPr="00E50F22" w14:paraId="54B4DBD6" w14:textId="77777777" w:rsidTr="004C4C09">
        <w:trPr>
          <w:trHeight w:val="284"/>
        </w:trPr>
        <w:tc>
          <w:tcPr>
            <w:tcW w:w="3119" w:type="dxa"/>
            <w:noWrap/>
            <w:vAlign w:val="center"/>
            <w:hideMark/>
          </w:tcPr>
          <w:p w14:paraId="50E4EB3C" w14:textId="77777777" w:rsidR="002A52E0" w:rsidRPr="003F63D5" w:rsidRDefault="002A52E0" w:rsidP="004C4C09">
            <w:pPr>
              <w:rPr>
                <w:sz w:val="22"/>
                <w:szCs w:val="22"/>
              </w:rPr>
            </w:pPr>
            <w:r w:rsidRPr="003F63D5">
              <w:rPr>
                <w:sz w:val="22"/>
                <w:szCs w:val="22"/>
              </w:rPr>
              <w:t>N (Observations)</w:t>
            </w:r>
          </w:p>
        </w:tc>
        <w:tc>
          <w:tcPr>
            <w:tcW w:w="935" w:type="dxa"/>
            <w:noWrap/>
            <w:vAlign w:val="center"/>
            <w:hideMark/>
          </w:tcPr>
          <w:p w14:paraId="79214638" w14:textId="77777777" w:rsidR="002A52E0" w:rsidRPr="003F63D5" w:rsidRDefault="002A52E0" w:rsidP="004C4C09">
            <w:pPr>
              <w:rPr>
                <w:sz w:val="18"/>
                <w:szCs w:val="18"/>
              </w:rPr>
            </w:pPr>
            <w:r w:rsidRPr="003F63D5">
              <w:rPr>
                <w:sz w:val="18"/>
                <w:szCs w:val="18"/>
              </w:rPr>
              <w:t>22,384</w:t>
            </w:r>
          </w:p>
        </w:tc>
        <w:tc>
          <w:tcPr>
            <w:tcW w:w="1049" w:type="dxa"/>
            <w:gridSpan w:val="2"/>
            <w:noWrap/>
            <w:vAlign w:val="center"/>
            <w:hideMark/>
          </w:tcPr>
          <w:p w14:paraId="0C8FC1FE" w14:textId="77777777" w:rsidR="002A52E0" w:rsidRPr="003F63D5" w:rsidRDefault="002A52E0" w:rsidP="004C4C09">
            <w:pPr>
              <w:rPr>
                <w:sz w:val="18"/>
                <w:szCs w:val="18"/>
              </w:rPr>
            </w:pPr>
          </w:p>
        </w:tc>
        <w:tc>
          <w:tcPr>
            <w:tcW w:w="993" w:type="dxa"/>
            <w:gridSpan w:val="2"/>
            <w:noWrap/>
            <w:vAlign w:val="center"/>
            <w:hideMark/>
          </w:tcPr>
          <w:p w14:paraId="0211D344" w14:textId="77777777" w:rsidR="002A52E0" w:rsidRPr="003F63D5" w:rsidRDefault="002A52E0" w:rsidP="004C4C09">
            <w:pPr>
              <w:rPr>
                <w:sz w:val="18"/>
                <w:szCs w:val="18"/>
              </w:rPr>
            </w:pPr>
            <w:r w:rsidRPr="003F63D5">
              <w:rPr>
                <w:sz w:val="18"/>
                <w:szCs w:val="18"/>
              </w:rPr>
              <w:t>22,384</w:t>
            </w:r>
          </w:p>
        </w:tc>
        <w:tc>
          <w:tcPr>
            <w:tcW w:w="992" w:type="dxa"/>
            <w:noWrap/>
            <w:vAlign w:val="center"/>
            <w:hideMark/>
          </w:tcPr>
          <w:p w14:paraId="00E28EB4" w14:textId="77777777" w:rsidR="002A52E0" w:rsidRPr="003F63D5" w:rsidRDefault="002A52E0" w:rsidP="004C4C09">
            <w:pPr>
              <w:rPr>
                <w:sz w:val="18"/>
                <w:szCs w:val="18"/>
              </w:rPr>
            </w:pPr>
          </w:p>
        </w:tc>
        <w:tc>
          <w:tcPr>
            <w:tcW w:w="895" w:type="dxa"/>
            <w:noWrap/>
            <w:vAlign w:val="center"/>
            <w:hideMark/>
          </w:tcPr>
          <w:p w14:paraId="0E894F4F" w14:textId="77777777" w:rsidR="002A52E0" w:rsidRPr="003F63D5" w:rsidRDefault="002A52E0" w:rsidP="004C4C09">
            <w:pPr>
              <w:rPr>
                <w:sz w:val="18"/>
                <w:szCs w:val="18"/>
              </w:rPr>
            </w:pPr>
            <w:r w:rsidRPr="003F63D5">
              <w:rPr>
                <w:sz w:val="18"/>
                <w:szCs w:val="18"/>
              </w:rPr>
              <w:t>22,384</w:t>
            </w:r>
          </w:p>
        </w:tc>
        <w:tc>
          <w:tcPr>
            <w:tcW w:w="1037" w:type="dxa"/>
            <w:gridSpan w:val="3"/>
            <w:noWrap/>
            <w:vAlign w:val="center"/>
            <w:hideMark/>
          </w:tcPr>
          <w:p w14:paraId="44B451D9" w14:textId="77777777" w:rsidR="002A52E0" w:rsidRPr="003F63D5" w:rsidRDefault="002A52E0" w:rsidP="004C4C09">
            <w:pPr>
              <w:rPr>
                <w:sz w:val="18"/>
                <w:szCs w:val="18"/>
              </w:rPr>
            </w:pPr>
          </w:p>
        </w:tc>
      </w:tr>
      <w:tr w:rsidR="002A52E0" w:rsidRPr="00E50F22" w14:paraId="1D7291B6" w14:textId="77777777" w:rsidTr="004C4C09">
        <w:trPr>
          <w:trHeight w:val="284"/>
        </w:trPr>
        <w:tc>
          <w:tcPr>
            <w:tcW w:w="3119" w:type="dxa"/>
            <w:noWrap/>
            <w:vAlign w:val="center"/>
            <w:hideMark/>
          </w:tcPr>
          <w:p w14:paraId="39628346" w14:textId="77777777" w:rsidR="002A52E0" w:rsidRPr="003F63D5" w:rsidRDefault="002A52E0" w:rsidP="004C4C09">
            <w:pPr>
              <w:rPr>
                <w:sz w:val="22"/>
                <w:szCs w:val="22"/>
              </w:rPr>
            </w:pPr>
          </w:p>
        </w:tc>
        <w:tc>
          <w:tcPr>
            <w:tcW w:w="935" w:type="dxa"/>
            <w:noWrap/>
            <w:vAlign w:val="center"/>
            <w:hideMark/>
          </w:tcPr>
          <w:p w14:paraId="1352E8CD" w14:textId="77777777" w:rsidR="002A52E0" w:rsidRPr="003F63D5" w:rsidRDefault="002A52E0" w:rsidP="004C4C09">
            <w:pPr>
              <w:rPr>
                <w:sz w:val="18"/>
                <w:szCs w:val="18"/>
              </w:rPr>
            </w:pPr>
          </w:p>
        </w:tc>
        <w:tc>
          <w:tcPr>
            <w:tcW w:w="1049" w:type="dxa"/>
            <w:gridSpan w:val="2"/>
            <w:noWrap/>
            <w:vAlign w:val="center"/>
            <w:hideMark/>
          </w:tcPr>
          <w:p w14:paraId="6EB9C82D" w14:textId="77777777" w:rsidR="002A52E0" w:rsidRPr="003F63D5" w:rsidRDefault="002A52E0" w:rsidP="004C4C09">
            <w:pPr>
              <w:rPr>
                <w:sz w:val="18"/>
                <w:szCs w:val="18"/>
              </w:rPr>
            </w:pPr>
          </w:p>
        </w:tc>
        <w:tc>
          <w:tcPr>
            <w:tcW w:w="993" w:type="dxa"/>
            <w:gridSpan w:val="2"/>
            <w:noWrap/>
            <w:vAlign w:val="center"/>
            <w:hideMark/>
          </w:tcPr>
          <w:p w14:paraId="68416007" w14:textId="77777777" w:rsidR="002A52E0" w:rsidRPr="003F63D5" w:rsidRDefault="002A52E0" w:rsidP="004C4C09">
            <w:pPr>
              <w:rPr>
                <w:sz w:val="18"/>
                <w:szCs w:val="18"/>
              </w:rPr>
            </w:pPr>
          </w:p>
        </w:tc>
        <w:tc>
          <w:tcPr>
            <w:tcW w:w="992" w:type="dxa"/>
            <w:noWrap/>
            <w:vAlign w:val="center"/>
            <w:hideMark/>
          </w:tcPr>
          <w:p w14:paraId="2F0DEC26" w14:textId="77777777" w:rsidR="002A52E0" w:rsidRPr="003F63D5" w:rsidRDefault="002A52E0" w:rsidP="004C4C09">
            <w:pPr>
              <w:rPr>
                <w:sz w:val="18"/>
                <w:szCs w:val="18"/>
              </w:rPr>
            </w:pPr>
          </w:p>
        </w:tc>
        <w:tc>
          <w:tcPr>
            <w:tcW w:w="895" w:type="dxa"/>
            <w:noWrap/>
            <w:vAlign w:val="center"/>
            <w:hideMark/>
          </w:tcPr>
          <w:p w14:paraId="44292E18" w14:textId="77777777" w:rsidR="002A52E0" w:rsidRPr="003F63D5" w:rsidRDefault="002A52E0" w:rsidP="004C4C09">
            <w:pPr>
              <w:rPr>
                <w:sz w:val="18"/>
                <w:szCs w:val="18"/>
              </w:rPr>
            </w:pPr>
          </w:p>
        </w:tc>
        <w:tc>
          <w:tcPr>
            <w:tcW w:w="1037" w:type="dxa"/>
            <w:gridSpan w:val="3"/>
            <w:noWrap/>
            <w:vAlign w:val="center"/>
            <w:hideMark/>
          </w:tcPr>
          <w:p w14:paraId="7ADA22B6" w14:textId="77777777" w:rsidR="002A52E0" w:rsidRPr="003F63D5" w:rsidRDefault="002A52E0" w:rsidP="004C4C09">
            <w:pPr>
              <w:rPr>
                <w:sz w:val="18"/>
                <w:szCs w:val="18"/>
              </w:rPr>
            </w:pPr>
          </w:p>
        </w:tc>
      </w:tr>
      <w:tr w:rsidR="002A52E0" w:rsidRPr="00E50F22" w14:paraId="462B7D29" w14:textId="77777777" w:rsidTr="004C4C09">
        <w:trPr>
          <w:trHeight w:val="284"/>
        </w:trPr>
        <w:tc>
          <w:tcPr>
            <w:tcW w:w="3119" w:type="dxa"/>
            <w:noWrap/>
            <w:vAlign w:val="center"/>
          </w:tcPr>
          <w:p w14:paraId="4F4CB4AE" w14:textId="77777777" w:rsidR="002A52E0" w:rsidRPr="003F63D5" w:rsidRDefault="002A52E0" w:rsidP="004C4C09">
            <w:pPr>
              <w:rPr>
                <w:b/>
                <w:i/>
                <w:sz w:val="22"/>
                <w:szCs w:val="22"/>
              </w:rPr>
            </w:pPr>
            <w:r w:rsidRPr="003F63D5">
              <w:rPr>
                <w:b/>
                <w:i/>
                <w:sz w:val="22"/>
                <w:szCs w:val="22"/>
              </w:rPr>
              <w:t>White</w:t>
            </w:r>
          </w:p>
        </w:tc>
        <w:tc>
          <w:tcPr>
            <w:tcW w:w="935" w:type="dxa"/>
            <w:noWrap/>
            <w:vAlign w:val="center"/>
          </w:tcPr>
          <w:p w14:paraId="4CBC4E94" w14:textId="77777777" w:rsidR="002A52E0" w:rsidRPr="003F63D5" w:rsidRDefault="002A52E0" w:rsidP="004C4C09">
            <w:pPr>
              <w:rPr>
                <w:sz w:val="18"/>
                <w:szCs w:val="18"/>
              </w:rPr>
            </w:pPr>
          </w:p>
        </w:tc>
        <w:tc>
          <w:tcPr>
            <w:tcW w:w="1049" w:type="dxa"/>
            <w:gridSpan w:val="2"/>
            <w:noWrap/>
            <w:vAlign w:val="center"/>
          </w:tcPr>
          <w:p w14:paraId="6F1F55A9" w14:textId="77777777" w:rsidR="002A52E0" w:rsidRPr="003F63D5" w:rsidRDefault="002A52E0" w:rsidP="004C4C09">
            <w:pPr>
              <w:rPr>
                <w:sz w:val="18"/>
                <w:szCs w:val="18"/>
              </w:rPr>
            </w:pPr>
          </w:p>
        </w:tc>
        <w:tc>
          <w:tcPr>
            <w:tcW w:w="993" w:type="dxa"/>
            <w:gridSpan w:val="2"/>
            <w:noWrap/>
            <w:vAlign w:val="center"/>
          </w:tcPr>
          <w:p w14:paraId="202622B1" w14:textId="77777777" w:rsidR="002A52E0" w:rsidRPr="003F63D5" w:rsidRDefault="002A52E0" w:rsidP="004C4C09">
            <w:pPr>
              <w:rPr>
                <w:sz w:val="18"/>
                <w:szCs w:val="18"/>
              </w:rPr>
            </w:pPr>
          </w:p>
        </w:tc>
        <w:tc>
          <w:tcPr>
            <w:tcW w:w="992" w:type="dxa"/>
            <w:noWrap/>
            <w:vAlign w:val="center"/>
          </w:tcPr>
          <w:p w14:paraId="720DA229" w14:textId="77777777" w:rsidR="002A52E0" w:rsidRPr="003F63D5" w:rsidRDefault="002A52E0" w:rsidP="004C4C09">
            <w:pPr>
              <w:rPr>
                <w:sz w:val="18"/>
                <w:szCs w:val="18"/>
              </w:rPr>
            </w:pPr>
          </w:p>
        </w:tc>
        <w:tc>
          <w:tcPr>
            <w:tcW w:w="895" w:type="dxa"/>
            <w:noWrap/>
            <w:vAlign w:val="center"/>
          </w:tcPr>
          <w:p w14:paraId="1012F223" w14:textId="77777777" w:rsidR="002A52E0" w:rsidRPr="003F63D5" w:rsidRDefault="002A52E0" w:rsidP="004C4C09">
            <w:pPr>
              <w:rPr>
                <w:sz w:val="18"/>
                <w:szCs w:val="18"/>
              </w:rPr>
            </w:pPr>
          </w:p>
        </w:tc>
        <w:tc>
          <w:tcPr>
            <w:tcW w:w="1037" w:type="dxa"/>
            <w:gridSpan w:val="3"/>
            <w:noWrap/>
            <w:vAlign w:val="center"/>
          </w:tcPr>
          <w:p w14:paraId="41DFEA47" w14:textId="77777777" w:rsidR="002A52E0" w:rsidRPr="003F63D5" w:rsidRDefault="002A52E0" w:rsidP="004C4C09">
            <w:pPr>
              <w:rPr>
                <w:sz w:val="18"/>
                <w:szCs w:val="18"/>
              </w:rPr>
            </w:pPr>
          </w:p>
        </w:tc>
      </w:tr>
      <w:tr w:rsidR="002A52E0" w:rsidRPr="00E50F22" w14:paraId="1C6F19FB" w14:textId="77777777" w:rsidTr="004C4C09">
        <w:trPr>
          <w:trHeight w:val="284"/>
        </w:trPr>
        <w:tc>
          <w:tcPr>
            <w:tcW w:w="3119" w:type="dxa"/>
            <w:noWrap/>
            <w:vAlign w:val="center"/>
            <w:hideMark/>
          </w:tcPr>
          <w:p w14:paraId="0D6D5FCB" w14:textId="77777777" w:rsidR="002A52E0" w:rsidRPr="003F63D5" w:rsidRDefault="002A52E0" w:rsidP="004C4C09">
            <w:pPr>
              <w:rPr>
                <w:sz w:val="22"/>
                <w:szCs w:val="22"/>
              </w:rPr>
            </w:pPr>
            <w:r w:rsidRPr="003F63D5">
              <w:rPr>
                <w:sz w:val="22"/>
                <w:szCs w:val="22"/>
              </w:rPr>
              <w:t>Two-year average ESF coverage</w:t>
            </w:r>
          </w:p>
        </w:tc>
        <w:tc>
          <w:tcPr>
            <w:tcW w:w="935" w:type="dxa"/>
            <w:noWrap/>
            <w:vAlign w:val="center"/>
            <w:hideMark/>
          </w:tcPr>
          <w:p w14:paraId="3800B6AE" w14:textId="77777777" w:rsidR="002A52E0" w:rsidRPr="003F63D5" w:rsidRDefault="002A52E0" w:rsidP="004C4C09">
            <w:pPr>
              <w:rPr>
                <w:sz w:val="18"/>
                <w:szCs w:val="18"/>
              </w:rPr>
            </w:pPr>
            <w:r w:rsidRPr="003F63D5">
              <w:rPr>
                <w:sz w:val="18"/>
                <w:szCs w:val="18"/>
              </w:rPr>
              <w:t>0.932**</w:t>
            </w:r>
          </w:p>
        </w:tc>
        <w:tc>
          <w:tcPr>
            <w:tcW w:w="1049" w:type="dxa"/>
            <w:gridSpan w:val="2"/>
            <w:noWrap/>
            <w:vAlign w:val="center"/>
            <w:hideMark/>
          </w:tcPr>
          <w:p w14:paraId="0E6CF314" w14:textId="77777777" w:rsidR="002A52E0" w:rsidRPr="003F63D5" w:rsidRDefault="002A52E0" w:rsidP="004C4C09">
            <w:pPr>
              <w:rPr>
                <w:sz w:val="18"/>
                <w:szCs w:val="18"/>
              </w:rPr>
            </w:pPr>
            <w:r w:rsidRPr="003F63D5">
              <w:rPr>
                <w:sz w:val="18"/>
                <w:szCs w:val="18"/>
              </w:rPr>
              <w:t>0.892,0.974</w:t>
            </w:r>
          </w:p>
        </w:tc>
        <w:tc>
          <w:tcPr>
            <w:tcW w:w="993" w:type="dxa"/>
            <w:gridSpan w:val="2"/>
            <w:noWrap/>
            <w:vAlign w:val="center"/>
            <w:hideMark/>
          </w:tcPr>
          <w:p w14:paraId="04B5ECC8" w14:textId="77777777" w:rsidR="002A52E0" w:rsidRPr="003F63D5" w:rsidRDefault="002A52E0" w:rsidP="004C4C09">
            <w:pPr>
              <w:rPr>
                <w:sz w:val="18"/>
                <w:szCs w:val="18"/>
              </w:rPr>
            </w:pPr>
            <w:r w:rsidRPr="003F63D5">
              <w:rPr>
                <w:sz w:val="18"/>
                <w:szCs w:val="18"/>
              </w:rPr>
              <w:t>-</w:t>
            </w:r>
          </w:p>
        </w:tc>
        <w:tc>
          <w:tcPr>
            <w:tcW w:w="992" w:type="dxa"/>
            <w:noWrap/>
            <w:vAlign w:val="center"/>
            <w:hideMark/>
          </w:tcPr>
          <w:p w14:paraId="52497611" w14:textId="77777777" w:rsidR="002A52E0" w:rsidRPr="003F63D5" w:rsidRDefault="002A52E0" w:rsidP="004C4C09">
            <w:pPr>
              <w:rPr>
                <w:sz w:val="18"/>
                <w:szCs w:val="18"/>
              </w:rPr>
            </w:pPr>
            <w:r w:rsidRPr="003F63D5">
              <w:rPr>
                <w:sz w:val="18"/>
                <w:szCs w:val="18"/>
              </w:rPr>
              <w:t>-</w:t>
            </w:r>
          </w:p>
        </w:tc>
        <w:tc>
          <w:tcPr>
            <w:tcW w:w="895" w:type="dxa"/>
            <w:noWrap/>
            <w:vAlign w:val="center"/>
          </w:tcPr>
          <w:p w14:paraId="674359F7" w14:textId="77777777" w:rsidR="002A52E0" w:rsidRPr="003F63D5" w:rsidRDefault="002A52E0" w:rsidP="004C4C09">
            <w:pPr>
              <w:rPr>
                <w:sz w:val="18"/>
                <w:szCs w:val="18"/>
              </w:rPr>
            </w:pPr>
            <w:r w:rsidRPr="003F63D5">
              <w:rPr>
                <w:sz w:val="18"/>
                <w:szCs w:val="18"/>
              </w:rPr>
              <w:t>-</w:t>
            </w:r>
          </w:p>
        </w:tc>
        <w:tc>
          <w:tcPr>
            <w:tcW w:w="1037" w:type="dxa"/>
            <w:gridSpan w:val="3"/>
            <w:noWrap/>
            <w:vAlign w:val="center"/>
          </w:tcPr>
          <w:p w14:paraId="1DDF593C" w14:textId="77777777" w:rsidR="002A52E0" w:rsidRPr="003F63D5" w:rsidRDefault="002A52E0" w:rsidP="004C4C09">
            <w:pPr>
              <w:rPr>
                <w:sz w:val="18"/>
                <w:szCs w:val="18"/>
              </w:rPr>
            </w:pPr>
            <w:r w:rsidRPr="003F63D5">
              <w:rPr>
                <w:sz w:val="18"/>
                <w:szCs w:val="18"/>
              </w:rPr>
              <w:t>-</w:t>
            </w:r>
          </w:p>
        </w:tc>
      </w:tr>
      <w:tr w:rsidR="002A52E0" w:rsidRPr="00E50F22" w14:paraId="36DC02D9" w14:textId="77777777" w:rsidTr="004C4C09">
        <w:trPr>
          <w:trHeight w:val="284"/>
        </w:trPr>
        <w:tc>
          <w:tcPr>
            <w:tcW w:w="3119" w:type="dxa"/>
            <w:noWrap/>
            <w:vAlign w:val="center"/>
            <w:hideMark/>
          </w:tcPr>
          <w:p w14:paraId="6D447B16" w14:textId="77777777" w:rsidR="002A52E0" w:rsidRPr="003F63D5" w:rsidRDefault="002A52E0" w:rsidP="004C4C09">
            <w:pPr>
              <w:rPr>
                <w:sz w:val="22"/>
                <w:szCs w:val="22"/>
              </w:rPr>
            </w:pPr>
            <w:r w:rsidRPr="003F63D5">
              <w:rPr>
                <w:sz w:val="22"/>
                <w:szCs w:val="22"/>
              </w:rPr>
              <w:t>ESF coverage (within year)</w:t>
            </w:r>
          </w:p>
        </w:tc>
        <w:tc>
          <w:tcPr>
            <w:tcW w:w="935" w:type="dxa"/>
            <w:noWrap/>
            <w:vAlign w:val="center"/>
            <w:hideMark/>
          </w:tcPr>
          <w:p w14:paraId="7732F113" w14:textId="77777777" w:rsidR="002A52E0" w:rsidRPr="003F63D5" w:rsidRDefault="002A52E0" w:rsidP="004C4C09">
            <w:pPr>
              <w:rPr>
                <w:sz w:val="18"/>
                <w:szCs w:val="18"/>
              </w:rPr>
            </w:pPr>
            <w:r w:rsidRPr="003F63D5">
              <w:rPr>
                <w:sz w:val="18"/>
                <w:szCs w:val="18"/>
              </w:rPr>
              <w:t>-</w:t>
            </w:r>
          </w:p>
        </w:tc>
        <w:tc>
          <w:tcPr>
            <w:tcW w:w="1049" w:type="dxa"/>
            <w:gridSpan w:val="2"/>
            <w:noWrap/>
            <w:vAlign w:val="center"/>
            <w:hideMark/>
          </w:tcPr>
          <w:p w14:paraId="7857704B" w14:textId="77777777" w:rsidR="002A52E0" w:rsidRPr="003F63D5" w:rsidRDefault="002A52E0" w:rsidP="004C4C09">
            <w:pPr>
              <w:rPr>
                <w:sz w:val="18"/>
                <w:szCs w:val="18"/>
              </w:rPr>
            </w:pPr>
            <w:r w:rsidRPr="003F63D5">
              <w:rPr>
                <w:sz w:val="18"/>
                <w:szCs w:val="18"/>
              </w:rPr>
              <w:t>-</w:t>
            </w:r>
          </w:p>
        </w:tc>
        <w:tc>
          <w:tcPr>
            <w:tcW w:w="993" w:type="dxa"/>
            <w:gridSpan w:val="2"/>
            <w:noWrap/>
            <w:vAlign w:val="center"/>
            <w:hideMark/>
          </w:tcPr>
          <w:p w14:paraId="4D7BD9F7" w14:textId="77777777" w:rsidR="002A52E0" w:rsidRPr="003F63D5" w:rsidRDefault="002A52E0" w:rsidP="004C4C09">
            <w:pPr>
              <w:rPr>
                <w:sz w:val="18"/>
                <w:szCs w:val="18"/>
              </w:rPr>
            </w:pPr>
            <w:r w:rsidRPr="003F63D5">
              <w:rPr>
                <w:sz w:val="18"/>
                <w:szCs w:val="18"/>
              </w:rPr>
              <w:t>0.933***</w:t>
            </w:r>
          </w:p>
        </w:tc>
        <w:tc>
          <w:tcPr>
            <w:tcW w:w="992" w:type="dxa"/>
            <w:noWrap/>
            <w:vAlign w:val="center"/>
            <w:hideMark/>
          </w:tcPr>
          <w:p w14:paraId="2365C827" w14:textId="77777777" w:rsidR="002A52E0" w:rsidRPr="003F63D5" w:rsidRDefault="002A52E0" w:rsidP="004C4C09">
            <w:pPr>
              <w:rPr>
                <w:sz w:val="18"/>
                <w:szCs w:val="18"/>
              </w:rPr>
            </w:pPr>
            <w:r w:rsidRPr="003F63D5">
              <w:rPr>
                <w:sz w:val="18"/>
                <w:szCs w:val="18"/>
              </w:rPr>
              <w:t>0.898,0.970</w:t>
            </w:r>
          </w:p>
        </w:tc>
        <w:tc>
          <w:tcPr>
            <w:tcW w:w="895" w:type="dxa"/>
            <w:noWrap/>
            <w:vAlign w:val="center"/>
          </w:tcPr>
          <w:p w14:paraId="12BC3778" w14:textId="77777777" w:rsidR="002A52E0" w:rsidRPr="003F63D5" w:rsidRDefault="002A52E0" w:rsidP="004C4C09">
            <w:pPr>
              <w:rPr>
                <w:sz w:val="18"/>
                <w:szCs w:val="18"/>
              </w:rPr>
            </w:pPr>
            <w:r w:rsidRPr="003F63D5">
              <w:rPr>
                <w:sz w:val="18"/>
                <w:szCs w:val="18"/>
              </w:rPr>
              <w:t>0.939**</w:t>
            </w:r>
          </w:p>
        </w:tc>
        <w:tc>
          <w:tcPr>
            <w:tcW w:w="1037" w:type="dxa"/>
            <w:gridSpan w:val="3"/>
            <w:noWrap/>
            <w:vAlign w:val="center"/>
          </w:tcPr>
          <w:p w14:paraId="59A8AC04" w14:textId="77777777" w:rsidR="002A52E0" w:rsidRPr="003F63D5" w:rsidRDefault="002A52E0" w:rsidP="004C4C09">
            <w:pPr>
              <w:rPr>
                <w:sz w:val="18"/>
                <w:szCs w:val="18"/>
              </w:rPr>
            </w:pPr>
            <w:r w:rsidRPr="003F63D5">
              <w:rPr>
                <w:sz w:val="18"/>
                <w:szCs w:val="18"/>
              </w:rPr>
              <w:t>0.903,0.977</w:t>
            </w:r>
          </w:p>
        </w:tc>
      </w:tr>
      <w:tr w:rsidR="002A52E0" w:rsidRPr="00E50F22" w14:paraId="1D0CD3D4" w14:textId="77777777" w:rsidTr="004C4C09">
        <w:trPr>
          <w:trHeight w:val="284"/>
        </w:trPr>
        <w:tc>
          <w:tcPr>
            <w:tcW w:w="3119" w:type="dxa"/>
            <w:noWrap/>
            <w:vAlign w:val="center"/>
            <w:hideMark/>
          </w:tcPr>
          <w:p w14:paraId="3166202A" w14:textId="77777777" w:rsidR="002A52E0" w:rsidRPr="003F63D5" w:rsidRDefault="002A52E0" w:rsidP="004C4C09">
            <w:pPr>
              <w:rPr>
                <w:sz w:val="22"/>
                <w:szCs w:val="22"/>
              </w:rPr>
            </w:pPr>
            <w:r w:rsidRPr="003F63D5">
              <w:rPr>
                <w:sz w:val="22"/>
                <w:szCs w:val="22"/>
              </w:rPr>
              <w:t>ESF coverage (year before)</w:t>
            </w:r>
          </w:p>
        </w:tc>
        <w:tc>
          <w:tcPr>
            <w:tcW w:w="935" w:type="dxa"/>
            <w:noWrap/>
            <w:vAlign w:val="center"/>
            <w:hideMark/>
          </w:tcPr>
          <w:p w14:paraId="35ECC339" w14:textId="77777777" w:rsidR="002A52E0" w:rsidRPr="003F63D5" w:rsidRDefault="002A52E0" w:rsidP="004C4C09">
            <w:pPr>
              <w:rPr>
                <w:sz w:val="18"/>
                <w:szCs w:val="18"/>
              </w:rPr>
            </w:pPr>
            <w:r w:rsidRPr="003F63D5">
              <w:rPr>
                <w:sz w:val="18"/>
                <w:szCs w:val="18"/>
              </w:rPr>
              <w:t>-</w:t>
            </w:r>
          </w:p>
        </w:tc>
        <w:tc>
          <w:tcPr>
            <w:tcW w:w="1049" w:type="dxa"/>
            <w:gridSpan w:val="2"/>
            <w:noWrap/>
            <w:vAlign w:val="center"/>
            <w:hideMark/>
          </w:tcPr>
          <w:p w14:paraId="570A44FC" w14:textId="77777777" w:rsidR="002A52E0" w:rsidRPr="003F63D5" w:rsidRDefault="002A52E0" w:rsidP="004C4C09">
            <w:pPr>
              <w:rPr>
                <w:sz w:val="18"/>
                <w:szCs w:val="18"/>
              </w:rPr>
            </w:pPr>
            <w:r w:rsidRPr="003F63D5">
              <w:rPr>
                <w:sz w:val="18"/>
                <w:szCs w:val="18"/>
              </w:rPr>
              <w:t>-</w:t>
            </w:r>
          </w:p>
        </w:tc>
        <w:tc>
          <w:tcPr>
            <w:tcW w:w="993" w:type="dxa"/>
            <w:gridSpan w:val="2"/>
            <w:noWrap/>
            <w:vAlign w:val="center"/>
            <w:hideMark/>
          </w:tcPr>
          <w:p w14:paraId="40056B3D" w14:textId="77777777" w:rsidR="002A52E0" w:rsidRPr="003F63D5" w:rsidRDefault="002A52E0" w:rsidP="004C4C09">
            <w:pPr>
              <w:rPr>
                <w:sz w:val="18"/>
                <w:szCs w:val="18"/>
              </w:rPr>
            </w:pPr>
            <w:r w:rsidRPr="003F63D5">
              <w:rPr>
                <w:sz w:val="18"/>
                <w:szCs w:val="18"/>
              </w:rPr>
              <w:t>-</w:t>
            </w:r>
          </w:p>
        </w:tc>
        <w:tc>
          <w:tcPr>
            <w:tcW w:w="992" w:type="dxa"/>
            <w:noWrap/>
            <w:vAlign w:val="center"/>
            <w:hideMark/>
          </w:tcPr>
          <w:p w14:paraId="2AEFC805" w14:textId="77777777" w:rsidR="002A52E0" w:rsidRPr="003F63D5" w:rsidRDefault="002A52E0" w:rsidP="004C4C09">
            <w:pPr>
              <w:rPr>
                <w:sz w:val="18"/>
                <w:szCs w:val="18"/>
              </w:rPr>
            </w:pPr>
            <w:r w:rsidRPr="003F63D5">
              <w:rPr>
                <w:sz w:val="18"/>
                <w:szCs w:val="18"/>
              </w:rPr>
              <w:t>-</w:t>
            </w:r>
          </w:p>
        </w:tc>
        <w:tc>
          <w:tcPr>
            <w:tcW w:w="895" w:type="dxa"/>
            <w:noWrap/>
            <w:vAlign w:val="center"/>
            <w:hideMark/>
          </w:tcPr>
          <w:p w14:paraId="4BD93EE2" w14:textId="77777777" w:rsidR="002A52E0" w:rsidRPr="003F63D5" w:rsidRDefault="002A52E0" w:rsidP="004C4C09">
            <w:pPr>
              <w:rPr>
                <w:sz w:val="18"/>
                <w:szCs w:val="18"/>
              </w:rPr>
            </w:pPr>
            <w:r w:rsidRPr="003F63D5">
              <w:rPr>
                <w:sz w:val="18"/>
                <w:szCs w:val="18"/>
              </w:rPr>
              <w:t>0.991</w:t>
            </w:r>
          </w:p>
        </w:tc>
        <w:tc>
          <w:tcPr>
            <w:tcW w:w="1037" w:type="dxa"/>
            <w:gridSpan w:val="3"/>
            <w:noWrap/>
            <w:vAlign w:val="center"/>
            <w:hideMark/>
          </w:tcPr>
          <w:p w14:paraId="684E407C" w14:textId="77777777" w:rsidR="002A52E0" w:rsidRPr="003F63D5" w:rsidRDefault="002A52E0" w:rsidP="004C4C09">
            <w:pPr>
              <w:rPr>
                <w:sz w:val="18"/>
                <w:szCs w:val="18"/>
              </w:rPr>
            </w:pPr>
            <w:r w:rsidRPr="003F63D5">
              <w:rPr>
                <w:sz w:val="18"/>
                <w:szCs w:val="18"/>
              </w:rPr>
              <w:t>0.954,1.029</w:t>
            </w:r>
          </w:p>
        </w:tc>
      </w:tr>
      <w:tr w:rsidR="002A52E0" w:rsidRPr="00E50F22" w14:paraId="1B65DF05" w14:textId="77777777" w:rsidTr="004C4C09">
        <w:trPr>
          <w:trHeight w:val="284"/>
        </w:trPr>
        <w:tc>
          <w:tcPr>
            <w:tcW w:w="3119" w:type="dxa"/>
            <w:tcBorders>
              <w:bottom w:val="single" w:sz="4" w:space="0" w:color="auto"/>
            </w:tcBorders>
            <w:noWrap/>
            <w:vAlign w:val="center"/>
            <w:hideMark/>
          </w:tcPr>
          <w:p w14:paraId="10272C62" w14:textId="77777777" w:rsidR="002A52E0" w:rsidRPr="003F63D5" w:rsidRDefault="002A52E0" w:rsidP="004C4C09">
            <w:pPr>
              <w:rPr>
                <w:sz w:val="22"/>
                <w:szCs w:val="22"/>
              </w:rPr>
            </w:pPr>
            <w:r w:rsidRPr="003F63D5">
              <w:rPr>
                <w:sz w:val="22"/>
                <w:szCs w:val="22"/>
              </w:rPr>
              <w:t>N (Observations)</w:t>
            </w:r>
          </w:p>
        </w:tc>
        <w:tc>
          <w:tcPr>
            <w:tcW w:w="935" w:type="dxa"/>
            <w:tcBorders>
              <w:bottom w:val="single" w:sz="4" w:space="0" w:color="auto"/>
            </w:tcBorders>
            <w:noWrap/>
            <w:vAlign w:val="center"/>
            <w:hideMark/>
          </w:tcPr>
          <w:p w14:paraId="49DE6033" w14:textId="77777777" w:rsidR="002A52E0" w:rsidRPr="003F63D5" w:rsidRDefault="002A52E0" w:rsidP="004C4C09">
            <w:pPr>
              <w:rPr>
                <w:sz w:val="18"/>
                <w:szCs w:val="18"/>
              </w:rPr>
            </w:pPr>
            <w:r w:rsidRPr="003F63D5">
              <w:rPr>
                <w:sz w:val="18"/>
                <w:szCs w:val="18"/>
              </w:rPr>
              <w:t>22,694</w:t>
            </w:r>
          </w:p>
        </w:tc>
        <w:tc>
          <w:tcPr>
            <w:tcW w:w="1049" w:type="dxa"/>
            <w:gridSpan w:val="2"/>
            <w:tcBorders>
              <w:bottom w:val="single" w:sz="4" w:space="0" w:color="auto"/>
            </w:tcBorders>
            <w:noWrap/>
            <w:vAlign w:val="center"/>
            <w:hideMark/>
          </w:tcPr>
          <w:p w14:paraId="731D71FF" w14:textId="77777777" w:rsidR="002A52E0" w:rsidRPr="003F63D5" w:rsidRDefault="002A52E0" w:rsidP="004C4C09">
            <w:pPr>
              <w:rPr>
                <w:sz w:val="18"/>
                <w:szCs w:val="18"/>
              </w:rPr>
            </w:pPr>
          </w:p>
        </w:tc>
        <w:tc>
          <w:tcPr>
            <w:tcW w:w="993" w:type="dxa"/>
            <w:gridSpan w:val="2"/>
            <w:tcBorders>
              <w:bottom w:val="single" w:sz="4" w:space="0" w:color="auto"/>
            </w:tcBorders>
            <w:noWrap/>
            <w:vAlign w:val="center"/>
            <w:hideMark/>
          </w:tcPr>
          <w:p w14:paraId="4BAB2BF0" w14:textId="77777777" w:rsidR="002A52E0" w:rsidRPr="003F63D5" w:rsidRDefault="002A52E0" w:rsidP="004C4C09">
            <w:pPr>
              <w:rPr>
                <w:sz w:val="18"/>
                <w:szCs w:val="18"/>
              </w:rPr>
            </w:pPr>
            <w:r w:rsidRPr="003F63D5">
              <w:rPr>
                <w:sz w:val="18"/>
                <w:szCs w:val="18"/>
              </w:rPr>
              <w:t>22,694</w:t>
            </w:r>
          </w:p>
        </w:tc>
        <w:tc>
          <w:tcPr>
            <w:tcW w:w="992" w:type="dxa"/>
            <w:tcBorders>
              <w:bottom w:val="single" w:sz="4" w:space="0" w:color="auto"/>
            </w:tcBorders>
            <w:noWrap/>
            <w:vAlign w:val="center"/>
            <w:hideMark/>
          </w:tcPr>
          <w:p w14:paraId="00C16A09" w14:textId="77777777" w:rsidR="002A52E0" w:rsidRPr="003F63D5" w:rsidRDefault="002A52E0" w:rsidP="004C4C09">
            <w:pPr>
              <w:rPr>
                <w:sz w:val="18"/>
                <w:szCs w:val="18"/>
              </w:rPr>
            </w:pPr>
          </w:p>
        </w:tc>
        <w:tc>
          <w:tcPr>
            <w:tcW w:w="895" w:type="dxa"/>
            <w:tcBorders>
              <w:bottom w:val="single" w:sz="4" w:space="0" w:color="auto"/>
            </w:tcBorders>
            <w:noWrap/>
            <w:vAlign w:val="center"/>
            <w:hideMark/>
          </w:tcPr>
          <w:p w14:paraId="170D9890" w14:textId="77777777" w:rsidR="002A52E0" w:rsidRPr="003F63D5" w:rsidRDefault="002A52E0" w:rsidP="004C4C09">
            <w:pPr>
              <w:rPr>
                <w:sz w:val="18"/>
                <w:szCs w:val="18"/>
              </w:rPr>
            </w:pPr>
            <w:r w:rsidRPr="003F63D5">
              <w:rPr>
                <w:sz w:val="18"/>
                <w:szCs w:val="18"/>
              </w:rPr>
              <w:t>22,694</w:t>
            </w:r>
          </w:p>
        </w:tc>
        <w:tc>
          <w:tcPr>
            <w:tcW w:w="1037" w:type="dxa"/>
            <w:gridSpan w:val="3"/>
            <w:tcBorders>
              <w:bottom w:val="single" w:sz="4" w:space="0" w:color="auto"/>
            </w:tcBorders>
            <w:noWrap/>
            <w:vAlign w:val="center"/>
            <w:hideMark/>
          </w:tcPr>
          <w:p w14:paraId="7FA2961D" w14:textId="77777777" w:rsidR="002A52E0" w:rsidRPr="003F63D5" w:rsidRDefault="002A52E0" w:rsidP="004C4C09">
            <w:pPr>
              <w:rPr>
                <w:sz w:val="18"/>
                <w:szCs w:val="18"/>
              </w:rPr>
            </w:pPr>
          </w:p>
        </w:tc>
      </w:tr>
      <w:tr w:rsidR="002A52E0" w:rsidRPr="00E50F22" w14:paraId="0A9C506A" w14:textId="77777777" w:rsidTr="004C4C09">
        <w:trPr>
          <w:gridAfter w:val="1"/>
          <w:wAfter w:w="8" w:type="dxa"/>
          <w:trHeight w:val="284"/>
        </w:trPr>
        <w:tc>
          <w:tcPr>
            <w:tcW w:w="3119" w:type="dxa"/>
            <w:tcBorders>
              <w:top w:val="single" w:sz="4" w:space="0" w:color="auto"/>
            </w:tcBorders>
            <w:noWrap/>
            <w:vAlign w:val="center"/>
            <w:hideMark/>
          </w:tcPr>
          <w:p w14:paraId="2E298415" w14:textId="77777777" w:rsidR="002A52E0" w:rsidRPr="00E50F22" w:rsidRDefault="002A52E0" w:rsidP="004C4C09"/>
        </w:tc>
        <w:tc>
          <w:tcPr>
            <w:tcW w:w="1041" w:type="dxa"/>
            <w:gridSpan w:val="2"/>
            <w:tcBorders>
              <w:top w:val="single" w:sz="4" w:space="0" w:color="auto"/>
            </w:tcBorders>
            <w:noWrap/>
            <w:vAlign w:val="center"/>
            <w:hideMark/>
          </w:tcPr>
          <w:p w14:paraId="09BCD520" w14:textId="77777777" w:rsidR="002A52E0" w:rsidRPr="00E50F22" w:rsidRDefault="002A52E0" w:rsidP="004C4C09"/>
        </w:tc>
        <w:tc>
          <w:tcPr>
            <w:tcW w:w="1083" w:type="dxa"/>
            <w:gridSpan w:val="2"/>
            <w:tcBorders>
              <w:top w:val="single" w:sz="4" w:space="0" w:color="auto"/>
            </w:tcBorders>
            <w:noWrap/>
            <w:vAlign w:val="center"/>
            <w:hideMark/>
          </w:tcPr>
          <w:p w14:paraId="2C48E8A5" w14:textId="77777777" w:rsidR="002A52E0" w:rsidRPr="00E50F22" w:rsidRDefault="002A52E0" w:rsidP="004C4C09"/>
        </w:tc>
        <w:tc>
          <w:tcPr>
            <w:tcW w:w="853" w:type="dxa"/>
            <w:tcBorders>
              <w:top w:val="single" w:sz="4" w:space="0" w:color="auto"/>
            </w:tcBorders>
            <w:noWrap/>
            <w:vAlign w:val="center"/>
            <w:hideMark/>
          </w:tcPr>
          <w:p w14:paraId="0411C861" w14:textId="77777777" w:rsidR="002A52E0" w:rsidRPr="00E50F22" w:rsidRDefault="002A52E0" w:rsidP="004C4C09"/>
        </w:tc>
        <w:tc>
          <w:tcPr>
            <w:tcW w:w="992" w:type="dxa"/>
            <w:tcBorders>
              <w:top w:val="single" w:sz="4" w:space="0" w:color="auto"/>
            </w:tcBorders>
            <w:noWrap/>
            <w:vAlign w:val="center"/>
            <w:hideMark/>
          </w:tcPr>
          <w:p w14:paraId="3940DAD3" w14:textId="77777777" w:rsidR="002A52E0" w:rsidRPr="00E50F22" w:rsidRDefault="002A52E0" w:rsidP="004C4C09"/>
        </w:tc>
        <w:tc>
          <w:tcPr>
            <w:tcW w:w="922" w:type="dxa"/>
            <w:gridSpan w:val="2"/>
            <w:tcBorders>
              <w:top w:val="single" w:sz="4" w:space="0" w:color="auto"/>
            </w:tcBorders>
            <w:noWrap/>
            <w:vAlign w:val="center"/>
            <w:hideMark/>
          </w:tcPr>
          <w:p w14:paraId="0817A33A" w14:textId="77777777" w:rsidR="002A52E0" w:rsidRPr="00E50F22" w:rsidRDefault="002A52E0" w:rsidP="004C4C09"/>
        </w:tc>
        <w:tc>
          <w:tcPr>
            <w:tcW w:w="1002" w:type="dxa"/>
            <w:tcBorders>
              <w:top w:val="single" w:sz="4" w:space="0" w:color="auto"/>
            </w:tcBorders>
            <w:noWrap/>
            <w:vAlign w:val="center"/>
            <w:hideMark/>
          </w:tcPr>
          <w:p w14:paraId="0DDDA1FE" w14:textId="77777777" w:rsidR="002A52E0" w:rsidRPr="00E50F22" w:rsidRDefault="002A52E0" w:rsidP="004C4C09"/>
        </w:tc>
      </w:tr>
      <w:tr w:rsidR="002A52E0" w:rsidRPr="00E50F22" w14:paraId="4D8D8633" w14:textId="77777777" w:rsidTr="004C4C09">
        <w:trPr>
          <w:trHeight w:val="284"/>
        </w:trPr>
        <w:tc>
          <w:tcPr>
            <w:tcW w:w="9020" w:type="dxa"/>
            <w:gridSpan w:val="11"/>
            <w:noWrap/>
            <w:vAlign w:val="center"/>
            <w:hideMark/>
          </w:tcPr>
          <w:p w14:paraId="29C59C65" w14:textId="77777777" w:rsidR="002A52E0" w:rsidRPr="009D3099" w:rsidRDefault="002A52E0" w:rsidP="004C4C09">
            <w:pPr>
              <w:rPr>
                <w:rFonts w:eastAsia="SimSun"/>
                <w:sz w:val="18"/>
                <w:szCs w:val="18"/>
              </w:rPr>
            </w:pPr>
            <w:proofErr w:type="spellStart"/>
            <w:r w:rsidRPr="002453FD">
              <w:rPr>
                <w:sz w:val="18"/>
                <w:szCs w:val="18"/>
              </w:rPr>
              <w:t>Exponentiated</w:t>
            </w:r>
            <w:proofErr w:type="spellEnd"/>
            <w:r w:rsidRPr="002453FD">
              <w:rPr>
                <w:sz w:val="18"/>
                <w:szCs w:val="18"/>
              </w:rPr>
              <w:t xml:space="preserve"> coefficients;</w:t>
            </w:r>
            <w:r>
              <w:rPr>
                <w:sz w:val="18"/>
                <w:szCs w:val="18"/>
              </w:rPr>
              <w:t xml:space="preserve"> * </w:t>
            </w:r>
            <w:r w:rsidRPr="002453FD">
              <w:rPr>
                <w:sz w:val="18"/>
                <w:szCs w:val="18"/>
              </w:rPr>
              <w:t>p&lt;0.05, ** p&lt;0.01, *** p&lt;0.001</w:t>
            </w:r>
            <w:r>
              <w:rPr>
                <w:sz w:val="18"/>
                <w:szCs w:val="18"/>
              </w:rPr>
              <w:t xml:space="preserve"> </w:t>
            </w:r>
            <w:r>
              <w:rPr>
                <w:rFonts w:eastAsia="Times New Roman"/>
                <w:color w:val="000000"/>
                <w:sz w:val="18"/>
                <w:szCs w:val="18"/>
              </w:rPr>
              <w:t xml:space="preserve">RR- Rate Ratio; 95% CI- </w:t>
            </w:r>
            <w:r w:rsidRPr="002453FD">
              <w:rPr>
                <w:sz w:val="18"/>
                <w:szCs w:val="18"/>
              </w:rPr>
              <w:t xml:space="preserve"> 95% confidence interval</w:t>
            </w:r>
            <w:r>
              <w:rPr>
                <w:sz w:val="18"/>
                <w:szCs w:val="18"/>
              </w:rPr>
              <w:t xml:space="preserve">; </w:t>
            </w:r>
            <w:r>
              <w:rPr>
                <w:rFonts w:eastAsia="Times New Roman"/>
                <w:color w:val="000000"/>
                <w:sz w:val="18"/>
                <w:szCs w:val="18"/>
              </w:rPr>
              <w:t xml:space="preserve">ESF - </w:t>
            </w:r>
            <w:proofErr w:type="spellStart"/>
            <w:r w:rsidRPr="0099037C">
              <w:rPr>
                <w:rFonts w:eastAsia="Times New Roman"/>
                <w:color w:val="000000"/>
                <w:sz w:val="18"/>
                <w:szCs w:val="18"/>
              </w:rPr>
              <w:t>Estratégia</w:t>
            </w:r>
            <w:proofErr w:type="spellEnd"/>
            <w:r w:rsidRPr="0099037C">
              <w:rPr>
                <w:rFonts w:eastAsia="Times New Roman"/>
                <w:color w:val="000000"/>
                <w:sz w:val="18"/>
                <w:szCs w:val="18"/>
              </w:rPr>
              <w:t xml:space="preserve"> de </w:t>
            </w:r>
            <w:proofErr w:type="spellStart"/>
            <w:r w:rsidRPr="0099037C">
              <w:rPr>
                <w:rFonts w:eastAsia="Times New Roman"/>
                <w:color w:val="000000"/>
                <w:sz w:val="18"/>
                <w:szCs w:val="18"/>
              </w:rPr>
              <w:t>Saúde</w:t>
            </w:r>
            <w:proofErr w:type="spellEnd"/>
            <w:r w:rsidRPr="0099037C">
              <w:rPr>
                <w:rFonts w:eastAsia="Times New Roman"/>
                <w:color w:val="000000"/>
                <w:sz w:val="18"/>
                <w:szCs w:val="18"/>
              </w:rPr>
              <w:t xml:space="preserve"> da </w:t>
            </w:r>
            <w:proofErr w:type="spellStart"/>
            <w:r w:rsidRPr="0099037C">
              <w:rPr>
                <w:rFonts w:eastAsia="Times New Roman"/>
                <w:color w:val="000000"/>
                <w:sz w:val="18"/>
                <w:szCs w:val="18"/>
              </w:rPr>
              <w:t>Família</w:t>
            </w:r>
            <w:proofErr w:type="spellEnd"/>
            <w:r>
              <w:rPr>
                <w:rFonts w:eastAsia="Times New Roman"/>
                <w:color w:val="000000"/>
                <w:sz w:val="18"/>
                <w:szCs w:val="18"/>
              </w:rPr>
              <w:t xml:space="preserve"> (Family Health Strategy); GDP – Gross Domestic Product;</w:t>
            </w:r>
          </w:p>
          <w:p w14:paraId="1D0D96C6" w14:textId="77777777" w:rsidR="002A52E0" w:rsidRDefault="002A52E0" w:rsidP="004C4C09">
            <w:pPr>
              <w:rPr>
                <w:rFonts w:eastAsia="Times New Roman"/>
                <w:color w:val="000000"/>
                <w:sz w:val="18"/>
                <w:szCs w:val="18"/>
              </w:rPr>
            </w:pPr>
          </w:p>
          <w:p w14:paraId="2D5DF9BB" w14:textId="77777777" w:rsidR="002A52E0" w:rsidRPr="00A9556A" w:rsidRDefault="002A52E0" w:rsidP="004C4C09">
            <w:pPr>
              <w:rPr>
                <w:rFonts w:eastAsia="Times New Roman"/>
                <w:color w:val="000000"/>
                <w:sz w:val="18"/>
                <w:szCs w:val="18"/>
              </w:rPr>
            </w:pPr>
            <w:r>
              <w:rPr>
                <w:rFonts w:eastAsia="Times New Roman"/>
                <w:color w:val="000000"/>
                <w:sz w:val="18"/>
                <w:szCs w:val="18"/>
              </w:rPr>
              <w:t xml:space="preserve">Notes: </w:t>
            </w:r>
            <w:r>
              <w:rPr>
                <w:sz w:val="18"/>
                <w:szCs w:val="18"/>
              </w:rPr>
              <w:t>The study period was from 2000 to 2013. Robust standards errors employed. Year is a continuous variable and is interpreted as the underlying annual change in mortality rate during the study period. All measures of ESF coverage are expressed as percentages and scaled so a 1 unit increase represents a 100% increase</w:t>
            </w:r>
            <w:r>
              <w:rPr>
                <w:rFonts w:eastAsia="Times New Roman"/>
                <w:color w:val="000000"/>
                <w:sz w:val="18"/>
                <w:szCs w:val="18"/>
              </w:rPr>
              <w:t xml:space="preserve"> Although not shown, all regressions controlled for: </w:t>
            </w:r>
            <w:proofErr w:type="spellStart"/>
            <w:r>
              <w:rPr>
                <w:rFonts w:eastAsia="Times New Roman"/>
                <w:color w:val="000000"/>
                <w:sz w:val="18"/>
                <w:szCs w:val="18"/>
              </w:rPr>
              <w:t>B</w:t>
            </w:r>
            <w:r w:rsidRPr="00781544">
              <w:rPr>
                <w:rFonts w:eastAsia="Times New Roman"/>
                <w:color w:val="000000"/>
                <w:sz w:val="18"/>
                <w:szCs w:val="18"/>
              </w:rPr>
              <w:t>olsa</w:t>
            </w:r>
            <w:proofErr w:type="spellEnd"/>
            <w:r w:rsidRPr="00781544">
              <w:rPr>
                <w:rFonts w:eastAsia="Times New Roman"/>
                <w:color w:val="000000"/>
                <w:sz w:val="18"/>
                <w:szCs w:val="18"/>
              </w:rPr>
              <w:t xml:space="preserve"> </w:t>
            </w:r>
            <w:proofErr w:type="spellStart"/>
            <w:r>
              <w:rPr>
                <w:rFonts w:eastAsia="Times New Roman"/>
                <w:i/>
                <w:color w:val="000000"/>
                <w:sz w:val="18"/>
                <w:szCs w:val="18"/>
              </w:rPr>
              <w:t>F</w:t>
            </w:r>
            <w:r w:rsidRPr="00781544">
              <w:rPr>
                <w:rFonts w:eastAsia="Times New Roman"/>
                <w:i/>
                <w:color w:val="000000"/>
                <w:sz w:val="18"/>
                <w:szCs w:val="18"/>
              </w:rPr>
              <w:t>amília</w:t>
            </w:r>
            <w:proofErr w:type="spellEnd"/>
            <w:r w:rsidRPr="00781544">
              <w:rPr>
                <w:rFonts w:eastAsia="Times New Roman"/>
                <w:color w:val="000000"/>
                <w:sz w:val="18"/>
                <w:szCs w:val="18"/>
              </w:rPr>
              <w:t xml:space="preserve"> coverage (%); </w:t>
            </w:r>
            <w:r w:rsidRPr="003D31B6">
              <w:rPr>
                <w:rFonts w:eastAsia="Times New Roman"/>
                <w:color w:val="000000"/>
                <w:sz w:val="18"/>
                <w:szCs w:val="18"/>
              </w:rPr>
              <w:t>Illiteracy rate of those over 25 (Log)</w:t>
            </w:r>
            <w:r>
              <w:rPr>
                <w:rFonts w:eastAsia="Times New Roman"/>
                <w:color w:val="000000"/>
                <w:sz w:val="18"/>
                <w:szCs w:val="18"/>
              </w:rPr>
              <w:t xml:space="preserve">; </w:t>
            </w:r>
            <w:r w:rsidRPr="003D31B6">
              <w:rPr>
                <w:rFonts w:eastAsia="Times New Roman"/>
                <w:color w:val="000000"/>
                <w:sz w:val="18"/>
                <w:szCs w:val="18"/>
              </w:rPr>
              <w:t>Poverty rate (%)</w:t>
            </w:r>
            <w:r>
              <w:rPr>
                <w:rFonts w:eastAsia="Times New Roman"/>
                <w:color w:val="000000"/>
                <w:sz w:val="18"/>
                <w:szCs w:val="18"/>
              </w:rPr>
              <w:t xml:space="preserve">; </w:t>
            </w:r>
            <w:r w:rsidRPr="003D31B6">
              <w:rPr>
                <w:rFonts w:eastAsia="Times New Roman"/>
                <w:color w:val="000000"/>
                <w:sz w:val="18"/>
                <w:szCs w:val="18"/>
              </w:rPr>
              <w:t>Urban rate (%)</w:t>
            </w:r>
            <w:r>
              <w:rPr>
                <w:rFonts w:eastAsia="Times New Roman"/>
                <w:color w:val="000000"/>
                <w:sz w:val="18"/>
                <w:szCs w:val="18"/>
              </w:rPr>
              <w:t xml:space="preserve">; </w:t>
            </w:r>
            <w:r w:rsidRPr="003D31B6">
              <w:rPr>
                <w:rFonts w:eastAsia="Times New Roman"/>
                <w:color w:val="000000"/>
                <w:sz w:val="18"/>
                <w:szCs w:val="18"/>
              </w:rPr>
              <w:t>Public Healthcare spending (R$100 per person)</w:t>
            </w:r>
            <w:r>
              <w:rPr>
                <w:rFonts w:eastAsia="Times New Roman"/>
                <w:color w:val="000000"/>
                <w:sz w:val="18"/>
                <w:szCs w:val="18"/>
              </w:rPr>
              <w:t xml:space="preserve">; </w:t>
            </w:r>
            <w:r w:rsidRPr="003D31B6">
              <w:rPr>
                <w:rFonts w:eastAsia="Times New Roman"/>
                <w:color w:val="000000"/>
                <w:sz w:val="18"/>
                <w:szCs w:val="18"/>
              </w:rPr>
              <w:t>Public hospital beds per 1,000 population</w:t>
            </w:r>
            <w:r>
              <w:rPr>
                <w:rFonts w:eastAsia="Times New Roman"/>
                <w:color w:val="000000"/>
                <w:sz w:val="18"/>
                <w:szCs w:val="18"/>
              </w:rPr>
              <w:t xml:space="preserve">; </w:t>
            </w:r>
            <w:r w:rsidRPr="003D31B6">
              <w:rPr>
                <w:rFonts w:eastAsia="Times New Roman"/>
                <w:color w:val="000000"/>
                <w:sz w:val="18"/>
                <w:szCs w:val="18"/>
              </w:rPr>
              <w:t>Private hospital beds per 1,000 population</w:t>
            </w:r>
            <w:r>
              <w:rPr>
                <w:rFonts w:eastAsia="Times New Roman"/>
                <w:color w:val="000000"/>
                <w:sz w:val="18"/>
                <w:szCs w:val="18"/>
              </w:rPr>
              <w:t xml:space="preserve">; </w:t>
            </w:r>
            <w:r w:rsidRPr="003D31B6">
              <w:rPr>
                <w:rFonts w:eastAsia="Times New Roman"/>
                <w:color w:val="000000"/>
                <w:sz w:val="18"/>
                <w:szCs w:val="18"/>
              </w:rPr>
              <w:t>Private healthcare insurance (%) (Log)</w:t>
            </w:r>
            <w:r>
              <w:rPr>
                <w:rFonts w:eastAsia="Times New Roman"/>
                <w:color w:val="000000"/>
                <w:sz w:val="18"/>
                <w:szCs w:val="18"/>
              </w:rPr>
              <w:t xml:space="preserve">; </w:t>
            </w:r>
            <w:r w:rsidRPr="003D31B6">
              <w:rPr>
                <w:rFonts w:eastAsia="Times New Roman"/>
                <w:color w:val="000000"/>
                <w:sz w:val="18"/>
                <w:szCs w:val="18"/>
              </w:rPr>
              <w:t>GDP per person (R$100) (Log)</w:t>
            </w:r>
            <w:r>
              <w:rPr>
                <w:rFonts w:eastAsia="Times New Roman"/>
                <w:color w:val="000000"/>
                <w:sz w:val="18"/>
                <w:szCs w:val="18"/>
              </w:rPr>
              <w:t xml:space="preserve">; </w:t>
            </w:r>
            <w:r w:rsidRPr="003D31B6">
              <w:rPr>
                <w:rFonts w:eastAsia="Times New Roman"/>
                <w:color w:val="000000"/>
                <w:sz w:val="18"/>
                <w:szCs w:val="18"/>
              </w:rPr>
              <w:t>Private healthcare insurance (%) (Log)* GDP per person (R$100) (Log)</w:t>
            </w:r>
            <w:r>
              <w:rPr>
                <w:rFonts w:eastAsia="Times New Roman"/>
                <w:color w:val="000000"/>
                <w:sz w:val="18"/>
                <w:szCs w:val="18"/>
              </w:rPr>
              <w:t xml:space="preserve"> Interaction. Some municipalities and/or year observations not included due to no deaths from ambulatory care sensitive conditions for that racial group.</w:t>
            </w:r>
          </w:p>
          <w:p w14:paraId="09423F92" w14:textId="77777777" w:rsidR="002A52E0" w:rsidRPr="00E50F22" w:rsidRDefault="002A52E0" w:rsidP="004C4C09"/>
        </w:tc>
      </w:tr>
    </w:tbl>
    <w:p w14:paraId="49623B47" w14:textId="77777777" w:rsidR="002A52E0" w:rsidRDefault="002A52E0" w:rsidP="002A52E0">
      <w:pPr>
        <w:rPr>
          <w:b/>
        </w:rPr>
      </w:pPr>
    </w:p>
    <w:p w14:paraId="5888EA15" w14:textId="77777777" w:rsidR="002A52E0" w:rsidRDefault="002A52E0" w:rsidP="002A52E0">
      <w:pPr>
        <w:rPr>
          <w:b/>
        </w:rPr>
      </w:pPr>
    </w:p>
    <w:p w14:paraId="178918EC" w14:textId="77777777" w:rsidR="00E31862" w:rsidRPr="002A52E0" w:rsidRDefault="00E31862">
      <w:pPr>
        <w:rPr>
          <w:b/>
        </w:rPr>
      </w:pPr>
    </w:p>
    <w:sectPr w:rsidR="00E31862" w:rsidRPr="002A52E0" w:rsidSect="00DC4F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E0"/>
    <w:rsid w:val="00067E61"/>
    <w:rsid w:val="000E433A"/>
    <w:rsid w:val="001231A8"/>
    <w:rsid w:val="0016057F"/>
    <w:rsid w:val="001A2458"/>
    <w:rsid w:val="00242DA3"/>
    <w:rsid w:val="002A52E0"/>
    <w:rsid w:val="002C3A13"/>
    <w:rsid w:val="0036477A"/>
    <w:rsid w:val="003E4CD3"/>
    <w:rsid w:val="003F3B43"/>
    <w:rsid w:val="00406065"/>
    <w:rsid w:val="0044129A"/>
    <w:rsid w:val="004A1BB3"/>
    <w:rsid w:val="004A52BB"/>
    <w:rsid w:val="005225AF"/>
    <w:rsid w:val="00522A64"/>
    <w:rsid w:val="00633EAA"/>
    <w:rsid w:val="00675CCB"/>
    <w:rsid w:val="00687F52"/>
    <w:rsid w:val="006A45DC"/>
    <w:rsid w:val="006A4A75"/>
    <w:rsid w:val="006D3B87"/>
    <w:rsid w:val="007B7301"/>
    <w:rsid w:val="007E48CA"/>
    <w:rsid w:val="0083571F"/>
    <w:rsid w:val="00923241"/>
    <w:rsid w:val="0099491B"/>
    <w:rsid w:val="00995C3B"/>
    <w:rsid w:val="009B097D"/>
    <w:rsid w:val="009F2AC8"/>
    <w:rsid w:val="00A26DA5"/>
    <w:rsid w:val="00A83EA0"/>
    <w:rsid w:val="00AD5E23"/>
    <w:rsid w:val="00AE28CD"/>
    <w:rsid w:val="00AE33D6"/>
    <w:rsid w:val="00B6383E"/>
    <w:rsid w:val="00B6583D"/>
    <w:rsid w:val="00B938A8"/>
    <w:rsid w:val="00BD7546"/>
    <w:rsid w:val="00C14DAE"/>
    <w:rsid w:val="00C7092D"/>
    <w:rsid w:val="00D7015B"/>
    <w:rsid w:val="00DC4FB2"/>
    <w:rsid w:val="00DD061F"/>
    <w:rsid w:val="00E164ED"/>
    <w:rsid w:val="00E31862"/>
    <w:rsid w:val="00F850AB"/>
    <w:rsid w:val="00FE74A4"/>
    <w:rsid w:val="00FF46B0"/>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FA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E0"/>
    <w:rPr>
      <w:rFonts w:ascii="Times" w:eastAsiaTheme="minorEastAsia" w:hAnsi="Time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E0"/>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Company>Imperial College London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 Thomas V</dc:creator>
  <cp:keywords/>
  <dc:description/>
  <cp:lastModifiedBy>Hone, Thomas</cp:lastModifiedBy>
  <cp:revision>3</cp:revision>
  <dcterms:created xsi:type="dcterms:W3CDTF">2017-04-09T14:53:00Z</dcterms:created>
  <dcterms:modified xsi:type="dcterms:W3CDTF">2017-04-24T08:29:00Z</dcterms:modified>
</cp:coreProperties>
</file>