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692" w:rsidRPr="000F2BF8" w:rsidRDefault="00D51692" w:rsidP="00D51692">
      <w:pPr>
        <w:spacing w:line="480" w:lineRule="auto"/>
        <w:rPr>
          <w:rFonts w:ascii="Arial" w:hAnsi="Arial" w:cs="Arial"/>
          <w:b/>
          <w:sz w:val="24"/>
          <w:szCs w:val="24"/>
        </w:rPr>
      </w:pPr>
      <w:r>
        <w:rPr>
          <w:rFonts w:ascii="Arial" w:hAnsi="Arial" w:cs="Arial"/>
          <w:b/>
          <w:sz w:val="24"/>
          <w:szCs w:val="24"/>
        </w:rPr>
        <w:t>S</w:t>
      </w:r>
      <w:r w:rsidR="00991E8D">
        <w:rPr>
          <w:rFonts w:ascii="Arial" w:hAnsi="Arial" w:cs="Arial"/>
          <w:b/>
          <w:sz w:val="24"/>
          <w:szCs w:val="24"/>
        </w:rPr>
        <w:t>7 Table:</w:t>
      </w:r>
      <w:r w:rsidR="003B296A">
        <w:rPr>
          <w:rFonts w:ascii="Arial" w:hAnsi="Arial" w:cs="Arial"/>
          <w:b/>
          <w:sz w:val="24"/>
          <w:szCs w:val="24"/>
        </w:rPr>
        <w:t xml:space="preserve"> Summary of NICE Guidelines for targeted cancer therapeutics</w:t>
      </w:r>
    </w:p>
    <w:tbl>
      <w:tblPr>
        <w:tblStyle w:val="TableGrid"/>
        <w:tblW w:w="0" w:type="auto"/>
        <w:tblLook w:val="04A0" w:firstRow="1" w:lastRow="0" w:firstColumn="1" w:lastColumn="0" w:noHBand="0" w:noVBand="1"/>
      </w:tblPr>
      <w:tblGrid>
        <w:gridCol w:w="1384"/>
        <w:gridCol w:w="1843"/>
        <w:gridCol w:w="1559"/>
        <w:gridCol w:w="4394"/>
        <w:gridCol w:w="4994"/>
      </w:tblGrid>
      <w:tr w:rsidR="00D51692" w:rsidRPr="00F337F8" w:rsidTr="00B15F94">
        <w:tc>
          <w:tcPr>
            <w:tcW w:w="1384" w:type="dxa"/>
          </w:tcPr>
          <w:p w:rsidR="00D51692" w:rsidRPr="00F337F8" w:rsidRDefault="00D51692" w:rsidP="00B15F94">
            <w:pPr>
              <w:rPr>
                <w:b/>
              </w:rPr>
            </w:pPr>
            <w:r w:rsidRPr="00F337F8">
              <w:rPr>
                <w:b/>
              </w:rPr>
              <w:t>Tumour Site</w:t>
            </w:r>
          </w:p>
        </w:tc>
        <w:tc>
          <w:tcPr>
            <w:tcW w:w="1843" w:type="dxa"/>
          </w:tcPr>
          <w:p w:rsidR="00D51692" w:rsidRPr="00F337F8" w:rsidRDefault="00D51692" w:rsidP="00B15F94">
            <w:pPr>
              <w:rPr>
                <w:b/>
              </w:rPr>
            </w:pPr>
            <w:r w:rsidRPr="00F337F8">
              <w:rPr>
                <w:b/>
              </w:rPr>
              <w:t>Targeted Therapy</w:t>
            </w:r>
          </w:p>
        </w:tc>
        <w:tc>
          <w:tcPr>
            <w:tcW w:w="1559" w:type="dxa"/>
          </w:tcPr>
          <w:p w:rsidR="00D51692" w:rsidRPr="00F337F8" w:rsidRDefault="00D51692" w:rsidP="00B15F94">
            <w:pPr>
              <w:rPr>
                <w:b/>
              </w:rPr>
            </w:pPr>
            <w:r w:rsidRPr="00F337F8">
              <w:rPr>
                <w:b/>
              </w:rPr>
              <w:t>NICE Guidance</w:t>
            </w:r>
          </w:p>
        </w:tc>
        <w:tc>
          <w:tcPr>
            <w:tcW w:w="4394" w:type="dxa"/>
          </w:tcPr>
          <w:p w:rsidR="00D51692" w:rsidRPr="00F337F8" w:rsidRDefault="00D51692" w:rsidP="00B15F94">
            <w:pPr>
              <w:rPr>
                <w:b/>
              </w:rPr>
            </w:pPr>
            <w:r w:rsidRPr="00F337F8">
              <w:rPr>
                <w:b/>
              </w:rPr>
              <w:t>Recommendation</w:t>
            </w:r>
          </w:p>
        </w:tc>
        <w:tc>
          <w:tcPr>
            <w:tcW w:w="4994" w:type="dxa"/>
          </w:tcPr>
          <w:p w:rsidR="00D51692" w:rsidRPr="00F337F8" w:rsidRDefault="00D51692" w:rsidP="00B15F94">
            <w:pPr>
              <w:rPr>
                <w:b/>
              </w:rPr>
            </w:pPr>
            <w:r w:rsidRPr="00F337F8">
              <w:rPr>
                <w:b/>
              </w:rPr>
              <w:t>Further Information</w:t>
            </w:r>
          </w:p>
        </w:tc>
      </w:tr>
      <w:tr w:rsidR="00D51692" w:rsidRPr="00535168" w:rsidTr="00B15F94">
        <w:tc>
          <w:tcPr>
            <w:tcW w:w="1384" w:type="dxa"/>
          </w:tcPr>
          <w:p w:rsidR="00D51692" w:rsidRPr="00535168" w:rsidRDefault="00D51692" w:rsidP="00B15F94">
            <w:pPr>
              <w:rPr>
                <w:sz w:val="18"/>
                <w:szCs w:val="18"/>
              </w:rPr>
            </w:pPr>
            <w:r w:rsidRPr="00535168">
              <w:rPr>
                <w:sz w:val="18"/>
                <w:szCs w:val="18"/>
              </w:rPr>
              <w:t>Melanoma</w:t>
            </w:r>
          </w:p>
        </w:tc>
        <w:tc>
          <w:tcPr>
            <w:tcW w:w="1843" w:type="dxa"/>
          </w:tcPr>
          <w:p w:rsidR="00D51692" w:rsidRPr="00535168" w:rsidRDefault="00D51692" w:rsidP="00B15F94">
            <w:pPr>
              <w:rPr>
                <w:sz w:val="18"/>
                <w:szCs w:val="18"/>
              </w:rPr>
            </w:pPr>
            <w:r w:rsidRPr="00535168">
              <w:rPr>
                <w:sz w:val="18"/>
                <w:szCs w:val="18"/>
              </w:rPr>
              <w:t>Vemurafenib</w:t>
            </w:r>
          </w:p>
        </w:tc>
        <w:tc>
          <w:tcPr>
            <w:tcW w:w="1559" w:type="dxa"/>
          </w:tcPr>
          <w:p w:rsidR="00D51692" w:rsidRPr="00535168" w:rsidRDefault="00D51692" w:rsidP="00B15F94">
            <w:pPr>
              <w:rPr>
                <w:sz w:val="18"/>
                <w:szCs w:val="18"/>
              </w:rPr>
            </w:pPr>
            <w:r w:rsidRPr="00535168">
              <w:rPr>
                <w:sz w:val="18"/>
                <w:szCs w:val="18"/>
              </w:rPr>
              <w:t>TA269</w:t>
            </w:r>
            <w:r>
              <w:rPr>
                <w:rStyle w:val="EndnoteReference"/>
                <w:sz w:val="18"/>
                <w:szCs w:val="18"/>
              </w:rPr>
              <w:endnoteReference w:id="1"/>
            </w:r>
          </w:p>
        </w:tc>
        <w:tc>
          <w:tcPr>
            <w:tcW w:w="4394" w:type="dxa"/>
          </w:tcPr>
          <w:p w:rsidR="00D51692" w:rsidRPr="00535168" w:rsidRDefault="00D51692" w:rsidP="00B15F94">
            <w:pPr>
              <w:rPr>
                <w:sz w:val="18"/>
                <w:szCs w:val="18"/>
              </w:rPr>
            </w:pPr>
            <w:r w:rsidRPr="00535168">
              <w:rPr>
                <w:sz w:val="18"/>
                <w:szCs w:val="18"/>
              </w:rPr>
              <w:t xml:space="preserve">Vemurafenib is recommended as an option for treating </w:t>
            </w:r>
            <w:r w:rsidRPr="00A90140">
              <w:rPr>
                <w:i/>
                <w:sz w:val="18"/>
                <w:szCs w:val="18"/>
              </w:rPr>
              <w:t>BRAF</w:t>
            </w:r>
            <w:r w:rsidRPr="00535168">
              <w:rPr>
                <w:sz w:val="18"/>
                <w:szCs w:val="18"/>
              </w:rPr>
              <w:t xml:space="preserve"> V600 mutation-positive unresectable or metastatic melanoma</w:t>
            </w:r>
          </w:p>
        </w:tc>
        <w:tc>
          <w:tcPr>
            <w:tcW w:w="4994" w:type="dxa"/>
          </w:tcPr>
          <w:p w:rsidR="00D51692" w:rsidRPr="00535168" w:rsidRDefault="00D51692" w:rsidP="00B15F94">
            <w:pPr>
              <w:rPr>
                <w:sz w:val="18"/>
                <w:szCs w:val="18"/>
              </w:rPr>
            </w:pPr>
          </w:p>
        </w:tc>
      </w:tr>
      <w:tr w:rsidR="00D51692" w:rsidRPr="00535168" w:rsidTr="00B15F94">
        <w:tc>
          <w:tcPr>
            <w:tcW w:w="1384" w:type="dxa"/>
          </w:tcPr>
          <w:p w:rsidR="00D51692" w:rsidRPr="00535168" w:rsidRDefault="00D51692" w:rsidP="00B15F94">
            <w:pPr>
              <w:rPr>
                <w:sz w:val="18"/>
                <w:szCs w:val="18"/>
              </w:rPr>
            </w:pPr>
            <w:r w:rsidRPr="00535168">
              <w:rPr>
                <w:sz w:val="18"/>
                <w:szCs w:val="18"/>
              </w:rPr>
              <w:t>Non-small Cell Lung Carcinoma</w:t>
            </w:r>
          </w:p>
        </w:tc>
        <w:tc>
          <w:tcPr>
            <w:tcW w:w="1843" w:type="dxa"/>
          </w:tcPr>
          <w:p w:rsidR="00D51692" w:rsidRPr="00535168" w:rsidRDefault="00D51692" w:rsidP="00B15F94">
            <w:pPr>
              <w:rPr>
                <w:sz w:val="18"/>
                <w:szCs w:val="18"/>
              </w:rPr>
            </w:pPr>
            <w:r w:rsidRPr="00535168">
              <w:rPr>
                <w:sz w:val="18"/>
                <w:szCs w:val="18"/>
              </w:rPr>
              <w:t>Gefitinib</w:t>
            </w:r>
          </w:p>
          <w:p w:rsidR="00D51692" w:rsidRPr="00535168" w:rsidRDefault="00D51692" w:rsidP="00B15F94">
            <w:pPr>
              <w:rPr>
                <w:sz w:val="18"/>
                <w:szCs w:val="18"/>
              </w:rPr>
            </w:pPr>
          </w:p>
          <w:p w:rsidR="00D51692" w:rsidRPr="00535168" w:rsidRDefault="00D51692" w:rsidP="00B15F94">
            <w:pPr>
              <w:rPr>
                <w:sz w:val="18"/>
                <w:szCs w:val="18"/>
              </w:rPr>
            </w:pPr>
          </w:p>
          <w:p w:rsidR="00D51692" w:rsidRPr="00535168" w:rsidRDefault="00D51692" w:rsidP="00B15F94">
            <w:pPr>
              <w:rPr>
                <w:sz w:val="18"/>
                <w:szCs w:val="18"/>
              </w:rPr>
            </w:pPr>
          </w:p>
          <w:p w:rsidR="00D51692" w:rsidRPr="00535168" w:rsidRDefault="00D51692" w:rsidP="00B15F94">
            <w:pPr>
              <w:rPr>
                <w:sz w:val="18"/>
                <w:szCs w:val="18"/>
              </w:rPr>
            </w:pPr>
          </w:p>
          <w:p w:rsidR="00D51692" w:rsidRPr="00535168" w:rsidRDefault="00D51692" w:rsidP="00B15F94">
            <w:pPr>
              <w:rPr>
                <w:sz w:val="18"/>
                <w:szCs w:val="18"/>
              </w:rPr>
            </w:pPr>
          </w:p>
          <w:p w:rsidR="00D51692" w:rsidRPr="00535168" w:rsidRDefault="00D51692" w:rsidP="00B15F94">
            <w:pPr>
              <w:rPr>
                <w:sz w:val="18"/>
                <w:szCs w:val="18"/>
              </w:rPr>
            </w:pPr>
            <w:r w:rsidRPr="00535168">
              <w:rPr>
                <w:sz w:val="18"/>
                <w:szCs w:val="18"/>
              </w:rPr>
              <w:t>Erlotinib</w:t>
            </w:r>
          </w:p>
        </w:tc>
        <w:tc>
          <w:tcPr>
            <w:tcW w:w="1559" w:type="dxa"/>
          </w:tcPr>
          <w:p w:rsidR="00D51692" w:rsidRPr="00535168" w:rsidRDefault="00D51692" w:rsidP="00B15F94">
            <w:pPr>
              <w:rPr>
                <w:sz w:val="18"/>
                <w:szCs w:val="18"/>
              </w:rPr>
            </w:pPr>
            <w:r w:rsidRPr="00535168">
              <w:rPr>
                <w:sz w:val="18"/>
                <w:szCs w:val="18"/>
              </w:rPr>
              <w:t>TA192</w:t>
            </w:r>
            <w:r>
              <w:rPr>
                <w:rStyle w:val="EndnoteReference"/>
                <w:sz w:val="18"/>
                <w:szCs w:val="18"/>
              </w:rPr>
              <w:endnoteReference w:id="2"/>
            </w:r>
          </w:p>
          <w:p w:rsidR="00D51692" w:rsidRPr="00535168" w:rsidRDefault="00D51692" w:rsidP="00B15F94">
            <w:pPr>
              <w:rPr>
                <w:sz w:val="18"/>
                <w:szCs w:val="18"/>
              </w:rPr>
            </w:pPr>
          </w:p>
          <w:p w:rsidR="00D51692" w:rsidRPr="00535168" w:rsidRDefault="00D51692" w:rsidP="00B15F94">
            <w:pPr>
              <w:rPr>
                <w:sz w:val="18"/>
                <w:szCs w:val="18"/>
              </w:rPr>
            </w:pPr>
          </w:p>
          <w:p w:rsidR="00D51692" w:rsidRPr="00535168" w:rsidRDefault="00D51692" w:rsidP="00B15F94">
            <w:pPr>
              <w:rPr>
                <w:sz w:val="18"/>
                <w:szCs w:val="18"/>
              </w:rPr>
            </w:pPr>
          </w:p>
          <w:p w:rsidR="00D51692" w:rsidRPr="00535168" w:rsidRDefault="00D51692" w:rsidP="00B15F94">
            <w:pPr>
              <w:rPr>
                <w:sz w:val="18"/>
                <w:szCs w:val="18"/>
              </w:rPr>
            </w:pPr>
          </w:p>
          <w:p w:rsidR="00D51692" w:rsidRPr="00535168" w:rsidRDefault="00D51692" w:rsidP="00B15F94">
            <w:pPr>
              <w:rPr>
                <w:sz w:val="18"/>
                <w:szCs w:val="18"/>
              </w:rPr>
            </w:pPr>
          </w:p>
          <w:p w:rsidR="00D51692" w:rsidRPr="00535168" w:rsidRDefault="00D51692" w:rsidP="00B15F94">
            <w:pPr>
              <w:rPr>
                <w:sz w:val="18"/>
                <w:szCs w:val="18"/>
              </w:rPr>
            </w:pPr>
            <w:r w:rsidRPr="00535168">
              <w:rPr>
                <w:sz w:val="18"/>
                <w:szCs w:val="18"/>
              </w:rPr>
              <w:t>TA258</w:t>
            </w:r>
            <w:r>
              <w:rPr>
                <w:rStyle w:val="EndnoteReference"/>
                <w:sz w:val="18"/>
                <w:szCs w:val="18"/>
              </w:rPr>
              <w:endnoteReference w:id="3"/>
            </w:r>
          </w:p>
        </w:tc>
        <w:tc>
          <w:tcPr>
            <w:tcW w:w="4394" w:type="dxa"/>
          </w:tcPr>
          <w:p w:rsidR="00D51692" w:rsidRPr="00535168" w:rsidRDefault="00D51692" w:rsidP="00B15F94">
            <w:pPr>
              <w:rPr>
                <w:sz w:val="18"/>
                <w:szCs w:val="18"/>
              </w:rPr>
            </w:pPr>
            <w:r w:rsidRPr="00535168">
              <w:rPr>
                <w:sz w:val="18"/>
                <w:szCs w:val="18"/>
              </w:rPr>
              <w:t>Gefitinib is recommended as an option for the first-line treatment of people with locally advanced or metastatic non-small-cell lung cancer (NSCLC) if they test positive for the epidermal growth factor receptor tyrosine kinase (</w:t>
            </w:r>
            <w:r w:rsidRPr="00A90140">
              <w:rPr>
                <w:i/>
                <w:sz w:val="18"/>
                <w:szCs w:val="18"/>
              </w:rPr>
              <w:t>EGFR</w:t>
            </w:r>
            <w:r w:rsidRPr="00535168">
              <w:rPr>
                <w:sz w:val="18"/>
                <w:szCs w:val="18"/>
              </w:rPr>
              <w:t>-TK) mutation</w:t>
            </w:r>
          </w:p>
          <w:p w:rsidR="00D51692" w:rsidRPr="00535168" w:rsidRDefault="00D51692" w:rsidP="00B15F94">
            <w:pPr>
              <w:rPr>
                <w:sz w:val="18"/>
                <w:szCs w:val="18"/>
              </w:rPr>
            </w:pPr>
          </w:p>
          <w:p w:rsidR="00D51692" w:rsidRPr="00535168" w:rsidRDefault="00D51692" w:rsidP="00B15F94">
            <w:pPr>
              <w:rPr>
                <w:sz w:val="18"/>
                <w:szCs w:val="18"/>
              </w:rPr>
            </w:pPr>
            <w:r w:rsidRPr="00535168">
              <w:rPr>
                <w:sz w:val="18"/>
                <w:szCs w:val="18"/>
              </w:rPr>
              <w:t>Erlotinib is recommended as an option for the first-line treatment of people with locally advanced or metastatic non-sma</w:t>
            </w:r>
            <w:r>
              <w:rPr>
                <w:sz w:val="18"/>
                <w:szCs w:val="18"/>
              </w:rPr>
              <w:t xml:space="preserve">ll-cell lung cancer (NSCLC) if </w:t>
            </w:r>
            <w:r w:rsidRPr="00535168">
              <w:rPr>
                <w:sz w:val="18"/>
                <w:szCs w:val="18"/>
              </w:rPr>
              <w:t>they test positive for the epidermal growth factor receptor tyrosine kinase (</w:t>
            </w:r>
            <w:r w:rsidRPr="00A90140">
              <w:rPr>
                <w:i/>
                <w:sz w:val="18"/>
                <w:szCs w:val="18"/>
              </w:rPr>
              <w:t>EGFR</w:t>
            </w:r>
            <w:r w:rsidRPr="00535168">
              <w:rPr>
                <w:sz w:val="18"/>
                <w:szCs w:val="18"/>
              </w:rPr>
              <w:t>-TK) mutation</w:t>
            </w:r>
          </w:p>
        </w:tc>
        <w:tc>
          <w:tcPr>
            <w:tcW w:w="4994" w:type="dxa"/>
          </w:tcPr>
          <w:p w:rsidR="00D51692" w:rsidRPr="00535168" w:rsidRDefault="00D51692" w:rsidP="00B15F94">
            <w:pPr>
              <w:rPr>
                <w:sz w:val="18"/>
                <w:szCs w:val="18"/>
              </w:rPr>
            </w:pPr>
            <w:r w:rsidRPr="00535168">
              <w:rPr>
                <w:sz w:val="18"/>
                <w:szCs w:val="18"/>
              </w:rPr>
              <w:t xml:space="preserve">The UK marketing authorisation for gefitinib clarifies that the </w:t>
            </w:r>
            <w:r w:rsidRPr="00A90140">
              <w:rPr>
                <w:i/>
                <w:sz w:val="18"/>
                <w:szCs w:val="18"/>
              </w:rPr>
              <w:t>EGFR</w:t>
            </w:r>
            <w:r w:rsidRPr="00535168">
              <w:rPr>
                <w:sz w:val="18"/>
                <w:szCs w:val="18"/>
              </w:rPr>
              <w:t xml:space="preserve">-TK mutation should be </w:t>
            </w:r>
            <w:r w:rsidRPr="00535168">
              <w:rPr>
                <w:b/>
                <w:sz w:val="18"/>
                <w:szCs w:val="18"/>
              </w:rPr>
              <w:t>activating</w:t>
            </w:r>
            <w:r w:rsidRPr="00535168">
              <w:rPr>
                <w:sz w:val="18"/>
                <w:szCs w:val="18"/>
              </w:rPr>
              <w:t xml:space="preserve"> but no further definition of such mutations is given</w:t>
            </w:r>
          </w:p>
          <w:p w:rsidR="00D51692" w:rsidRPr="00535168" w:rsidRDefault="00D51692" w:rsidP="00B15F94">
            <w:pPr>
              <w:rPr>
                <w:sz w:val="18"/>
                <w:szCs w:val="18"/>
              </w:rPr>
            </w:pPr>
          </w:p>
          <w:p w:rsidR="00D51692" w:rsidRPr="00535168" w:rsidRDefault="00D51692" w:rsidP="00B15F94">
            <w:pPr>
              <w:rPr>
                <w:sz w:val="18"/>
                <w:szCs w:val="18"/>
              </w:rPr>
            </w:pPr>
          </w:p>
          <w:p w:rsidR="00D51692" w:rsidRPr="00535168" w:rsidRDefault="00D51692" w:rsidP="00B15F94">
            <w:pPr>
              <w:rPr>
                <w:sz w:val="18"/>
                <w:szCs w:val="18"/>
              </w:rPr>
            </w:pPr>
          </w:p>
          <w:p w:rsidR="00D51692" w:rsidRPr="00535168" w:rsidRDefault="00D51692" w:rsidP="00B15F94">
            <w:pPr>
              <w:rPr>
                <w:sz w:val="18"/>
                <w:szCs w:val="18"/>
              </w:rPr>
            </w:pPr>
            <w:r w:rsidRPr="00535168">
              <w:rPr>
                <w:sz w:val="18"/>
                <w:szCs w:val="18"/>
              </w:rPr>
              <w:t xml:space="preserve">The UK marketing authorisation for erlotinib clarifies that the </w:t>
            </w:r>
            <w:r w:rsidRPr="00A90140">
              <w:rPr>
                <w:i/>
                <w:sz w:val="18"/>
                <w:szCs w:val="18"/>
              </w:rPr>
              <w:t>EGFR</w:t>
            </w:r>
            <w:r w:rsidRPr="00535168">
              <w:rPr>
                <w:sz w:val="18"/>
                <w:szCs w:val="18"/>
              </w:rPr>
              <w:t xml:space="preserve">-TK mutation should be </w:t>
            </w:r>
            <w:r w:rsidRPr="00535168">
              <w:rPr>
                <w:b/>
                <w:sz w:val="18"/>
                <w:szCs w:val="18"/>
              </w:rPr>
              <w:t>activating</w:t>
            </w:r>
            <w:r w:rsidRPr="00535168">
              <w:rPr>
                <w:sz w:val="18"/>
                <w:szCs w:val="18"/>
              </w:rPr>
              <w:t xml:space="preserve"> but no further definition of such mutations is given</w:t>
            </w:r>
          </w:p>
        </w:tc>
      </w:tr>
      <w:tr w:rsidR="00D51692" w:rsidRPr="00535168" w:rsidTr="00B15F94">
        <w:tc>
          <w:tcPr>
            <w:tcW w:w="1384" w:type="dxa"/>
          </w:tcPr>
          <w:p w:rsidR="00D51692" w:rsidRPr="00535168" w:rsidRDefault="00D51692" w:rsidP="00B15F94">
            <w:pPr>
              <w:rPr>
                <w:sz w:val="18"/>
                <w:szCs w:val="18"/>
              </w:rPr>
            </w:pPr>
            <w:r w:rsidRPr="00535168">
              <w:rPr>
                <w:sz w:val="18"/>
                <w:szCs w:val="18"/>
              </w:rPr>
              <w:t>Colorectal Carcinoma</w:t>
            </w:r>
          </w:p>
        </w:tc>
        <w:tc>
          <w:tcPr>
            <w:tcW w:w="1843" w:type="dxa"/>
          </w:tcPr>
          <w:p w:rsidR="00D51692" w:rsidRPr="00535168" w:rsidRDefault="00D51692" w:rsidP="00B15F94">
            <w:pPr>
              <w:rPr>
                <w:sz w:val="18"/>
                <w:szCs w:val="18"/>
              </w:rPr>
            </w:pPr>
            <w:r w:rsidRPr="00535168">
              <w:rPr>
                <w:sz w:val="18"/>
                <w:szCs w:val="18"/>
              </w:rPr>
              <w:t>Cetuximab</w:t>
            </w:r>
          </w:p>
        </w:tc>
        <w:tc>
          <w:tcPr>
            <w:tcW w:w="1559" w:type="dxa"/>
          </w:tcPr>
          <w:p w:rsidR="00D51692" w:rsidRPr="00535168" w:rsidRDefault="00D51692" w:rsidP="00B15F94">
            <w:pPr>
              <w:rPr>
                <w:sz w:val="18"/>
                <w:szCs w:val="18"/>
              </w:rPr>
            </w:pPr>
            <w:r w:rsidRPr="00535168">
              <w:rPr>
                <w:sz w:val="18"/>
                <w:szCs w:val="18"/>
              </w:rPr>
              <w:t>TA176</w:t>
            </w:r>
            <w:r>
              <w:rPr>
                <w:rStyle w:val="EndnoteReference"/>
                <w:sz w:val="18"/>
                <w:szCs w:val="18"/>
              </w:rPr>
              <w:endnoteReference w:id="4"/>
            </w:r>
          </w:p>
        </w:tc>
        <w:tc>
          <w:tcPr>
            <w:tcW w:w="4394" w:type="dxa"/>
          </w:tcPr>
          <w:p w:rsidR="00D51692" w:rsidRPr="00535168" w:rsidRDefault="00D51692" w:rsidP="00B15F94">
            <w:pPr>
              <w:rPr>
                <w:sz w:val="18"/>
                <w:szCs w:val="18"/>
              </w:rPr>
            </w:pPr>
            <w:r w:rsidRPr="00535168">
              <w:rPr>
                <w:sz w:val="18"/>
                <w:szCs w:val="18"/>
              </w:rPr>
              <w:t>Cetuximab in combination with FOLFOX or FOLFIRI chemotherapy, within its licensed indication, is recommended for the first-line treatment of metastatic colorectal cancer only if the primary colorectal tumour has been resected or is potentially operable, the metastatic disease is confined to the liver and is unresectable and the patient is fit enough to undergo surgery to resect the primary colorectal tumour and to undergo liver surgery if the metastases become resectable after treatment with cetuximab</w:t>
            </w:r>
          </w:p>
        </w:tc>
        <w:tc>
          <w:tcPr>
            <w:tcW w:w="4994" w:type="dxa"/>
          </w:tcPr>
          <w:p w:rsidR="00D51692" w:rsidRPr="00535168" w:rsidRDefault="00D51692" w:rsidP="00B15F94">
            <w:pPr>
              <w:rPr>
                <w:sz w:val="18"/>
                <w:szCs w:val="18"/>
              </w:rPr>
            </w:pPr>
            <w:r w:rsidRPr="00535168">
              <w:rPr>
                <w:sz w:val="18"/>
                <w:szCs w:val="18"/>
              </w:rPr>
              <w:t xml:space="preserve">The UK marketing authorisation for cetuximab clarifies that the metastatic colorectal cancer should be </w:t>
            </w:r>
            <w:r w:rsidRPr="00A90140">
              <w:rPr>
                <w:i/>
                <w:sz w:val="18"/>
                <w:szCs w:val="18"/>
              </w:rPr>
              <w:t>RAS</w:t>
            </w:r>
            <w:r w:rsidRPr="00535168">
              <w:rPr>
                <w:sz w:val="18"/>
                <w:szCs w:val="18"/>
              </w:rPr>
              <w:t xml:space="preserve"> wild-type</w:t>
            </w:r>
          </w:p>
          <w:p w:rsidR="00D51692" w:rsidRPr="00535168" w:rsidRDefault="00D51692" w:rsidP="00B15F94">
            <w:pPr>
              <w:rPr>
                <w:sz w:val="18"/>
                <w:szCs w:val="18"/>
              </w:rPr>
            </w:pPr>
            <w:r w:rsidRPr="00535168">
              <w:rPr>
                <w:sz w:val="18"/>
                <w:szCs w:val="18"/>
              </w:rPr>
              <w:t>Within the UK the permitted use of cetuximab is extended by the Cancer Drug Fund</w:t>
            </w:r>
            <w:r>
              <w:rPr>
                <w:rStyle w:val="EndnoteReference"/>
                <w:sz w:val="18"/>
                <w:szCs w:val="18"/>
              </w:rPr>
              <w:endnoteReference w:id="5"/>
            </w:r>
            <w:r w:rsidRPr="00535168">
              <w:rPr>
                <w:sz w:val="18"/>
                <w:szCs w:val="18"/>
              </w:rPr>
              <w:t xml:space="preserve"> recommendations to include:</w:t>
            </w:r>
          </w:p>
          <w:p w:rsidR="00D51692" w:rsidRPr="00535168" w:rsidRDefault="00D51692" w:rsidP="00D51692">
            <w:pPr>
              <w:pStyle w:val="ListParagraph"/>
              <w:numPr>
                <w:ilvl w:val="0"/>
                <w:numId w:val="1"/>
              </w:numPr>
              <w:rPr>
                <w:sz w:val="18"/>
                <w:szCs w:val="18"/>
              </w:rPr>
            </w:pPr>
            <w:r w:rsidRPr="00535168">
              <w:rPr>
                <w:sz w:val="18"/>
                <w:szCs w:val="18"/>
              </w:rPr>
              <w:t>First-line treatment in combination with irinotecan-based chemotherapy or FOLFOX4 or FOLFOX6 or OxMdG in RAS wild-type metastatic colorectal carcinoma not meeting the specifications of NICE guidance TA176</w:t>
            </w:r>
          </w:p>
          <w:p w:rsidR="00D51692" w:rsidRPr="00535168" w:rsidRDefault="00D51692" w:rsidP="00D51692">
            <w:pPr>
              <w:pStyle w:val="ListParagraph"/>
              <w:numPr>
                <w:ilvl w:val="0"/>
                <w:numId w:val="1"/>
              </w:numPr>
              <w:rPr>
                <w:sz w:val="18"/>
                <w:szCs w:val="18"/>
              </w:rPr>
            </w:pPr>
            <w:r w:rsidRPr="00535168">
              <w:rPr>
                <w:sz w:val="18"/>
                <w:szCs w:val="18"/>
              </w:rPr>
              <w:t xml:space="preserve">Third or fourth-line treatment as a single agent for </w:t>
            </w:r>
            <w:r w:rsidRPr="00A90140">
              <w:rPr>
                <w:i/>
                <w:sz w:val="18"/>
                <w:szCs w:val="18"/>
              </w:rPr>
              <w:t>RAS</w:t>
            </w:r>
            <w:r w:rsidRPr="00535168">
              <w:rPr>
                <w:sz w:val="18"/>
                <w:szCs w:val="18"/>
              </w:rPr>
              <w:t xml:space="preserve"> wild-type metastatic colorectal carcinoma providing ECOG Performance Status &lt;2</w:t>
            </w:r>
          </w:p>
        </w:tc>
      </w:tr>
      <w:tr w:rsidR="00D51692" w:rsidRPr="00535168" w:rsidTr="00B15F94">
        <w:tc>
          <w:tcPr>
            <w:tcW w:w="1384" w:type="dxa"/>
          </w:tcPr>
          <w:p w:rsidR="00D51692" w:rsidRPr="00535168" w:rsidRDefault="00D51692" w:rsidP="00B15F94">
            <w:pPr>
              <w:rPr>
                <w:sz w:val="18"/>
                <w:szCs w:val="18"/>
              </w:rPr>
            </w:pPr>
            <w:r w:rsidRPr="00535168">
              <w:rPr>
                <w:sz w:val="18"/>
                <w:szCs w:val="18"/>
              </w:rPr>
              <w:t>GIST</w:t>
            </w:r>
          </w:p>
        </w:tc>
        <w:tc>
          <w:tcPr>
            <w:tcW w:w="1843" w:type="dxa"/>
          </w:tcPr>
          <w:p w:rsidR="00D51692" w:rsidRPr="00535168" w:rsidRDefault="00D51692" w:rsidP="00B15F94">
            <w:pPr>
              <w:rPr>
                <w:sz w:val="18"/>
                <w:szCs w:val="18"/>
              </w:rPr>
            </w:pPr>
            <w:r w:rsidRPr="00535168">
              <w:rPr>
                <w:sz w:val="18"/>
                <w:szCs w:val="18"/>
              </w:rPr>
              <w:t>Imatinib</w:t>
            </w:r>
          </w:p>
        </w:tc>
        <w:tc>
          <w:tcPr>
            <w:tcW w:w="1559" w:type="dxa"/>
          </w:tcPr>
          <w:p w:rsidR="00D51692" w:rsidRPr="00535168" w:rsidRDefault="00D51692" w:rsidP="00B15F94">
            <w:pPr>
              <w:rPr>
                <w:sz w:val="18"/>
                <w:szCs w:val="18"/>
              </w:rPr>
            </w:pPr>
            <w:r w:rsidRPr="00535168">
              <w:rPr>
                <w:sz w:val="18"/>
                <w:szCs w:val="18"/>
              </w:rPr>
              <w:t>TA326</w:t>
            </w:r>
            <w:r>
              <w:rPr>
                <w:rStyle w:val="EndnoteReference"/>
                <w:sz w:val="18"/>
                <w:szCs w:val="18"/>
              </w:rPr>
              <w:endnoteReference w:id="6"/>
            </w:r>
          </w:p>
        </w:tc>
        <w:tc>
          <w:tcPr>
            <w:tcW w:w="4394" w:type="dxa"/>
          </w:tcPr>
          <w:p w:rsidR="00D51692" w:rsidRPr="00535168" w:rsidRDefault="00D51692" w:rsidP="00B15F94">
            <w:pPr>
              <w:rPr>
                <w:sz w:val="18"/>
                <w:szCs w:val="18"/>
              </w:rPr>
            </w:pPr>
            <w:r w:rsidRPr="00535168">
              <w:rPr>
                <w:sz w:val="18"/>
                <w:szCs w:val="18"/>
              </w:rPr>
              <w:t>Imatinib is recommended as an option as adjuvant treatment for up to 3 years for adults who are at high risk of relapse after surgery for KIT (CD117)-positive gastrointestinal stromal tumours</w:t>
            </w:r>
          </w:p>
        </w:tc>
        <w:tc>
          <w:tcPr>
            <w:tcW w:w="4994" w:type="dxa"/>
          </w:tcPr>
          <w:p w:rsidR="00D51692" w:rsidRPr="00535168" w:rsidRDefault="00D51692" w:rsidP="00B15F94">
            <w:pPr>
              <w:rPr>
                <w:sz w:val="18"/>
                <w:szCs w:val="18"/>
              </w:rPr>
            </w:pPr>
            <w:r w:rsidRPr="00535168">
              <w:rPr>
                <w:rFonts w:cs="Arial"/>
                <w:bCs/>
                <w:sz w:val="18"/>
                <w:szCs w:val="18"/>
              </w:rPr>
              <w:t xml:space="preserve">Details of patients at high risk of relapse and those with </w:t>
            </w:r>
            <w:r>
              <w:rPr>
                <w:rFonts w:cs="Arial"/>
                <w:bCs/>
                <w:sz w:val="18"/>
                <w:szCs w:val="18"/>
              </w:rPr>
              <w:t xml:space="preserve">a tumour mutational profile </w:t>
            </w:r>
            <w:r w:rsidRPr="00535168">
              <w:rPr>
                <w:rFonts w:cs="Arial"/>
                <w:bCs/>
                <w:sz w:val="18"/>
                <w:szCs w:val="18"/>
              </w:rPr>
              <w:t xml:space="preserve">likely to render them </w:t>
            </w:r>
            <w:r>
              <w:rPr>
                <w:rFonts w:cs="Arial"/>
                <w:bCs/>
                <w:sz w:val="18"/>
                <w:szCs w:val="18"/>
              </w:rPr>
              <w:t xml:space="preserve">either </w:t>
            </w:r>
            <w:r w:rsidRPr="00535168">
              <w:rPr>
                <w:rFonts w:cs="Arial"/>
                <w:bCs/>
                <w:sz w:val="18"/>
                <w:szCs w:val="18"/>
              </w:rPr>
              <w:t>insensitive or requiring higher doses of imatinib are contained within ESMO</w:t>
            </w:r>
            <w:r w:rsidRPr="00535168">
              <w:rPr>
                <w:rFonts w:cs="Arial"/>
                <w:sz w:val="18"/>
                <w:szCs w:val="18"/>
              </w:rPr>
              <w:t xml:space="preserve">/European Sarcoma Network Working Group: </w:t>
            </w:r>
            <w:hyperlink r:id="rId9" w:history="1">
              <w:r w:rsidRPr="00026F28">
                <w:rPr>
                  <w:rStyle w:val="Hyperlink"/>
                  <w:rFonts w:cs="Arial"/>
                  <w:bCs/>
                  <w:color w:val="000000" w:themeColor="text1"/>
                  <w:sz w:val="18"/>
                  <w:szCs w:val="18"/>
                </w:rPr>
                <w:t>Gastrointestinal stromal tumors</w:t>
              </w:r>
              <w:r w:rsidRPr="00026F28">
                <w:rPr>
                  <w:rStyle w:val="Hyperlink"/>
                  <w:rFonts w:cs="Arial"/>
                  <w:color w:val="000000" w:themeColor="text1"/>
                  <w:sz w:val="18"/>
                  <w:szCs w:val="18"/>
                </w:rPr>
                <w:t xml:space="preserve">: </w:t>
              </w:r>
              <w:r w:rsidRPr="00026F28">
                <w:rPr>
                  <w:rStyle w:val="Hyperlink"/>
                  <w:rFonts w:cs="Arial"/>
                  <w:bCs/>
                  <w:color w:val="000000" w:themeColor="text1"/>
                  <w:sz w:val="18"/>
                  <w:szCs w:val="18"/>
                </w:rPr>
                <w:t>ESMO</w:t>
              </w:r>
              <w:r w:rsidRPr="00026F28">
                <w:rPr>
                  <w:rStyle w:val="apple-converted-space"/>
                  <w:rFonts w:cs="Arial"/>
                  <w:color w:val="000000" w:themeColor="text1"/>
                  <w:sz w:val="18"/>
                  <w:szCs w:val="18"/>
                </w:rPr>
                <w:t> </w:t>
              </w:r>
              <w:r w:rsidRPr="00026F28">
                <w:rPr>
                  <w:rStyle w:val="Hyperlink"/>
                  <w:rFonts w:cs="Arial"/>
                  <w:bCs/>
                  <w:color w:val="000000" w:themeColor="text1"/>
                  <w:sz w:val="18"/>
                  <w:szCs w:val="18"/>
                </w:rPr>
                <w:t>Clinical Practice Guidelines for diagnosis,</w:t>
              </w:r>
              <w:r w:rsidRPr="00026F28">
                <w:rPr>
                  <w:rStyle w:val="apple-converted-space"/>
                  <w:rFonts w:cs="Arial"/>
                  <w:color w:val="000000" w:themeColor="text1"/>
                  <w:sz w:val="18"/>
                  <w:szCs w:val="18"/>
                </w:rPr>
                <w:t> </w:t>
              </w:r>
              <w:r w:rsidRPr="00026F28">
                <w:rPr>
                  <w:rStyle w:val="Hyperlink"/>
                  <w:rFonts w:cs="Arial"/>
                  <w:bCs/>
                  <w:color w:val="000000" w:themeColor="text1"/>
                  <w:sz w:val="18"/>
                  <w:szCs w:val="18"/>
                </w:rPr>
                <w:t xml:space="preserve">treatment </w:t>
              </w:r>
              <w:r w:rsidRPr="00026F28">
                <w:rPr>
                  <w:rStyle w:val="Hyperlink"/>
                  <w:rFonts w:cs="Arial"/>
                  <w:color w:val="000000" w:themeColor="text1"/>
                  <w:sz w:val="18"/>
                  <w:szCs w:val="18"/>
                </w:rPr>
                <w:t>and</w:t>
              </w:r>
              <w:r w:rsidRPr="00026F28">
                <w:rPr>
                  <w:rStyle w:val="apple-converted-space"/>
                  <w:rFonts w:cs="Arial"/>
                  <w:color w:val="000000" w:themeColor="text1"/>
                  <w:sz w:val="18"/>
                  <w:szCs w:val="18"/>
                </w:rPr>
                <w:t> </w:t>
              </w:r>
              <w:r w:rsidRPr="00026F28">
                <w:rPr>
                  <w:rStyle w:val="Hyperlink"/>
                  <w:rFonts w:cs="Arial"/>
                  <w:bCs/>
                  <w:color w:val="000000" w:themeColor="text1"/>
                  <w:sz w:val="18"/>
                  <w:szCs w:val="18"/>
                </w:rPr>
                <w:t>follow</w:t>
              </w:r>
              <w:r w:rsidRPr="00026F28">
                <w:rPr>
                  <w:rStyle w:val="Hyperlink"/>
                  <w:rFonts w:cs="Arial"/>
                  <w:color w:val="000000" w:themeColor="text1"/>
                  <w:sz w:val="18"/>
                  <w:szCs w:val="18"/>
                </w:rPr>
                <w:t>-up</w:t>
              </w:r>
            </w:hyperlink>
            <w:r>
              <w:rPr>
                <w:rStyle w:val="EndnoteReference"/>
                <w:rFonts w:cs="Arial"/>
                <w:color w:val="000000" w:themeColor="text1"/>
                <w:sz w:val="18"/>
                <w:szCs w:val="18"/>
              </w:rPr>
              <w:endnoteReference w:id="7"/>
            </w:r>
          </w:p>
        </w:tc>
      </w:tr>
    </w:tbl>
    <w:p w:rsidR="00D51692" w:rsidRDefault="00D51692" w:rsidP="00D51692">
      <w:pPr>
        <w:rPr>
          <w:rFonts w:ascii="Arial" w:hAnsi="Arial" w:cs="Arial"/>
        </w:rPr>
        <w:sectPr w:rsidR="00D51692" w:rsidSect="000F2BF8">
          <w:endnotePr>
            <w:numFmt w:val="decimal"/>
          </w:endnotePr>
          <w:pgSz w:w="16838" w:h="11906" w:orient="landscape"/>
          <w:pgMar w:top="1440" w:right="1440" w:bottom="1440" w:left="1440" w:header="708" w:footer="708" w:gutter="0"/>
          <w:cols w:space="708"/>
          <w:docGrid w:linePitch="360"/>
        </w:sectPr>
      </w:pPr>
      <w:proofErr w:type="gramStart"/>
      <w:r w:rsidRPr="000F2BF8">
        <w:rPr>
          <w:rFonts w:ascii="Arial" w:hAnsi="Arial" w:cs="Arial"/>
        </w:rPr>
        <w:t>Summary of NICE Guidance permitting prescribing of targeted cancer therapeutics within the</w:t>
      </w:r>
      <w:r>
        <w:rPr>
          <w:rFonts w:ascii="Arial" w:hAnsi="Arial" w:cs="Arial"/>
        </w:rPr>
        <w:t xml:space="preserve"> publically funded NHS in the UK</w:t>
      </w:r>
      <w:r w:rsidR="0082595B">
        <w:rPr>
          <w:rFonts w:ascii="Arial" w:hAnsi="Arial" w:cs="Arial"/>
        </w:rPr>
        <w:t>.</w:t>
      </w:r>
      <w:bookmarkStart w:id="0" w:name="_GoBack"/>
      <w:bookmarkEnd w:id="0"/>
      <w:proofErr w:type="gramEnd"/>
    </w:p>
    <w:p w:rsidR="003A3DA4" w:rsidRDefault="003A3DA4"/>
    <w:sectPr w:rsidR="003A3DA4">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377" w:rsidRDefault="00982377" w:rsidP="00D51692">
      <w:pPr>
        <w:spacing w:after="0" w:line="240" w:lineRule="auto"/>
      </w:pPr>
      <w:r>
        <w:separator/>
      </w:r>
    </w:p>
  </w:endnote>
  <w:endnote w:type="continuationSeparator" w:id="0">
    <w:p w:rsidR="00982377" w:rsidRDefault="00982377" w:rsidP="00D51692">
      <w:pPr>
        <w:spacing w:after="0" w:line="240" w:lineRule="auto"/>
      </w:pPr>
      <w:r>
        <w:continuationSeparator/>
      </w:r>
    </w:p>
  </w:endnote>
  <w:endnote w:id="1">
    <w:p w:rsidR="00D51692" w:rsidRPr="00484F81" w:rsidRDefault="00D51692" w:rsidP="00D51692">
      <w:pPr>
        <w:pStyle w:val="EndnoteText"/>
        <w:spacing w:line="480" w:lineRule="auto"/>
        <w:rPr>
          <w:rFonts w:ascii="Arial" w:hAnsi="Arial" w:cs="Arial"/>
        </w:rPr>
      </w:pPr>
      <w:r w:rsidRPr="00484F81">
        <w:rPr>
          <w:rStyle w:val="EndnoteReference"/>
          <w:rFonts w:ascii="Arial" w:hAnsi="Arial" w:cs="Arial"/>
        </w:rPr>
        <w:endnoteRef/>
      </w:r>
      <w:r w:rsidRPr="00484F81">
        <w:rPr>
          <w:rFonts w:ascii="Arial" w:hAnsi="Arial" w:cs="Arial"/>
        </w:rPr>
        <w:t xml:space="preserve"> </w:t>
      </w:r>
      <w:r w:rsidRPr="00484F81">
        <w:rPr>
          <w:rFonts w:ascii="Arial" w:hAnsi="Arial" w:cs="Arial"/>
          <w:shd w:val="clear" w:color="auto" w:fill="FFFFFF"/>
        </w:rPr>
        <w:t>National Institute for Health and Care Excellence: Vemurafenib for treating locally advanced or metastatic BRAF V600 mutation-positive malignant melanoma [TAG269]. London, National Institute for Health and Care Excellence, 2012</w:t>
      </w:r>
    </w:p>
  </w:endnote>
  <w:endnote w:id="2">
    <w:p w:rsidR="00D51692" w:rsidRPr="00484F81" w:rsidRDefault="00D51692" w:rsidP="00D51692">
      <w:pPr>
        <w:pStyle w:val="EndnoteText"/>
        <w:spacing w:line="480" w:lineRule="auto"/>
        <w:rPr>
          <w:rFonts w:ascii="Arial" w:hAnsi="Arial" w:cs="Arial"/>
        </w:rPr>
      </w:pPr>
      <w:r w:rsidRPr="00484F81">
        <w:rPr>
          <w:rStyle w:val="EndnoteReference"/>
          <w:rFonts w:ascii="Arial" w:hAnsi="Arial" w:cs="Arial"/>
        </w:rPr>
        <w:endnoteRef/>
      </w:r>
      <w:r w:rsidRPr="00484F81">
        <w:rPr>
          <w:rFonts w:ascii="Arial" w:hAnsi="Arial" w:cs="Arial"/>
        </w:rPr>
        <w:t xml:space="preserve"> </w:t>
      </w:r>
      <w:r w:rsidRPr="00484F81">
        <w:rPr>
          <w:rFonts w:ascii="Arial" w:hAnsi="Arial" w:cs="Arial"/>
          <w:shd w:val="clear" w:color="auto" w:fill="FFFFFF"/>
        </w:rPr>
        <w:t>National Institute for Health and Care Excellence: Gefitinib for the first-line treatment of locally advanced or metastatic non-small-cell lung cancer [TAG192]. London, National Institute for Health and Care Excellence, 2010</w:t>
      </w:r>
    </w:p>
  </w:endnote>
  <w:endnote w:id="3">
    <w:p w:rsidR="00D51692" w:rsidRPr="00484F81" w:rsidRDefault="00D51692" w:rsidP="00D51692">
      <w:pPr>
        <w:pStyle w:val="EndnoteText"/>
        <w:spacing w:line="480" w:lineRule="auto"/>
        <w:rPr>
          <w:rFonts w:ascii="Arial" w:hAnsi="Arial" w:cs="Arial"/>
        </w:rPr>
      </w:pPr>
      <w:r w:rsidRPr="00484F81">
        <w:rPr>
          <w:rStyle w:val="EndnoteReference"/>
          <w:rFonts w:ascii="Arial" w:hAnsi="Arial" w:cs="Arial"/>
        </w:rPr>
        <w:endnoteRef/>
      </w:r>
      <w:r w:rsidRPr="00484F81">
        <w:rPr>
          <w:rFonts w:ascii="Arial" w:hAnsi="Arial" w:cs="Arial"/>
        </w:rPr>
        <w:t xml:space="preserve"> </w:t>
      </w:r>
      <w:r w:rsidRPr="00484F81">
        <w:rPr>
          <w:rFonts w:ascii="Arial" w:hAnsi="Arial" w:cs="Arial"/>
          <w:shd w:val="clear" w:color="auto" w:fill="FFFFFF"/>
        </w:rPr>
        <w:t>National Institute for Health and Care Excellence:</w:t>
      </w:r>
      <w:r w:rsidRPr="00484F81">
        <w:rPr>
          <w:rFonts w:ascii="Arial" w:hAnsi="Arial" w:cs="Arial"/>
        </w:rPr>
        <w:t xml:space="preserve"> Erlotinib for the first-line treatment of locally advanced or metastatic EGFR-TK mutation-positive non-small-cell lung cancer [TA258]. </w:t>
      </w:r>
      <w:r w:rsidRPr="00484F81">
        <w:rPr>
          <w:rFonts w:ascii="Arial" w:hAnsi="Arial" w:cs="Arial"/>
          <w:shd w:val="clear" w:color="auto" w:fill="FFFFFF"/>
        </w:rPr>
        <w:t>London, National Institute for Health and Care Excellence, 201</w:t>
      </w:r>
      <w:r w:rsidRPr="00484F81">
        <w:rPr>
          <w:rFonts w:ascii="Arial" w:hAnsi="Arial" w:cs="Arial"/>
        </w:rPr>
        <w:t>2</w:t>
      </w:r>
    </w:p>
  </w:endnote>
  <w:endnote w:id="4">
    <w:p w:rsidR="00D51692" w:rsidRPr="00484F81" w:rsidRDefault="00D51692" w:rsidP="00D51692">
      <w:pPr>
        <w:pStyle w:val="EndnoteText"/>
        <w:spacing w:line="480" w:lineRule="auto"/>
        <w:rPr>
          <w:rFonts w:ascii="Arial" w:hAnsi="Arial" w:cs="Arial"/>
        </w:rPr>
      </w:pPr>
      <w:r w:rsidRPr="00484F81">
        <w:rPr>
          <w:rStyle w:val="EndnoteReference"/>
          <w:rFonts w:ascii="Arial" w:hAnsi="Arial" w:cs="Arial"/>
        </w:rPr>
        <w:endnoteRef/>
      </w:r>
      <w:r w:rsidRPr="00484F81">
        <w:rPr>
          <w:rFonts w:ascii="Arial" w:hAnsi="Arial" w:cs="Arial"/>
        </w:rPr>
        <w:t xml:space="preserve"> </w:t>
      </w:r>
      <w:r w:rsidRPr="00484F81">
        <w:rPr>
          <w:rFonts w:ascii="Arial" w:hAnsi="Arial" w:cs="Arial"/>
          <w:shd w:val="clear" w:color="auto" w:fill="FFFFFF"/>
        </w:rPr>
        <w:t>National Institute for Health and Care Excellence:</w:t>
      </w:r>
      <w:r w:rsidRPr="00484F81">
        <w:rPr>
          <w:rFonts w:ascii="Arial" w:hAnsi="Arial" w:cs="Arial"/>
        </w:rPr>
        <w:t xml:space="preserve"> </w:t>
      </w:r>
      <w:r w:rsidRPr="00484F81">
        <w:rPr>
          <w:rFonts w:ascii="Arial" w:hAnsi="Arial" w:cs="Arial"/>
          <w:bCs/>
        </w:rPr>
        <w:t>Cetuximab for the first-line treatment of metastatic colorectal cancer</w:t>
      </w:r>
      <w:r w:rsidRPr="00484F81">
        <w:rPr>
          <w:rFonts w:ascii="Arial" w:hAnsi="Arial" w:cs="Arial"/>
          <w:shd w:val="clear" w:color="auto" w:fill="FFFFFF"/>
        </w:rPr>
        <w:t xml:space="preserve"> [TAG176]. London, National Institute for Health and Care Excellence, 2009</w:t>
      </w:r>
    </w:p>
  </w:endnote>
  <w:endnote w:id="5">
    <w:p w:rsidR="00D51692" w:rsidRPr="00484F81" w:rsidRDefault="00D51692" w:rsidP="00D51692">
      <w:pPr>
        <w:pStyle w:val="EndnoteText"/>
        <w:spacing w:line="480" w:lineRule="auto"/>
        <w:rPr>
          <w:rFonts w:ascii="Arial" w:hAnsi="Arial" w:cs="Arial"/>
        </w:rPr>
      </w:pPr>
      <w:r w:rsidRPr="00484F81">
        <w:rPr>
          <w:rStyle w:val="EndnoteReference"/>
          <w:rFonts w:ascii="Arial" w:hAnsi="Arial" w:cs="Arial"/>
        </w:rPr>
        <w:endnoteRef/>
      </w:r>
      <w:r w:rsidRPr="00484F81">
        <w:rPr>
          <w:rFonts w:ascii="Arial" w:hAnsi="Arial" w:cs="Arial"/>
        </w:rPr>
        <w:t xml:space="preserve"> The Cancer Drugs Fund. http://www.england.nhs.uk/ourwork/pe/cdf/</w:t>
      </w:r>
    </w:p>
  </w:endnote>
  <w:endnote w:id="6">
    <w:p w:rsidR="00D51692" w:rsidRPr="00D51692" w:rsidRDefault="00D51692" w:rsidP="00D51692">
      <w:pPr>
        <w:pStyle w:val="EndnoteText"/>
        <w:spacing w:line="480" w:lineRule="auto"/>
        <w:rPr>
          <w:rFonts w:ascii="Arial" w:hAnsi="Arial" w:cs="Arial"/>
          <w:color w:val="000000" w:themeColor="text1"/>
        </w:rPr>
      </w:pPr>
      <w:r w:rsidRPr="00484F81">
        <w:rPr>
          <w:rStyle w:val="EndnoteReference"/>
          <w:rFonts w:ascii="Arial" w:hAnsi="Arial" w:cs="Arial"/>
        </w:rPr>
        <w:endnoteRef/>
      </w:r>
      <w:r w:rsidRPr="00484F81">
        <w:rPr>
          <w:rFonts w:ascii="Arial" w:hAnsi="Arial" w:cs="Arial"/>
        </w:rPr>
        <w:t xml:space="preserve"> </w:t>
      </w:r>
      <w:r w:rsidRPr="00484F81">
        <w:rPr>
          <w:rFonts w:ascii="Arial" w:hAnsi="Arial" w:cs="Arial"/>
          <w:shd w:val="clear" w:color="auto" w:fill="FFFFFF"/>
        </w:rPr>
        <w:t xml:space="preserve">National Institute for Health and Care Excellence: </w:t>
      </w:r>
      <w:r w:rsidRPr="00484F81">
        <w:rPr>
          <w:rFonts w:ascii="Arial" w:hAnsi="Arial" w:cs="Arial"/>
        </w:rPr>
        <w:t>Imatinib for the adjuvant treatment of gastrointestinal stromal tumours (review of NICE technology appraisal guidance 196) [TA326</w:t>
      </w:r>
      <w:r w:rsidRPr="00484F81">
        <w:rPr>
          <w:rFonts w:ascii="Arial" w:hAnsi="Arial" w:cs="Arial"/>
          <w:shd w:val="clear" w:color="auto" w:fill="FFFFFF"/>
        </w:rPr>
        <w:t xml:space="preserve">]. London, </w:t>
      </w:r>
      <w:r w:rsidRPr="00D51692">
        <w:rPr>
          <w:rFonts w:ascii="Arial" w:hAnsi="Arial" w:cs="Arial"/>
          <w:color w:val="000000" w:themeColor="text1"/>
          <w:shd w:val="clear" w:color="auto" w:fill="FFFFFF"/>
        </w:rPr>
        <w:t>National Institute for Health and Care Excellence, 2014</w:t>
      </w:r>
    </w:p>
  </w:endnote>
  <w:endnote w:id="7">
    <w:p w:rsidR="00D51692" w:rsidRDefault="00D51692" w:rsidP="00D51692">
      <w:pPr>
        <w:pStyle w:val="EndnoteText"/>
        <w:spacing w:line="480" w:lineRule="auto"/>
      </w:pPr>
      <w:r w:rsidRPr="00D51692">
        <w:rPr>
          <w:rStyle w:val="EndnoteReference"/>
          <w:rFonts w:ascii="Arial" w:hAnsi="Arial" w:cs="Arial"/>
          <w:color w:val="000000" w:themeColor="text1"/>
        </w:rPr>
        <w:endnoteRef/>
      </w:r>
      <w:r w:rsidRPr="00D51692">
        <w:rPr>
          <w:rFonts w:ascii="Arial" w:hAnsi="Arial" w:cs="Arial"/>
          <w:color w:val="000000" w:themeColor="text1"/>
        </w:rPr>
        <w:t xml:space="preserve"> </w:t>
      </w:r>
      <w:r w:rsidRPr="00D51692">
        <w:rPr>
          <w:rFonts w:ascii="Arial" w:hAnsi="Arial" w:cs="Arial"/>
          <w:bCs/>
          <w:color w:val="000000" w:themeColor="text1"/>
        </w:rPr>
        <w:t>ESMO</w:t>
      </w:r>
      <w:r w:rsidRPr="00D51692">
        <w:rPr>
          <w:rFonts w:ascii="Arial" w:hAnsi="Arial" w:cs="Arial"/>
          <w:color w:val="000000" w:themeColor="text1"/>
        </w:rPr>
        <w:t xml:space="preserve">/European Sarcoma Network Working Group: </w:t>
      </w:r>
      <w:hyperlink r:id="rId1" w:history="1">
        <w:r w:rsidRPr="00D51692">
          <w:rPr>
            <w:rStyle w:val="Hyperlink"/>
            <w:rFonts w:ascii="Arial" w:hAnsi="Arial" w:cs="Arial"/>
            <w:bCs/>
            <w:color w:val="000000" w:themeColor="text1"/>
            <w:u w:val="none"/>
          </w:rPr>
          <w:t>Gastrointestinal stromal tumors</w:t>
        </w:r>
        <w:r w:rsidRPr="00D51692">
          <w:rPr>
            <w:rStyle w:val="Hyperlink"/>
            <w:rFonts w:ascii="Arial" w:hAnsi="Arial" w:cs="Arial"/>
            <w:color w:val="000000" w:themeColor="text1"/>
            <w:u w:val="none"/>
          </w:rPr>
          <w:t xml:space="preserve">: </w:t>
        </w:r>
        <w:r w:rsidRPr="00D51692">
          <w:rPr>
            <w:rStyle w:val="Hyperlink"/>
            <w:rFonts w:ascii="Arial" w:hAnsi="Arial" w:cs="Arial"/>
            <w:bCs/>
            <w:color w:val="000000" w:themeColor="text1"/>
            <w:u w:val="none"/>
          </w:rPr>
          <w:t>ESMO</w:t>
        </w:r>
        <w:r w:rsidRPr="00D51692">
          <w:rPr>
            <w:rStyle w:val="apple-converted-space"/>
            <w:rFonts w:ascii="Arial" w:hAnsi="Arial" w:cs="Arial"/>
            <w:color w:val="000000" w:themeColor="text1"/>
          </w:rPr>
          <w:t> </w:t>
        </w:r>
        <w:r w:rsidRPr="00D51692">
          <w:rPr>
            <w:rStyle w:val="Hyperlink"/>
            <w:rFonts w:ascii="Arial" w:hAnsi="Arial" w:cs="Arial"/>
            <w:bCs/>
            <w:color w:val="000000" w:themeColor="text1"/>
            <w:u w:val="none"/>
          </w:rPr>
          <w:t>Clinical Practice Guidelines</w:t>
        </w:r>
        <w:r w:rsidRPr="00D51692">
          <w:rPr>
            <w:rStyle w:val="apple-converted-space"/>
            <w:rFonts w:ascii="Arial" w:hAnsi="Arial" w:cs="Arial"/>
            <w:color w:val="000000" w:themeColor="text1"/>
          </w:rPr>
          <w:t> </w:t>
        </w:r>
        <w:r w:rsidRPr="00D51692">
          <w:rPr>
            <w:rStyle w:val="Hyperlink"/>
            <w:rFonts w:ascii="Arial" w:hAnsi="Arial" w:cs="Arial"/>
            <w:color w:val="000000" w:themeColor="text1"/>
            <w:u w:val="none"/>
          </w:rPr>
          <w:t>for</w:t>
        </w:r>
        <w:r w:rsidRPr="00D51692">
          <w:rPr>
            <w:rStyle w:val="apple-converted-space"/>
            <w:rFonts w:ascii="Arial" w:hAnsi="Arial" w:cs="Arial"/>
            <w:color w:val="000000" w:themeColor="text1"/>
          </w:rPr>
          <w:t> </w:t>
        </w:r>
        <w:r w:rsidRPr="00D51692">
          <w:rPr>
            <w:rStyle w:val="Hyperlink"/>
            <w:rFonts w:ascii="Arial" w:hAnsi="Arial" w:cs="Arial"/>
            <w:bCs/>
            <w:color w:val="000000" w:themeColor="text1"/>
            <w:u w:val="none"/>
          </w:rPr>
          <w:t>diagnosis</w:t>
        </w:r>
        <w:r w:rsidRPr="00D51692">
          <w:rPr>
            <w:rStyle w:val="Hyperlink"/>
            <w:rFonts w:ascii="Arial" w:hAnsi="Arial" w:cs="Arial"/>
            <w:color w:val="000000" w:themeColor="text1"/>
            <w:u w:val="none"/>
          </w:rPr>
          <w:t>,</w:t>
        </w:r>
        <w:r w:rsidRPr="00D51692">
          <w:rPr>
            <w:rStyle w:val="apple-converted-space"/>
            <w:rFonts w:ascii="Arial" w:hAnsi="Arial" w:cs="Arial"/>
            <w:color w:val="000000" w:themeColor="text1"/>
          </w:rPr>
          <w:t> </w:t>
        </w:r>
        <w:r w:rsidRPr="00D51692">
          <w:rPr>
            <w:rStyle w:val="Hyperlink"/>
            <w:rFonts w:ascii="Arial" w:hAnsi="Arial" w:cs="Arial"/>
            <w:bCs/>
            <w:color w:val="000000" w:themeColor="text1"/>
            <w:u w:val="none"/>
          </w:rPr>
          <w:t xml:space="preserve">treatment </w:t>
        </w:r>
        <w:r w:rsidRPr="00D51692">
          <w:rPr>
            <w:rStyle w:val="Hyperlink"/>
            <w:rFonts w:ascii="Arial" w:hAnsi="Arial" w:cs="Arial"/>
            <w:color w:val="000000" w:themeColor="text1"/>
            <w:u w:val="none"/>
          </w:rPr>
          <w:t>and</w:t>
        </w:r>
        <w:r w:rsidRPr="00D51692">
          <w:rPr>
            <w:rStyle w:val="apple-converted-space"/>
            <w:rFonts w:ascii="Arial" w:hAnsi="Arial" w:cs="Arial"/>
            <w:color w:val="000000" w:themeColor="text1"/>
          </w:rPr>
          <w:t> </w:t>
        </w:r>
        <w:r w:rsidRPr="00D51692">
          <w:rPr>
            <w:rStyle w:val="Hyperlink"/>
            <w:rFonts w:ascii="Arial" w:hAnsi="Arial" w:cs="Arial"/>
            <w:bCs/>
            <w:color w:val="000000" w:themeColor="text1"/>
            <w:u w:val="none"/>
          </w:rPr>
          <w:t>follow</w:t>
        </w:r>
        <w:r w:rsidRPr="00D51692">
          <w:rPr>
            <w:rStyle w:val="Hyperlink"/>
            <w:rFonts w:ascii="Arial" w:hAnsi="Arial" w:cs="Arial"/>
            <w:color w:val="000000" w:themeColor="text1"/>
            <w:u w:val="none"/>
          </w:rPr>
          <w:t>-up.</w:t>
        </w:r>
      </w:hyperlink>
      <w:r w:rsidRPr="00D51692">
        <w:rPr>
          <w:rFonts w:ascii="Arial" w:hAnsi="Arial" w:cs="Arial"/>
          <w:color w:val="000000" w:themeColor="text1"/>
        </w:rPr>
        <w:t xml:space="preserve"> </w:t>
      </w:r>
      <w:r w:rsidRPr="00D51692">
        <w:rPr>
          <w:rStyle w:val="jrnl"/>
          <w:rFonts w:ascii="Arial" w:hAnsi="Arial" w:cs="Arial"/>
          <w:color w:val="000000" w:themeColor="text1"/>
        </w:rPr>
        <w:t>Ann Oncol</w:t>
      </w:r>
      <w:r w:rsidRPr="00D51692">
        <w:rPr>
          <w:rFonts w:ascii="Arial" w:hAnsi="Arial" w:cs="Arial"/>
          <w:color w:val="000000" w:themeColor="text1"/>
        </w:rPr>
        <w:t xml:space="preserve"> 25:S21-S26, 2014 (Suppl 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377" w:rsidRDefault="00982377" w:rsidP="00D51692">
      <w:pPr>
        <w:spacing w:after="0" w:line="240" w:lineRule="auto"/>
      </w:pPr>
      <w:r>
        <w:separator/>
      </w:r>
    </w:p>
  </w:footnote>
  <w:footnote w:type="continuationSeparator" w:id="0">
    <w:p w:rsidR="00982377" w:rsidRDefault="00982377" w:rsidP="00D516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A07D35"/>
    <w:multiLevelType w:val="hybridMultilevel"/>
    <w:tmpl w:val="97FE671E"/>
    <w:lvl w:ilvl="0" w:tplc="F99C60F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692"/>
    <w:rsid w:val="000A7F24"/>
    <w:rsid w:val="002D005D"/>
    <w:rsid w:val="003A3DA4"/>
    <w:rsid w:val="003B296A"/>
    <w:rsid w:val="00453A3D"/>
    <w:rsid w:val="0054771A"/>
    <w:rsid w:val="0075404C"/>
    <w:rsid w:val="0082595B"/>
    <w:rsid w:val="008D050A"/>
    <w:rsid w:val="00982377"/>
    <w:rsid w:val="00991E8D"/>
    <w:rsid w:val="00A401AA"/>
    <w:rsid w:val="00A90140"/>
    <w:rsid w:val="00B1530F"/>
    <w:rsid w:val="00B40450"/>
    <w:rsid w:val="00D51692"/>
    <w:rsid w:val="00E13228"/>
    <w:rsid w:val="00F01F22"/>
    <w:rsid w:val="00F614EE"/>
    <w:rsid w:val="00F968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69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51692"/>
  </w:style>
  <w:style w:type="character" w:styleId="EndnoteReference">
    <w:name w:val="endnote reference"/>
    <w:basedOn w:val="DefaultParagraphFont"/>
    <w:uiPriority w:val="99"/>
    <w:semiHidden/>
    <w:unhideWhenUsed/>
    <w:rsid w:val="00D51692"/>
    <w:rPr>
      <w:vertAlign w:val="superscript"/>
    </w:rPr>
  </w:style>
  <w:style w:type="character" w:styleId="Hyperlink">
    <w:name w:val="Hyperlink"/>
    <w:basedOn w:val="DefaultParagraphFont"/>
    <w:uiPriority w:val="99"/>
    <w:unhideWhenUsed/>
    <w:rsid w:val="00D51692"/>
    <w:rPr>
      <w:color w:val="0000FF"/>
      <w:u w:val="single"/>
    </w:rPr>
  </w:style>
  <w:style w:type="character" w:customStyle="1" w:styleId="jrnl">
    <w:name w:val="jrnl"/>
    <w:basedOn w:val="DefaultParagraphFont"/>
    <w:rsid w:val="00D51692"/>
  </w:style>
  <w:style w:type="paragraph" w:styleId="EndnoteText">
    <w:name w:val="endnote text"/>
    <w:basedOn w:val="Normal"/>
    <w:link w:val="EndnoteTextChar"/>
    <w:uiPriority w:val="99"/>
    <w:semiHidden/>
    <w:unhideWhenUsed/>
    <w:rsid w:val="00D51692"/>
    <w:pPr>
      <w:spacing w:after="0" w:line="240" w:lineRule="auto"/>
    </w:pPr>
    <w:rPr>
      <w:rFonts w:eastAsiaTheme="minorHAnsi"/>
      <w:sz w:val="20"/>
      <w:szCs w:val="20"/>
    </w:rPr>
  </w:style>
  <w:style w:type="character" w:customStyle="1" w:styleId="EndnoteTextChar">
    <w:name w:val="Endnote Text Char"/>
    <w:basedOn w:val="DefaultParagraphFont"/>
    <w:link w:val="EndnoteText"/>
    <w:uiPriority w:val="99"/>
    <w:semiHidden/>
    <w:rsid w:val="00D51692"/>
    <w:rPr>
      <w:sz w:val="20"/>
      <w:szCs w:val="20"/>
    </w:rPr>
  </w:style>
  <w:style w:type="paragraph" w:styleId="ListParagraph">
    <w:name w:val="List Paragraph"/>
    <w:basedOn w:val="Normal"/>
    <w:uiPriority w:val="34"/>
    <w:qFormat/>
    <w:rsid w:val="00D51692"/>
    <w:pPr>
      <w:ind w:left="720"/>
      <w:contextualSpacing/>
    </w:pPr>
  </w:style>
  <w:style w:type="table" w:styleId="TableGrid">
    <w:name w:val="Table Grid"/>
    <w:basedOn w:val="TableNormal"/>
    <w:uiPriority w:val="59"/>
    <w:rsid w:val="00D516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69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51692"/>
  </w:style>
  <w:style w:type="character" w:styleId="EndnoteReference">
    <w:name w:val="endnote reference"/>
    <w:basedOn w:val="DefaultParagraphFont"/>
    <w:uiPriority w:val="99"/>
    <w:semiHidden/>
    <w:unhideWhenUsed/>
    <w:rsid w:val="00D51692"/>
    <w:rPr>
      <w:vertAlign w:val="superscript"/>
    </w:rPr>
  </w:style>
  <w:style w:type="character" w:styleId="Hyperlink">
    <w:name w:val="Hyperlink"/>
    <w:basedOn w:val="DefaultParagraphFont"/>
    <w:uiPriority w:val="99"/>
    <w:unhideWhenUsed/>
    <w:rsid w:val="00D51692"/>
    <w:rPr>
      <w:color w:val="0000FF"/>
      <w:u w:val="single"/>
    </w:rPr>
  </w:style>
  <w:style w:type="character" w:customStyle="1" w:styleId="jrnl">
    <w:name w:val="jrnl"/>
    <w:basedOn w:val="DefaultParagraphFont"/>
    <w:rsid w:val="00D51692"/>
  </w:style>
  <w:style w:type="paragraph" w:styleId="EndnoteText">
    <w:name w:val="endnote text"/>
    <w:basedOn w:val="Normal"/>
    <w:link w:val="EndnoteTextChar"/>
    <w:uiPriority w:val="99"/>
    <w:semiHidden/>
    <w:unhideWhenUsed/>
    <w:rsid w:val="00D51692"/>
    <w:pPr>
      <w:spacing w:after="0" w:line="240" w:lineRule="auto"/>
    </w:pPr>
    <w:rPr>
      <w:rFonts w:eastAsiaTheme="minorHAnsi"/>
      <w:sz w:val="20"/>
      <w:szCs w:val="20"/>
    </w:rPr>
  </w:style>
  <w:style w:type="character" w:customStyle="1" w:styleId="EndnoteTextChar">
    <w:name w:val="Endnote Text Char"/>
    <w:basedOn w:val="DefaultParagraphFont"/>
    <w:link w:val="EndnoteText"/>
    <w:uiPriority w:val="99"/>
    <w:semiHidden/>
    <w:rsid w:val="00D51692"/>
    <w:rPr>
      <w:sz w:val="20"/>
      <w:szCs w:val="20"/>
    </w:rPr>
  </w:style>
  <w:style w:type="paragraph" w:styleId="ListParagraph">
    <w:name w:val="List Paragraph"/>
    <w:basedOn w:val="Normal"/>
    <w:uiPriority w:val="34"/>
    <w:qFormat/>
    <w:rsid w:val="00D51692"/>
    <w:pPr>
      <w:ind w:left="720"/>
      <w:contextualSpacing/>
    </w:pPr>
  </w:style>
  <w:style w:type="table" w:styleId="TableGrid">
    <w:name w:val="Table Grid"/>
    <w:basedOn w:val="TableNormal"/>
    <w:uiPriority w:val="59"/>
    <w:rsid w:val="00D516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ncbi.nlm.nih.gov/pubmed/22997454"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www.ncbi.nlm.nih.gov/pubmed/229974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79B0BF-8D51-40A6-A7CA-3F7C258F7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452</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Dr Angela Hamblin</cp:lastModifiedBy>
  <cp:revision>2</cp:revision>
  <cp:lastPrinted>2016-09-22T21:05:00Z</cp:lastPrinted>
  <dcterms:created xsi:type="dcterms:W3CDTF">2016-11-30T04:40:00Z</dcterms:created>
  <dcterms:modified xsi:type="dcterms:W3CDTF">2016-11-30T04:40:00Z</dcterms:modified>
</cp:coreProperties>
</file>