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F2F9F" w14:textId="77777777" w:rsidR="00AD5DD3" w:rsidRPr="00D55546" w:rsidRDefault="00AD5DD3" w:rsidP="00AD5DD3">
      <w:pPr>
        <w:spacing w:line="480" w:lineRule="auto"/>
        <w:jc w:val="both"/>
        <w:rPr>
          <w:rFonts w:ascii="Arial" w:hAnsi="Arial" w:cs="Arial"/>
          <w:b/>
        </w:rPr>
      </w:pPr>
      <w:r w:rsidRPr="00D55546">
        <w:rPr>
          <w:rFonts w:ascii="Arial" w:hAnsi="Arial" w:cs="Arial"/>
          <w:b/>
        </w:rPr>
        <w:t xml:space="preserve">Construction of environmental variables in </w:t>
      </w:r>
      <w:proofErr w:type="gramStart"/>
      <w:r w:rsidRPr="00D55546">
        <w:rPr>
          <w:rFonts w:ascii="Arial" w:hAnsi="Arial" w:cs="Arial"/>
          <w:b/>
        </w:rPr>
        <w:t>GS:SFHS</w:t>
      </w:r>
      <w:proofErr w:type="gramEnd"/>
    </w:p>
    <w:p w14:paraId="5A32A600" w14:textId="10CD9650" w:rsidR="00AD5DD3" w:rsidRPr="00D55546" w:rsidRDefault="00AD5DD3" w:rsidP="00AD5DD3">
      <w:pPr>
        <w:spacing w:line="480" w:lineRule="auto"/>
        <w:jc w:val="both"/>
        <w:rPr>
          <w:rFonts w:ascii="Arial" w:hAnsi="Arial" w:cs="Arial"/>
        </w:rPr>
      </w:pPr>
      <w:r w:rsidRPr="00D55546">
        <w:rPr>
          <w:rFonts w:ascii="Arial" w:hAnsi="Arial" w:cs="Arial"/>
        </w:rPr>
        <w:t>These included an estimate of the effect of common parents, whereby individuals who shared two parents were assigned a same unique number in a ‘full-sib</w:t>
      </w:r>
      <w:r w:rsidR="00F55D26" w:rsidRPr="00D55546">
        <w:rPr>
          <w:rFonts w:ascii="Arial" w:hAnsi="Arial" w:cs="Arial"/>
        </w:rPr>
        <w:t>ling</w:t>
      </w:r>
      <w:r w:rsidRPr="00D55546">
        <w:rPr>
          <w:rFonts w:ascii="Arial" w:hAnsi="Arial" w:cs="Arial"/>
        </w:rPr>
        <w:t>’ variable, which reflects the shared environment of full-</w:t>
      </w:r>
      <w:proofErr w:type="spellStart"/>
      <w:r w:rsidRPr="00D55546">
        <w:rPr>
          <w:rFonts w:ascii="Arial" w:hAnsi="Arial" w:cs="Arial"/>
        </w:rPr>
        <w:t>sib</w:t>
      </w:r>
      <w:r w:rsidR="00F55D26" w:rsidRPr="00D55546">
        <w:rPr>
          <w:rFonts w:ascii="Arial" w:hAnsi="Arial" w:cs="Arial"/>
        </w:rPr>
        <w:t>lings</w:t>
      </w:r>
      <w:r w:rsidRPr="00D55546">
        <w:rPr>
          <w:rFonts w:ascii="Arial" w:hAnsi="Arial" w:cs="Arial"/>
        </w:rPr>
        <w:t>s</w:t>
      </w:r>
      <w:proofErr w:type="spellEnd"/>
      <w:r w:rsidRPr="00D55546">
        <w:rPr>
          <w:rFonts w:ascii="Arial" w:hAnsi="Arial" w:cs="Arial"/>
        </w:rPr>
        <w:t xml:space="preserve">. Secondly, we estimated the shared environmental effect between couples by assigning the same unique number to each pair of individuals (with different sex) with a common child in a variable ‘spouse’. Thirdly, we </w:t>
      </w:r>
      <w:r w:rsidR="00F55D26" w:rsidRPr="00D55546">
        <w:rPr>
          <w:rFonts w:ascii="Arial" w:hAnsi="Arial" w:cs="Arial"/>
        </w:rPr>
        <w:t>created two household variables:</w:t>
      </w:r>
      <w:r w:rsidRPr="00D55546">
        <w:rPr>
          <w:rFonts w:ascii="Arial" w:hAnsi="Arial" w:cs="Arial"/>
        </w:rPr>
        <w:t xml:space="preserve"> </w:t>
      </w:r>
      <w:r w:rsidR="00F55D26" w:rsidRPr="00D55546">
        <w:rPr>
          <w:rFonts w:ascii="Arial" w:hAnsi="Arial" w:cs="Arial"/>
        </w:rPr>
        <w:t>‘</w:t>
      </w:r>
      <w:r w:rsidRPr="00D55546">
        <w:rPr>
          <w:rFonts w:ascii="Arial" w:hAnsi="Arial" w:cs="Arial"/>
        </w:rPr>
        <w:t>old-household</w:t>
      </w:r>
      <w:r w:rsidR="00F55D26" w:rsidRPr="00D55546">
        <w:rPr>
          <w:rFonts w:ascii="Arial" w:hAnsi="Arial" w:cs="Arial"/>
        </w:rPr>
        <w:t>’</w:t>
      </w:r>
      <w:r w:rsidRPr="00D55546">
        <w:rPr>
          <w:rFonts w:ascii="Arial" w:hAnsi="Arial" w:cs="Arial"/>
        </w:rPr>
        <w:t xml:space="preserve"> and </w:t>
      </w:r>
      <w:r w:rsidR="00F55D26" w:rsidRPr="00D55546">
        <w:rPr>
          <w:rFonts w:ascii="Arial" w:hAnsi="Arial" w:cs="Arial"/>
        </w:rPr>
        <w:t>‘</w:t>
      </w:r>
      <w:r w:rsidRPr="00D55546">
        <w:rPr>
          <w:rFonts w:ascii="Arial" w:hAnsi="Arial" w:cs="Arial"/>
        </w:rPr>
        <w:t>young-household</w:t>
      </w:r>
      <w:r w:rsidR="00F55D26" w:rsidRPr="00D55546">
        <w:rPr>
          <w:rFonts w:ascii="Arial" w:hAnsi="Arial" w:cs="Arial"/>
        </w:rPr>
        <w:t>’</w:t>
      </w:r>
      <w:r w:rsidRPr="00D55546">
        <w:rPr>
          <w:rFonts w:ascii="Arial" w:hAnsi="Arial" w:cs="Arial"/>
        </w:rPr>
        <w:t>. The household variables were used in order to distinguish the household effect which only involves nuclear family members from the genetic effect tracked by both close and distant relatives. The household effect is reflected by assigning a same unique number for all members who live in the s</w:t>
      </w:r>
      <w:r w:rsidR="00F55D26" w:rsidRPr="00D55546">
        <w:rPr>
          <w:rFonts w:ascii="Arial" w:hAnsi="Arial" w:cs="Arial"/>
        </w:rPr>
        <w:t>ame household.  For large families</w:t>
      </w:r>
      <w:r w:rsidRPr="00D55546">
        <w:rPr>
          <w:rFonts w:ascii="Arial" w:hAnsi="Arial" w:cs="Arial"/>
        </w:rPr>
        <w:t xml:space="preserve"> with </w:t>
      </w:r>
      <w:r w:rsidR="005F7A7C" w:rsidRPr="00D55546">
        <w:rPr>
          <w:rFonts w:ascii="Arial" w:hAnsi="Arial" w:cs="Arial"/>
        </w:rPr>
        <w:t xml:space="preserve">a </w:t>
      </w:r>
      <w:r w:rsidRPr="00D55546">
        <w:rPr>
          <w:rFonts w:ascii="Arial" w:hAnsi="Arial" w:cs="Arial"/>
        </w:rPr>
        <w:t xml:space="preserve">three-generation family structure (the family contains grandparents, parents and grandchildren), </w:t>
      </w:r>
      <w:r w:rsidRPr="00D55546">
        <w:rPr>
          <w:rFonts w:ascii="Arial" w:hAnsi="Arial" w:cs="Arial"/>
          <w:lang w:val="en-US"/>
        </w:rPr>
        <w:t>the design of the two</w:t>
      </w:r>
      <w:r w:rsidRPr="00D55546">
        <w:rPr>
          <w:rFonts w:ascii="Arial" w:hAnsi="Arial" w:cs="Arial"/>
        </w:rPr>
        <w:t xml:space="preserve"> variables corresponded to the shared household environment of the older-nuclear family made up of grand-parents and parents, and the younger-nuclear family made up of parents and grandchildren. For small families with </w:t>
      </w:r>
      <w:r w:rsidR="005F7A7C" w:rsidRPr="00D55546">
        <w:rPr>
          <w:rFonts w:ascii="Arial" w:hAnsi="Arial" w:cs="Arial"/>
        </w:rPr>
        <w:t xml:space="preserve">a </w:t>
      </w:r>
      <w:r w:rsidRPr="00D55546">
        <w:rPr>
          <w:rFonts w:ascii="Arial" w:hAnsi="Arial" w:cs="Arial"/>
        </w:rPr>
        <w:t xml:space="preserve">two generation structure (the family only contains parents and children), the household effect from the nuclear family will be reflected in the old-household variable if the average age of the parents is larger than 59, whereas the household effect will be reflected in the young-generation variable if the average age of the parents </w:t>
      </w:r>
      <w:r w:rsidR="00DD71C5" w:rsidRPr="00D55546">
        <w:rPr>
          <w:rFonts w:ascii="Arial" w:hAnsi="Arial" w:cs="Arial"/>
        </w:rPr>
        <w:t>was less</w:t>
      </w:r>
      <w:r w:rsidRPr="00D55546">
        <w:rPr>
          <w:rFonts w:ascii="Arial" w:hAnsi="Arial" w:cs="Arial"/>
        </w:rPr>
        <w:t xml:space="preserve"> than 59. </w:t>
      </w:r>
      <w:r w:rsidR="00DD71C5" w:rsidRPr="00D55546">
        <w:rPr>
          <w:rFonts w:ascii="Arial" w:hAnsi="Arial" w:cs="Arial"/>
        </w:rPr>
        <w:t>A</w:t>
      </w:r>
      <w:r w:rsidRPr="00D55546">
        <w:rPr>
          <w:rFonts w:ascii="Arial" w:hAnsi="Arial" w:cs="Arial"/>
        </w:rPr>
        <w:t xml:space="preserve"> procedure for selecting appropriate age cut-off </w:t>
      </w:r>
      <w:r w:rsidR="00DD71C5" w:rsidRPr="00D55546">
        <w:rPr>
          <w:rFonts w:ascii="Arial" w:hAnsi="Arial" w:cs="Arial"/>
        </w:rPr>
        <w:t>was derived</w:t>
      </w:r>
      <w:r w:rsidRPr="00D55546">
        <w:rPr>
          <w:rFonts w:ascii="Arial" w:hAnsi="Arial" w:cs="Arial"/>
        </w:rPr>
        <w:t xml:space="preserve"> as follows</w:t>
      </w:r>
      <w:r w:rsidR="00DD71C5" w:rsidRPr="00D55546">
        <w:rPr>
          <w:rFonts w:ascii="Arial" w:hAnsi="Arial" w:cs="Arial"/>
        </w:rPr>
        <w:t>: F</w:t>
      </w:r>
      <w:r w:rsidRPr="00D55546">
        <w:rPr>
          <w:rFonts w:ascii="Arial" w:hAnsi="Arial" w:cs="Arial"/>
        </w:rPr>
        <w:t xml:space="preserve">irst, families with </w:t>
      </w:r>
      <w:r w:rsidR="00DD71C5" w:rsidRPr="00D55546">
        <w:rPr>
          <w:rFonts w:ascii="Arial" w:hAnsi="Arial" w:cs="Arial"/>
        </w:rPr>
        <w:t xml:space="preserve">a </w:t>
      </w:r>
      <w:r w:rsidRPr="00D55546">
        <w:rPr>
          <w:rFonts w:ascii="Arial" w:hAnsi="Arial" w:cs="Arial"/>
        </w:rPr>
        <w:t>three</w:t>
      </w:r>
      <w:r w:rsidR="00DD71C5" w:rsidRPr="00D55546">
        <w:rPr>
          <w:rFonts w:ascii="Arial" w:hAnsi="Arial" w:cs="Arial"/>
        </w:rPr>
        <w:t>-generation structure and families</w:t>
      </w:r>
      <w:r w:rsidRPr="00D55546">
        <w:rPr>
          <w:rFonts w:ascii="Arial" w:hAnsi="Arial" w:cs="Arial"/>
        </w:rPr>
        <w:t xml:space="preserve"> with </w:t>
      </w:r>
      <w:r w:rsidR="00DD71C5" w:rsidRPr="00D55546">
        <w:rPr>
          <w:rFonts w:ascii="Arial" w:hAnsi="Arial" w:cs="Arial"/>
        </w:rPr>
        <w:t xml:space="preserve">a </w:t>
      </w:r>
      <w:r w:rsidRPr="00D55546">
        <w:rPr>
          <w:rFonts w:ascii="Arial" w:hAnsi="Arial" w:cs="Arial"/>
        </w:rPr>
        <w:t xml:space="preserve">two-generation structure </w:t>
      </w:r>
      <w:r w:rsidR="00DD71C5" w:rsidRPr="00D55546">
        <w:rPr>
          <w:rFonts w:ascii="Arial" w:hAnsi="Arial" w:cs="Arial"/>
        </w:rPr>
        <w:t>were</w:t>
      </w:r>
      <w:r w:rsidRPr="00D55546">
        <w:rPr>
          <w:rFonts w:ascii="Arial" w:hAnsi="Arial" w:cs="Arial"/>
        </w:rPr>
        <w:t xml:space="preserve"> identified. </w:t>
      </w:r>
      <w:r w:rsidR="00DD71C5" w:rsidRPr="00D55546">
        <w:rPr>
          <w:rFonts w:ascii="Arial" w:hAnsi="Arial" w:cs="Arial"/>
        </w:rPr>
        <w:t>Among families</w:t>
      </w:r>
      <w:r w:rsidRPr="00D55546">
        <w:rPr>
          <w:rFonts w:ascii="Arial" w:hAnsi="Arial" w:cs="Arial"/>
        </w:rPr>
        <w:t xml:space="preserve"> with </w:t>
      </w:r>
      <w:r w:rsidR="00DD71C5" w:rsidRPr="00D55546">
        <w:rPr>
          <w:rFonts w:ascii="Arial" w:hAnsi="Arial" w:cs="Arial"/>
        </w:rPr>
        <w:t xml:space="preserve">a </w:t>
      </w:r>
      <w:r w:rsidRPr="00D55546">
        <w:rPr>
          <w:rFonts w:ascii="Arial" w:hAnsi="Arial" w:cs="Arial"/>
        </w:rPr>
        <w:t>three-generation structure, the mean age of the</w:t>
      </w:r>
      <w:r w:rsidR="00DD71C5" w:rsidRPr="00D55546">
        <w:rPr>
          <w:rFonts w:ascii="Arial" w:hAnsi="Arial" w:cs="Arial"/>
        </w:rPr>
        <w:t xml:space="preserve"> parents in older-nuclear-families wa</w:t>
      </w:r>
      <w:r w:rsidRPr="00D55546">
        <w:rPr>
          <w:rFonts w:ascii="Arial" w:hAnsi="Arial" w:cs="Arial"/>
        </w:rPr>
        <w:t>s 74 and the mean age of the p</w:t>
      </w:r>
      <w:r w:rsidR="00DD71C5" w:rsidRPr="00D55546">
        <w:rPr>
          <w:rFonts w:ascii="Arial" w:hAnsi="Arial" w:cs="Arial"/>
        </w:rPr>
        <w:t>arents in younger-nuclear-families wa</w:t>
      </w:r>
      <w:r w:rsidRPr="00D55546">
        <w:rPr>
          <w:rFonts w:ascii="Arial" w:hAnsi="Arial" w:cs="Arial"/>
        </w:rPr>
        <w:t>s 49. Second</w:t>
      </w:r>
      <w:r w:rsidR="00DD71C5" w:rsidRPr="00D55546">
        <w:rPr>
          <w:rFonts w:ascii="Arial" w:hAnsi="Arial" w:cs="Arial"/>
        </w:rPr>
        <w:t>ly</w:t>
      </w:r>
      <w:r w:rsidRPr="00D55546">
        <w:rPr>
          <w:rFonts w:ascii="Arial" w:hAnsi="Arial" w:cs="Arial"/>
        </w:rPr>
        <w:t xml:space="preserve">, the </w:t>
      </w:r>
      <w:r w:rsidR="00DD71C5" w:rsidRPr="00D55546">
        <w:rPr>
          <w:rFonts w:ascii="Arial" w:hAnsi="Arial" w:cs="Arial"/>
        </w:rPr>
        <w:t>age cut-off of 59 for the families with two-generation structure wa</w:t>
      </w:r>
      <w:r w:rsidRPr="00D55546">
        <w:rPr>
          <w:rFonts w:ascii="Arial" w:hAnsi="Arial" w:cs="Arial"/>
        </w:rPr>
        <w:t xml:space="preserve">s </w:t>
      </w:r>
      <w:r w:rsidRPr="00D55546">
        <w:rPr>
          <w:rFonts w:ascii="Arial" w:hAnsi="Arial" w:cs="Arial"/>
        </w:rPr>
        <w:lastRenderedPageBreak/>
        <w:t>selected by testing the empirical age cut-off</w:t>
      </w:r>
      <w:r w:rsidR="00DD71C5" w:rsidRPr="00D55546">
        <w:rPr>
          <w:rFonts w:ascii="Arial" w:hAnsi="Arial" w:cs="Arial"/>
        </w:rPr>
        <w:t>s</w:t>
      </w:r>
      <w:r w:rsidRPr="00D55546">
        <w:rPr>
          <w:rFonts w:ascii="Arial" w:hAnsi="Arial" w:cs="Arial"/>
        </w:rPr>
        <w:t xml:space="preserve"> from 49 to 74 (ste</w:t>
      </w:r>
      <w:r w:rsidR="00DD71C5" w:rsidRPr="00D55546">
        <w:rPr>
          <w:rFonts w:ascii="Arial" w:hAnsi="Arial" w:cs="Arial"/>
        </w:rPr>
        <w:t>p=1). The cut-off that minimized</w:t>
      </w:r>
      <w:r w:rsidRPr="00D55546">
        <w:rPr>
          <w:rFonts w:ascii="Arial" w:hAnsi="Arial" w:cs="Arial"/>
        </w:rPr>
        <w:t xml:space="preserve"> the sum of the variance o</w:t>
      </w:r>
      <w:r w:rsidR="00DD71C5" w:rsidRPr="00D55546">
        <w:rPr>
          <w:rFonts w:ascii="Arial" w:hAnsi="Arial" w:cs="Arial"/>
        </w:rPr>
        <w:t>f age between the nuclear families</w:t>
      </w:r>
      <w:r w:rsidRPr="00D55546">
        <w:rPr>
          <w:rFonts w:ascii="Arial" w:hAnsi="Arial" w:cs="Arial"/>
        </w:rPr>
        <w:t xml:space="preserve"> included in the old-household variable and the variance o</w:t>
      </w:r>
      <w:r w:rsidR="00DD71C5" w:rsidRPr="00D55546">
        <w:rPr>
          <w:rFonts w:ascii="Arial" w:hAnsi="Arial" w:cs="Arial"/>
        </w:rPr>
        <w:t>f age between the nuclear families</w:t>
      </w:r>
      <w:r w:rsidRPr="00D55546">
        <w:rPr>
          <w:rFonts w:ascii="Arial" w:hAnsi="Arial" w:cs="Arial"/>
        </w:rPr>
        <w:t xml:space="preserve"> included i</w:t>
      </w:r>
      <w:r w:rsidR="00DD71C5" w:rsidRPr="00D55546">
        <w:rPr>
          <w:rFonts w:ascii="Arial" w:hAnsi="Arial" w:cs="Arial"/>
        </w:rPr>
        <w:t>n the young-household variable wa</w:t>
      </w:r>
      <w:r w:rsidRPr="00D55546">
        <w:rPr>
          <w:rFonts w:ascii="Arial" w:hAnsi="Arial" w:cs="Arial"/>
        </w:rPr>
        <w:t>s selected</w:t>
      </w:r>
      <w:r w:rsidR="00DD71C5" w:rsidRPr="00D55546">
        <w:rPr>
          <w:rFonts w:ascii="Arial" w:hAnsi="Arial" w:cs="Arial"/>
        </w:rPr>
        <w:t xml:space="preserve"> and found to be</w:t>
      </w:r>
      <w:r w:rsidRPr="00D55546">
        <w:rPr>
          <w:rFonts w:ascii="Arial" w:hAnsi="Arial" w:cs="Arial"/>
        </w:rPr>
        <w:t xml:space="preserve"> 59</w:t>
      </w:r>
      <w:r w:rsidR="00DD71C5" w:rsidRPr="00D55546">
        <w:rPr>
          <w:rFonts w:ascii="Arial" w:hAnsi="Arial" w:cs="Arial"/>
        </w:rPr>
        <w:t>. This cut-off of 59 years</w:t>
      </w:r>
      <w:r w:rsidRPr="00D55546">
        <w:rPr>
          <w:rFonts w:ascii="Arial" w:hAnsi="Arial" w:cs="Arial"/>
        </w:rPr>
        <w:t xml:space="preserve"> also </w:t>
      </w:r>
      <w:r w:rsidR="00DD71C5" w:rsidRPr="00D55546">
        <w:rPr>
          <w:rFonts w:ascii="Arial" w:hAnsi="Arial" w:cs="Arial"/>
        </w:rPr>
        <w:t>produced</w:t>
      </w:r>
      <w:r w:rsidRPr="00D55546">
        <w:rPr>
          <w:rFonts w:ascii="Arial" w:hAnsi="Arial" w:cs="Arial"/>
        </w:rPr>
        <w:t xml:space="preserve"> approximately equal numbers in the old-nuclear family group and the young-nuclear family group.</w:t>
      </w:r>
    </w:p>
    <w:p w14:paraId="72B2DB3B" w14:textId="77777777" w:rsidR="005B241A" w:rsidRPr="00D55546" w:rsidRDefault="005B241A" w:rsidP="00AD5DD3">
      <w:pPr>
        <w:spacing w:line="480" w:lineRule="auto"/>
        <w:jc w:val="both"/>
        <w:rPr>
          <w:rFonts w:ascii="Arial" w:hAnsi="Arial" w:cs="Arial"/>
        </w:rPr>
      </w:pPr>
    </w:p>
    <w:p w14:paraId="2B443931" w14:textId="77777777" w:rsidR="005B241A" w:rsidRPr="00D55546" w:rsidRDefault="005B241A" w:rsidP="005B241A">
      <w:pPr>
        <w:rPr>
          <w:rFonts w:ascii="Arial" w:hAnsi="Arial" w:cs="Arial"/>
          <w:b/>
        </w:rPr>
      </w:pPr>
      <w:r w:rsidRPr="00D55546">
        <w:rPr>
          <w:rFonts w:ascii="Arial" w:hAnsi="Arial" w:cs="Arial"/>
          <w:b/>
        </w:rPr>
        <w:t>Supplementary material: derivation of sib, spouse and household variables</w:t>
      </w:r>
    </w:p>
    <w:p w14:paraId="7352E31E" w14:textId="77777777" w:rsidR="005B241A" w:rsidRPr="00D55546" w:rsidRDefault="005B241A" w:rsidP="005B241A">
      <w:pPr>
        <w:rPr>
          <w:rFonts w:ascii="Arial" w:hAnsi="Arial" w:cs="Arial"/>
          <w:b/>
        </w:rPr>
      </w:pPr>
    </w:p>
    <w:p w14:paraId="4DDFD954" w14:textId="77777777" w:rsidR="005B241A" w:rsidRPr="00D55546" w:rsidRDefault="005B241A" w:rsidP="005B241A">
      <w:pPr>
        <w:rPr>
          <w:rFonts w:ascii="Arial" w:hAnsi="Arial" w:cs="Arial"/>
        </w:rPr>
      </w:pPr>
    </w:p>
    <w:p w14:paraId="1FA146DB" w14:textId="77777777" w:rsidR="005B241A" w:rsidRPr="00D55546" w:rsidRDefault="005B241A" w:rsidP="005B241A">
      <w:pPr>
        <w:rPr>
          <w:rFonts w:ascii="Arial" w:hAnsi="Arial" w:cs="Arial"/>
        </w:rPr>
      </w:pPr>
      <w:r w:rsidRPr="00D55546">
        <w:rPr>
          <w:rFonts w:ascii="Arial" w:hAnsi="Arial" w:cs="Arial"/>
          <w:noProof/>
          <w:lang w:val="en-US"/>
        </w:rPr>
        <w:drawing>
          <wp:inline distT="0" distB="0" distL="0" distR="0" wp14:anchorId="7010CABC" wp14:editId="4F3E9431">
            <wp:extent cx="5270500" cy="351282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f"/>
                    <pic:cNvPicPr/>
                  </pic:nvPicPr>
                  <pic:blipFill>
                    <a:blip r:embed="rId4">
                      <a:extLst>
                        <a:ext uri="{28A0092B-C50C-407E-A947-70E740481C1C}">
                          <a14:useLocalDpi xmlns:a14="http://schemas.microsoft.com/office/drawing/2010/main" val="0"/>
                        </a:ext>
                      </a:extLst>
                    </a:blip>
                    <a:stretch>
                      <a:fillRect/>
                    </a:stretch>
                  </pic:blipFill>
                  <pic:spPr>
                    <a:xfrm>
                      <a:off x="0" y="0"/>
                      <a:ext cx="5270500" cy="3512820"/>
                    </a:xfrm>
                    <a:prstGeom prst="rect">
                      <a:avLst/>
                    </a:prstGeom>
                  </pic:spPr>
                </pic:pic>
              </a:graphicData>
            </a:graphic>
          </wp:inline>
        </w:drawing>
      </w:r>
    </w:p>
    <w:p w14:paraId="09280326" w14:textId="77777777" w:rsidR="005B241A" w:rsidRPr="00D55546" w:rsidRDefault="005B241A" w:rsidP="005B241A">
      <w:pPr>
        <w:rPr>
          <w:rFonts w:ascii="Arial" w:hAnsi="Arial" w:cs="Arial"/>
        </w:rPr>
      </w:pPr>
    </w:p>
    <w:p w14:paraId="5F0D7622" w14:textId="77777777" w:rsidR="005B241A" w:rsidRPr="00D55546" w:rsidRDefault="005B241A" w:rsidP="005B241A">
      <w:pPr>
        <w:rPr>
          <w:rFonts w:ascii="Arial" w:hAnsi="Arial" w:cs="Arial"/>
        </w:rPr>
      </w:pPr>
    </w:p>
    <w:p w14:paraId="2279F26F" w14:textId="77777777" w:rsidR="005B241A" w:rsidRPr="00D55546" w:rsidRDefault="005B241A" w:rsidP="005B241A">
      <w:pPr>
        <w:rPr>
          <w:rFonts w:ascii="Arial" w:hAnsi="Arial" w:cs="Arial"/>
        </w:rPr>
      </w:pPr>
    </w:p>
    <w:p w14:paraId="3B565E5F" w14:textId="77777777" w:rsidR="005B241A" w:rsidRPr="00D55546" w:rsidRDefault="005B241A" w:rsidP="005B241A">
      <w:pPr>
        <w:rPr>
          <w:rFonts w:ascii="Arial" w:hAnsi="Arial" w:cs="Arial"/>
        </w:rPr>
      </w:pPr>
      <w:r w:rsidRPr="00D55546">
        <w:rPr>
          <w:rFonts w:ascii="Arial" w:hAnsi="Arial" w:cs="Arial"/>
          <w:noProof/>
          <w:lang w:val="en-US"/>
        </w:rPr>
        <w:drawing>
          <wp:inline distT="0" distB="0" distL="0" distR="0" wp14:anchorId="2EC80C6B" wp14:editId="4B913EEF">
            <wp:extent cx="5270500" cy="3952875"/>
            <wp:effectExtent l="0" t="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f"/>
                    <pic:cNvPicPr/>
                  </pic:nvPicPr>
                  <pic:blipFill>
                    <a:blip r:embed="rId5">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7B6F3860" w14:textId="77777777" w:rsidR="005B241A" w:rsidRPr="00D55546" w:rsidRDefault="005B241A" w:rsidP="005B241A">
      <w:pPr>
        <w:rPr>
          <w:rFonts w:ascii="Arial" w:hAnsi="Arial" w:cs="Arial"/>
        </w:rPr>
      </w:pPr>
    </w:p>
    <w:p w14:paraId="74D2C138" w14:textId="77777777" w:rsidR="005B241A" w:rsidRPr="00D55546" w:rsidRDefault="005B241A" w:rsidP="005B241A">
      <w:pPr>
        <w:rPr>
          <w:rFonts w:ascii="Arial" w:hAnsi="Arial" w:cs="Arial"/>
        </w:rPr>
      </w:pPr>
    </w:p>
    <w:p w14:paraId="544B7568" w14:textId="77777777" w:rsidR="005B241A" w:rsidRPr="00D55546" w:rsidRDefault="005B241A" w:rsidP="005B241A">
      <w:pPr>
        <w:rPr>
          <w:rFonts w:ascii="Arial" w:hAnsi="Arial" w:cs="Arial"/>
        </w:rPr>
      </w:pPr>
    </w:p>
    <w:p w14:paraId="6DE3FE8E" w14:textId="77777777" w:rsidR="005B241A" w:rsidRPr="00D55546" w:rsidRDefault="005B241A" w:rsidP="005B241A">
      <w:pPr>
        <w:rPr>
          <w:rFonts w:ascii="Arial" w:hAnsi="Arial" w:cs="Arial"/>
        </w:rPr>
      </w:pPr>
    </w:p>
    <w:p w14:paraId="5EA97D61" w14:textId="77777777" w:rsidR="005B241A" w:rsidRPr="00D55546" w:rsidRDefault="005B241A" w:rsidP="005B241A">
      <w:pPr>
        <w:rPr>
          <w:rFonts w:ascii="Arial" w:hAnsi="Arial" w:cs="Arial"/>
        </w:rPr>
      </w:pPr>
    </w:p>
    <w:p w14:paraId="273BCC61" w14:textId="77777777" w:rsidR="005B241A" w:rsidRPr="00D55546" w:rsidRDefault="005B241A" w:rsidP="005B241A">
      <w:pPr>
        <w:rPr>
          <w:rFonts w:ascii="Arial" w:hAnsi="Arial" w:cs="Arial"/>
        </w:rPr>
      </w:pPr>
    </w:p>
    <w:p w14:paraId="3C1C6C6C" w14:textId="77777777" w:rsidR="005B241A" w:rsidRPr="00D55546" w:rsidRDefault="005B241A" w:rsidP="005B241A">
      <w:pPr>
        <w:rPr>
          <w:rFonts w:ascii="Arial" w:hAnsi="Arial" w:cs="Arial"/>
        </w:rPr>
      </w:pPr>
      <w:r w:rsidRPr="00D55546">
        <w:rPr>
          <w:rFonts w:ascii="Arial" w:hAnsi="Arial" w:cs="Arial"/>
          <w:noProof/>
          <w:lang w:val="en-US"/>
        </w:rPr>
        <w:drawing>
          <wp:inline distT="0" distB="0" distL="0" distR="0" wp14:anchorId="1E283D67" wp14:editId="08C86573">
            <wp:extent cx="5270500" cy="3952875"/>
            <wp:effectExtent l="0" t="0" r="127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f"/>
                    <pic:cNvPicPr/>
                  </pic:nvPicPr>
                  <pic:blipFill>
                    <a:blip r:embed="rId6">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29783424" w14:textId="77777777" w:rsidR="005B241A" w:rsidRPr="00D55546" w:rsidRDefault="005B241A" w:rsidP="005B241A">
      <w:pPr>
        <w:rPr>
          <w:rFonts w:ascii="Arial" w:hAnsi="Arial" w:cs="Arial"/>
        </w:rPr>
      </w:pPr>
    </w:p>
    <w:p w14:paraId="037518CE" w14:textId="77777777" w:rsidR="005B241A" w:rsidRPr="00D55546" w:rsidRDefault="005B241A" w:rsidP="005B241A">
      <w:pPr>
        <w:rPr>
          <w:rFonts w:ascii="Arial" w:hAnsi="Arial" w:cs="Arial"/>
        </w:rPr>
      </w:pPr>
    </w:p>
    <w:p w14:paraId="3E455481" w14:textId="77777777" w:rsidR="005B241A" w:rsidRPr="00D55546" w:rsidRDefault="005B241A" w:rsidP="005B241A">
      <w:pPr>
        <w:rPr>
          <w:rFonts w:ascii="Arial" w:hAnsi="Arial" w:cs="Arial"/>
        </w:rPr>
      </w:pPr>
      <w:r w:rsidRPr="00D55546">
        <w:rPr>
          <w:rFonts w:ascii="Arial" w:hAnsi="Arial" w:cs="Arial"/>
          <w:noProof/>
          <w:lang w:val="en-US"/>
        </w:rPr>
        <w:drawing>
          <wp:inline distT="0" distB="0" distL="0" distR="0" wp14:anchorId="0AE895C4" wp14:editId="17C64165">
            <wp:extent cx="5270500" cy="3952875"/>
            <wp:effectExtent l="0" t="0" r="1270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f"/>
                    <pic:cNvPicPr/>
                  </pic:nvPicPr>
                  <pic:blipFill>
                    <a:blip r:embed="rId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04C79F26" w14:textId="77777777" w:rsidR="005B241A" w:rsidRPr="00D55546" w:rsidRDefault="005B241A" w:rsidP="005B241A">
      <w:pPr>
        <w:rPr>
          <w:rFonts w:ascii="Arial" w:hAnsi="Arial" w:cs="Arial"/>
        </w:rPr>
      </w:pPr>
    </w:p>
    <w:p w14:paraId="793136D0" w14:textId="77777777" w:rsidR="005B241A" w:rsidRPr="00D55546" w:rsidRDefault="005B241A" w:rsidP="005B241A">
      <w:pPr>
        <w:rPr>
          <w:rFonts w:ascii="Arial" w:hAnsi="Arial" w:cs="Arial"/>
        </w:rPr>
      </w:pPr>
      <w:r w:rsidRPr="00D55546">
        <w:rPr>
          <w:rFonts w:ascii="Arial" w:hAnsi="Arial" w:cs="Arial"/>
          <w:noProof/>
          <w:lang w:val="en-US"/>
        </w:rPr>
        <w:drawing>
          <wp:inline distT="0" distB="0" distL="0" distR="0" wp14:anchorId="2BC77438" wp14:editId="1DC2487C">
            <wp:extent cx="5270500" cy="3952875"/>
            <wp:effectExtent l="0" t="0" r="1270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iff"/>
                    <pic:cNvPicPr/>
                  </pic:nvPicPr>
                  <pic:blipFill>
                    <a:blip r:embed="rId8">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52914D02" w14:textId="77777777" w:rsidR="005B241A" w:rsidRPr="00D55546" w:rsidRDefault="005B241A" w:rsidP="00AD5DD3">
      <w:pPr>
        <w:spacing w:line="480" w:lineRule="auto"/>
        <w:jc w:val="both"/>
        <w:rPr>
          <w:rFonts w:ascii="Arial" w:hAnsi="Arial" w:cs="Arial"/>
        </w:rPr>
      </w:pPr>
      <w:bookmarkStart w:id="0" w:name="_GoBack"/>
      <w:bookmarkEnd w:id="0"/>
    </w:p>
    <w:sectPr w:rsidR="005B241A" w:rsidRPr="00D55546" w:rsidSect="00746B1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a9vv5fkxrvake9vaqxzr91apaza2tvtp50&quot;&gt;My EndNote Library&lt;record-ids&gt;&lt;item&gt;9594&lt;/item&gt;&lt;item&gt;10304&lt;/item&gt;&lt;/record-ids&gt;&lt;/item&gt;&lt;/Libraries&gt;"/>
  </w:docVars>
  <w:rsids>
    <w:rsidRoot w:val="00AD5DD3"/>
    <w:rsid w:val="00021AA7"/>
    <w:rsid w:val="002446ED"/>
    <w:rsid w:val="00280C01"/>
    <w:rsid w:val="003A2D0D"/>
    <w:rsid w:val="00531D2B"/>
    <w:rsid w:val="005B241A"/>
    <w:rsid w:val="005F7A7C"/>
    <w:rsid w:val="00696FC3"/>
    <w:rsid w:val="006E6BAD"/>
    <w:rsid w:val="00724B73"/>
    <w:rsid w:val="00746B17"/>
    <w:rsid w:val="007C5CCE"/>
    <w:rsid w:val="00AD5DD3"/>
    <w:rsid w:val="00C15AAD"/>
    <w:rsid w:val="00C318C3"/>
    <w:rsid w:val="00C96142"/>
    <w:rsid w:val="00CA1787"/>
    <w:rsid w:val="00CB7767"/>
    <w:rsid w:val="00CD6620"/>
    <w:rsid w:val="00D55546"/>
    <w:rsid w:val="00DD71C5"/>
    <w:rsid w:val="00ED527F"/>
    <w:rsid w:val="00ED55F0"/>
    <w:rsid w:val="00F55D26"/>
    <w:rsid w:val="00FD00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18080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DD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724B73"/>
  </w:style>
  <w:style w:type="character" w:customStyle="1" w:styleId="CommentTextChar">
    <w:name w:val="Comment Text Char"/>
    <w:basedOn w:val="DefaultParagraphFont"/>
    <w:link w:val="CommentText"/>
    <w:uiPriority w:val="99"/>
    <w:semiHidden/>
    <w:rsid w:val="00724B73"/>
    <w:rPr>
      <w:rFonts w:eastAsiaTheme="minorEastAsia"/>
    </w:rPr>
  </w:style>
  <w:style w:type="paragraph" w:styleId="BalloonText">
    <w:name w:val="Balloon Text"/>
    <w:basedOn w:val="Normal"/>
    <w:link w:val="BalloonTextChar"/>
    <w:uiPriority w:val="99"/>
    <w:semiHidden/>
    <w:unhideWhenUsed/>
    <w:rsid w:val="005B24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41A"/>
    <w:rPr>
      <w:rFonts w:ascii="Lucida Grande" w:eastAsiaTheme="minorEastAsia" w:hAnsi="Lucida Grande" w:cs="Lucida Grande"/>
      <w:sz w:val="18"/>
      <w:szCs w:val="18"/>
    </w:rPr>
  </w:style>
  <w:style w:type="table" w:styleId="TableGrid">
    <w:name w:val="Table Grid"/>
    <w:basedOn w:val="TableNormal"/>
    <w:uiPriority w:val="39"/>
    <w:rsid w:val="006E6B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15AAD"/>
    <w:rPr>
      <w:color w:val="0563C1" w:themeColor="hyperlink"/>
      <w:u w:val="single"/>
    </w:rPr>
  </w:style>
  <w:style w:type="paragraph" w:customStyle="1" w:styleId="EndNoteBibliographyTitle">
    <w:name w:val="EndNote Bibliography Title"/>
    <w:basedOn w:val="Normal"/>
    <w:rsid w:val="00C318C3"/>
    <w:pPr>
      <w:jc w:val="center"/>
    </w:pPr>
    <w:rPr>
      <w:rFonts w:ascii="Calibri" w:hAnsi="Calibri"/>
      <w:lang w:val="en-US"/>
    </w:rPr>
  </w:style>
  <w:style w:type="paragraph" w:customStyle="1" w:styleId="EndNoteBibliography">
    <w:name w:val="EndNote Bibliography"/>
    <w:basedOn w:val="Normal"/>
    <w:rsid w:val="00C318C3"/>
    <w:rPr>
      <w:rFonts w:ascii="Calibri" w:hAnsi="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5072061">
      <w:bodyDiv w:val="1"/>
      <w:marLeft w:val="0"/>
      <w:marRight w:val="0"/>
      <w:marTop w:val="0"/>
      <w:marBottom w:val="0"/>
      <w:divBdr>
        <w:top w:val="none" w:sz="0" w:space="0" w:color="auto"/>
        <w:left w:val="none" w:sz="0" w:space="0" w:color="auto"/>
        <w:bottom w:val="none" w:sz="0" w:space="0" w:color="auto"/>
        <w:right w:val="none" w:sz="0" w:space="0" w:color="auto"/>
      </w:divBdr>
      <w:divsChild>
        <w:div w:id="1232960399">
          <w:marLeft w:val="0"/>
          <w:marRight w:val="0"/>
          <w:marTop w:val="0"/>
          <w:marBottom w:val="0"/>
          <w:divBdr>
            <w:top w:val="none" w:sz="0" w:space="0" w:color="auto"/>
            <w:left w:val="none" w:sz="0" w:space="0" w:color="auto"/>
            <w:bottom w:val="none" w:sz="0" w:space="0" w:color="auto"/>
            <w:right w:val="none" w:sz="0" w:space="0" w:color="auto"/>
          </w:divBdr>
          <w:divsChild>
            <w:div w:id="240531412">
              <w:marLeft w:val="0"/>
              <w:marRight w:val="0"/>
              <w:marTop w:val="0"/>
              <w:marBottom w:val="0"/>
              <w:divBdr>
                <w:top w:val="none" w:sz="0" w:space="0" w:color="auto"/>
                <w:left w:val="none" w:sz="0" w:space="0" w:color="auto"/>
                <w:bottom w:val="none" w:sz="0" w:space="0" w:color="auto"/>
                <w:right w:val="none" w:sz="0" w:space="0" w:color="auto"/>
              </w:divBdr>
              <w:divsChild>
                <w:div w:id="68124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5375">
      <w:bodyDiv w:val="1"/>
      <w:marLeft w:val="0"/>
      <w:marRight w:val="0"/>
      <w:marTop w:val="0"/>
      <w:marBottom w:val="0"/>
      <w:divBdr>
        <w:top w:val="none" w:sz="0" w:space="0" w:color="auto"/>
        <w:left w:val="none" w:sz="0" w:space="0" w:color="auto"/>
        <w:bottom w:val="none" w:sz="0" w:space="0" w:color="auto"/>
        <w:right w:val="none" w:sz="0" w:space="0" w:color="auto"/>
      </w:divBdr>
      <w:divsChild>
        <w:div w:id="1834293226">
          <w:marLeft w:val="0"/>
          <w:marRight w:val="0"/>
          <w:marTop w:val="0"/>
          <w:marBottom w:val="0"/>
          <w:divBdr>
            <w:top w:val="none" w:sz="0" w:space="0" w:color="auto"/>
            <w:left w:val="none" w:sz="0" w:space="0" w:color="auto"/>
            <w:bottom w:val="none" w:sz="0" w:space="0" w:color="auto"/>
            <w:right w:val="none" w:sz="0" w:space="0" w:color="auto"/>
          </w:divBdr>
          <w:divsChild>
            <w:div w:id="833105579">
              <w:marLeft w:val="0"/>
              <w:marRight w:val="0"/>
              <w:marTop w:val="0"/>
              <w:marBottom w:val="0"/>
              <w:divBdr>
                <w:top w:val="none" w:sz="0" w:space="0" w:color="auto"/>
                <w:left w:val="none" w:sz="0" w:space="0" w:color="auto"/>
                <w:bottom w:val="none" w:sz="0" w:space="0" w:color="auto"/>
                <w:right w:val="none" w:sz="0" w:space="0" w:color="auto"/>
              </w:divBdr>
              <w:divsChild>
                <w:div w:id="10822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image" Target="media/image4.tiff"/><Relationship Id="rId8" Type="http://schemas.openxmlformats.org/officeDocument/2006/relationships/image" Target="media/image5.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386</Words>
  <Characters>2206</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MCINTOSH Andrew</dc:creator>
  <cp:keywords/>
  <dc:description/>
  <cp:lastModifiedBy>MCINTOSH Andrew</cp:lastModifiedBy>
  <cp:revision>3</cp:revision>
  <dcterms:created xsi:type="dcterms:W3CDTF">2016-05-31T11:37:00Z</dcterms:created>
  <dcterms:modified xsi:type="dcterms:W3CDTF">2016-05-31T11:38:00Z</dcterms:modified>
</cp:coreProperties>
</file>