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6" w:rsidRPr="00CF36BB" w:rsidRDefault="00371E66" w:rsidP="00371E66">
      <w:pPr>
        <w:spacing w:line="480" w:lineRule="auto"/>
        <w:rPr>
          <w:b/>
        </w:rPr>
      </w:pPr>
      <w:proofErr w:type="gramStart"/>
      <w:r w:rsidRPr="00873CD2">
        <w:rPr>
          <w:rFonts w:cs="Tahoma"/>
          <w:b/>
        </w:rPr>
        <w:t xml:space="preserve">S4 </w:t>
      </w:r>
      <w:r>
        <w:rPr>
          <w:b/>
        </w:rPr>
        <w:t>Table</w:t>
      </w:r>
      <w:r w:rsidRPr="00CF36BB">
        <w:rPr>
          <w:b/>
        </w:rPr>
        <w:t>.</w:t>
      </w:r>
      <w:proofErr w:type="gramEnd"/>
      <w:r>
        <w:rPr>
          <w:b/>
        </w:rPr>
        <w:t xml:space="preserve"> </w:t>
      </w:r>
      <w:r w:rsidRPr="00AB1234">
        <w:rPr>
          <w:b/>
        </w:rPr>
        <w:t xml:space="preserve">Effectiveness of interventions for endpoints of tuberculosis treatment adherence based on adherence measures </w:t>
      </w:r>
      <w:r>
        <w:rPr>
          <w:b/>
        </w:rPr>
        <w:t xml:space="preserve">censored at the time </w:t>
      </w:r>
      <w:proofErr w:type="gramStart"/>
      <w:r>
        <w:rPr>
          <w:b/>
        </w:rPr>
        <w:t xml:space="preserve">of </w:t>
      </w:r>
      <w:r w:rsidRPr="00AB1234">
        <w:rPr>
          <w:b/>
        </w:rPr>
        <w:t xml:space="preserve"> los</w:t>
      </w:r>
      <w:r>
        <w:rPr>
          <w:b/>
        </w:rPr>
        <w:t>s</w:t>
      </w:r>
      <w:proofErr w:type="gramEnd"/>
      <w:r w:rsidRPr="00AB1234">
        <w:rPr>
          <w:b/>
        </w:rPr>
        <w:t xml:space="preserve"> to follow-up (post-hoc sensitivity analysis)</w:t>
      </w:r>
      <w:r>
        <w:rPr>
          <w:b/>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4"/>
        <w:gridCol w:w="1109"/>
        <w:gridCol w:w="1549"/>
        <w:gridCol w:w="1589"/>
        <w:gridCol w:w="108"/>
        <w:gridCol w:w="1112"/>
        <w:gridCol w:w="1637"/>
        <w:gridCol w:w="228"/>
        <w:gridCol w:w="992"/>
      </w:tblGrid>
      <w:tr w:rsidR="00371E66" w:rsidRPr="008A3022" w:rsidTr="00D4621F">
        <w:trPr>
          <w:trHeight w:val="256"/>
        </w:trPr>
        <w:tc>
          <w:tcPr>
            <w:tcW w:w="2274" w:type="dxa"/>
            <w:vMerge w:val="restart"/>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Pr>
                <w:rFonts w:cs="Calibri"/>
                <w:b/>
                <w:sz w:val="20"/>
                <w:szCs w:val="20"/>
              </w:rPr>
              <w:t>Study arm</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Number of patients</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Geometric mean of cluster level endpoint</w:t>
            </w:r>
          </w:p>
        </w:tc>
        <w:tc>
          <w:tcPr>
            <w:tcW w:w="2809" w:type="dxa"/>
            <w:gridSpan w:val="3"/>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Unadjusted analysis</w:t>
            </w:r>
          </w:p>
        </w:tc>
        <w:tc>
          <w:tcPr>
            <w:tcW w:w="2857" w:type="dxa"/>
            <w:gridSpan w:val="3"/>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Adjusted analysis</w:t>
            </w:r>
            <w:r w:rsidRPr="008A3022">
              <w:rPr>
                <w:rFonts w:cs="Tahoma"/>
                <w:vertAlign w:val="superscript"/>
              </w:rPr>
              <w:t>1</w:t>
            </w:r>
          </w:p>
        </w:tc>
      </w:tr>
      <w:tr w:rsidR="00371E66" w:rsidRPr="008A3022" w:rsidTr="00D4621F">
        <w:trPr>
          <w:trHeight w:val="231"/>
        </w:trPr>
        <w:tc>
          <w:tcPr>
            <w:tcW w:w="2274" w:type="dxa"/>
            <w:vMerge/>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i/>
                <w:sz w:val="20"/>
                <w:szCs w:val="20"/>
              </w:rPr>
            </w:pPr>
          </w:p>
        </w:tc>
        <w:tc>
          <w:tcPr>
            <w:tcW w:w="1109" w:type="dxa"/>
            <w:vMerge/>
            <w:tcBorders>
              <w:top w:val="single" w:sz="4" w:space="0" w:color="auto"/>
              <w:left w:val="single" w:sz="4" w:space="0" w:color="auto"/>
              <w:bottom w:val="single" w:sz="4" w:space="0" w:color="auto"/>
              <w:right w:val="single" w:sz="4" w:space="0" w:color="auto"/>
            </w:tcBorders>
            <w:shd w:val="clear" w:color="auto" w:fill="F2F2F2"/>
          </w:tcPr>
          <w:p w:rsidR="00371E66" w:rsidRPr="00CA2238" w:rsidRDefault="00371E66" w:rsidP="00D4621F">
            <w:pPr>
              <w:pStyle w:val="MediumGrid22"/>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cPr>
          <w:p w:rsidR="00371E66" w:rsidRPr="00CF36BB" w:rsidRDefault="00371E66" w:rsidP="00D4621F">
            <w:pPr>
              <w:pStyle w:val="MediumGrid22"/>
            </w:pPr>
          </w:p>
        </w:tc>
        <w:tc>
          <w:tcPr>
            <w:tcW w:w="1589" w:type="dxa"/>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Mean ratio</w:t>
            </w:r>
          </w:p>
          <w:p w:rsidR="00371E66" w:rsidRPr="008A3022" w:rsidRDefault="00371E66" w:rsidP="00D4621F">
            <w:pPr>
              <w:spacing w:after="0" w:line="240" w:lineRule="auto"/>
              <w:rPr>
                <w:rFonts w:cs="Calibri"/>
                <w:b/>
                <w:sz w:val="20"/>
                <w:szCs w:val="20"/>
              </w:rPr>
            </w:pPr>
            <w:r w:rsidRPr="008A3022">
              <w:rPr>
                <w:rFonts w:cs="Calibri"/>
                <w:b/>
                <w:sz w:val="20"/>
                <w:szCs w:val="20"/>
              </w:rPr>
              <w:t>(95% CI)</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p-value</w:t>
            </w:r>
          </w:p>
        </w:tc>
        <w:tc>
          <w:tcPr>
            <w:tcW w:w="1637" w:type="dxa"/>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Mean ratio</w:t>
            </w:r>
          </w:p>
          <w:p w:rsidR="00371E66" w:rsidRPr="008A3022" w:rsidRDefault="00371E66" w:rsidP="00D4621F">
            <w:pPr>
              <w:spacing w:after="0" w:line="240" w:lineRule="auto"/>
              <w:rPr>
                <w:rFonts w:cs="Calibri"/>
                <w:b/>
                <w:sz w:val="20"/>
                <w:szCs w:val="20"/>
              </w:rPr>
            </w:pPr>
            <w:r w:rsidRPr="008A3022">
              <w:rPr>
                <w:rFonts w:cs="Calibri"/>
                <w:b/>
                <w:sz w:val="20"/>
                <w:szCs w:val="20"/>
              </w:rPr>
              <w:t>(95% CI)</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2F2F2"/>
          </w:tcPr>
          <w:p w:rsidR="00371E66" w:rsidRPr="008A3022" w:rsidRDefault="00371E66" w:rsidP="00D4621F">
            <w:pPr>
              <w:spacing w:after="0" w:line="240" w:lineRule="auto"/>
              <w:rPr>
                <w:rFonts w:cs="Calibri"/>
                <w:b/>
                <w:sz w:val="20"/>
                <w:szCs w:val="20"/>
              </w:rPr>
            </w:pPr>
            <w:r w:rsidRPr="008A3022">
              <w:rPr>
                <w:rFonts w:cs="Calibri"/>
                <w:b/>
                <w:sz w:val="20"/>
                <w:szCs w:val="20"/>
              </w:rPr>
              <w:t>p-value</w:t>
            </w:r>
          </w:p>
        </w:tc>
      </w:tr>
      <w:tr w:rsidR="00371E66" w:rsidRPr="008A3022" w:rsidTr="00D4621F">
        <w:tc>
          <w:tcPr>
            <w:tcW w:w="10598" w:type="dxa"/>
            <w:gridSpan w:val="9"/>
            <w:tcBorders>
              <w:top w:val="single" w:sz="4" w:space="0" w:color="auto"/>
              <w:left w:val="single" w:sz="4" w:space="0" w:color="auto"/>
              <w:bottom w:val="single" w:sz="4" w:space="0" w:color="auto"/>
              <w:right w:val="single" w:sz="4" w:space="0" w:color="auto"/>
            </w:tcBorders>
            <w:shd w:val="clear" w:color="auto" w:fill="D9D9D9"/>
          </w:tcPr>
          <w:p w:rsidR="00371E66" w:rsidRPr="008A3022" w:rsidRDefault="00371E66" w:rsidP="00D4621F">
            <w:pPr>
              <w:spacing w:after="0" w:line="240" w:lineRule="auto"/>
              <w:rPr>
                <w:rFonts w:cs="Calibri"/>
                <w:b/>
                <w:sz w:val="20"/>
                <w:szCs w:val="20"/>
              </w:rPr>
            </w:pPr>
            <w:r w:rsidRPr="008A3022">
              <w:rPr>
                <w:rFonts w:cs="Calibri"/>
                <w:b/>
                <w:sz w:val="20"/>
                <w:szCs w:val="20"/>
              </w:rPr>
              <w:t>Primary endpoint – Percentage of months with at least 3/15 doses missed</w:t>
            </w:r>
            <w:r w:rsidRPr="00031811">
              <w:rPr>
                <w:rFonts w:cs="Calibri"/>
                <w:b/>
                <w:sz w:val="20"/>
                <w:szCs w:val="20"/>
                <w:vertAlign w:val="superscript"/>
              </w:rPr>
              <w:t>2</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Control</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1076</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25.4%</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111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99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Pr>
                <w:rFonts w:cs="Calibri"/>
                <w:i/>
                <w:sz w:val="20"/>
                <w:szCs w:val="20"/>
              </w:rPr>
              <w:t>Text messaging</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984</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24.7%</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0.97 (0.71, 1.34)</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0.865</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1.00 (0.74, 1.34)</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0.979</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Medication monitor</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978</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13.7%</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0.54 (0.39, 0.75)</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0.001</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0.55 (0.41, 0.75)</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0.001</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 xml:space="preserve">Combined </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1032</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9.0%</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0.36 (0.18, 0.72)</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0.007</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0.38 (0.19, 0.73)</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0.007</w:t>
            </w:r>
          </w:p>
        </w:tc>
      </w:tr>
      <w:tr w:rsidR="00371E66" w:rsidRPr="008A3022" w:rsidTr="00D4621F">
        <w:tc>
          <w:tcPr>
            <w:tcW w:w="10598" w:type="dxa"/>
            <w:gridSpan w:val="9"/>
            <w:tcBorders>
              <w:top w:val="single" w:sz="4" w:space="0" w:color="auto"/>
              <w:left w:val="single" w:sz="4" w:space="0" w:color="auto"/>
              <w:bottom w:val="single" w:sz="4" w:space="0" w:color="auto"/>
              <w:right w:val="single" w:sz="4" w:space="0" w:color="auto"/>
            </w:tcBorders>
            <w:shd w:val="clear" w:color="auto" w:fill="D9D9D9"/>
          </w:tcPr>
          <w:p w:rsidR="00371E66" w:rsidRPr="008A3022" w:rsidRDefault="00371E66" w:rsidP="00D4621F">
            <w:pPr>
              <w:spacing w:after="0" w:line="240" w:lineRule="auto"/>
              <w:rPr>
                <w:rFonts w:cs="Calibri"/>
                <w:b/>
                <w:sz w:val="20"/>
                <w:szCs w:val="20"/>
              </w:rPr>
            </w:pPr>
            <w:r w:rsidRPr="008A3022">
              <w:rPr>
                <w:rFonts w:cs="Calibri"/>
                <w:b/>
                <w:sz w:val="20"/>
                <w:szCs w:val="20"/>
              </w:rPr>
              <w:t>Percentage of months with at least 7/15 doses missed</w:t>
            </w:r>
            <w:r w:rsidRPr="00031811">
              <w:rPr>
                <w:rFonts w:cs="Calibri"/>
                <w:b/>
                <w:sz w:val="20"/>
                <w:szCs w:val="20"/>
                <w:vertAlign w:val="superscript"/>
              </w:rPr>
              <w:t>2</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Control</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1076</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12.9%</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111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99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Pr>
                <w:rFonts w:cs="Calibri"/>
                <w:i/>
                <w:sz w:val="20"/>
                <w:szCs w:val="20"/>
              </w:rPr>
              <w:t>Text messaging</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984</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14.8%</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1.15 (0.75, 1.76)</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0.487</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1.16 (0.77, 1.73)</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0.453</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Medication monitor</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978</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7.5%</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0.58 (0.37, 0.92)</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0.025</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0.59 (0.38, 0.91)</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0.021</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 xml:space="preserve">Combined </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1032</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4.5%</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0.35 (0.16, 0.74)</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0.010</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0.38 (0.19, 0.78)</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0.012</w:t>
            </w:r>
          </w:p>
        </w:tc>
      </w:tr>
      <w:tr w:rsidR="00371E66" w:rsidRPr="008A3022" w:rsidTr="00D4621F">
        <w:tc>
          <w:tcPr>
            <w:tcW w:w="10598" w:type="dxa"/>
            <w:gridSpan w:val="9"/>
            <w:tcBorders>
              <w:top w:val="single" w:sz="4" w:space="0" w:color="auto"/>
              <w:left w:val="single" w:sz="4" w:space="0" w:color="auto"/>
              <w:bottom w:val="single" w:sz="4" w:space="0" w:color="auto"/>
              <w:right w:val="single" w:sz="4" w:space="0" w:color="auto"/>
            </w:tcBorders>
            <w:shd w:val="clear" w:color="auto" w:fill="D9D9D9"/>
          </w:tcPr>
          <w:p w:rsidR="00371E66" w:rsidRPr="008A3022" w:rsidRDefault="00371E66" w:rsidP="00D4621F">
            <w:pPr>
              <w:spacing w:after="0" w:line="240" w:lineRule="auto"/>
              <w:rPr>
                <w:rFonts w:cs="Calibri"/>
                <w:b/>
                <w:sz w:val="20"/>
                <w:szCs w:val="20"/>
              </w:rPr>
            </w:pPr>
            <w:r w:rsidRPr="008A3022">
              <w:rPr>
                <w:rFonts w:cs="Calibri"/>
                <w:b/>
                <w:sz w:val="20"/>
                <w:szCs w:val="20"/>
              </w:rPr>
              <w:t>Percentage of total doses missed</w:t>
            </w:r>
            <w:r w:rsidRPr="00031811">
              <w:rPr>
                <w:rFonts w:cs="Calibri"/>
                <w:b/>
                <w:sz w:val="20"/>
                <w:szCs w:val="20"/>
                <w:vertAlign w:val="superscript"/>
              </w:rPr>
              <w:t>2</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Control</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1076</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17.0%</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111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99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Pr>
                <w:rFonts w:cs="Calibri"/>
                <w:i/>
                <w:sz w:val="20"/>
                <w:szCs w:val="20"/>
              </w:rPr>
              <w:t>Text messaging</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984</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17.9%</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1.05 (0.76, 1.46)</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0.748</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1.06 (0.78, 1.45)</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0.671</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Medication monitor</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978</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0.60 (0.43, 0.84)</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0.005</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0.61 (0.45, 0.82)</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0.003</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 xml:space="preserve">Combined </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1032</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6.5%</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0.38 (0.19, 0.78)</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0.012</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0.41 (0.21, 0.80)</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0.013</w:t>
            </w:r>
          </w:p>
        </w:tc>
      </w:tr>
      <w:tr w:rsidR="00371E66" w:rsidRPr="008A3022" w:rsidTr="00D4621F">
        <w:tc>
          <w:tcPr>
            <w:tcW w:w="10598" w:type="dxa"/>
            <w:gridSpan w:val="9"/>
            <w:tcBorders>
              <w:top w:val="single" w:sz="4" w:space="0" w:color="auto"/>
              <w:left w:val="single" w:sz="4" w:space="0" w:color="auto"/>
              <w:bottom w:val="single" w:sz="4" w:space="0" w:color="auto"/>
              <w:right w:val="single" w:sz="4" w:space="0" w:color="auto"/>
            </w:tcBorders>
            <w:shd w:val="clear" w:color="auto" w:fill="D9D9D9"/>
          </w:tcPr>
          <w:p w:rsidR="00371E66" w:rsidRPr="008A3022" w:rsidRDefault="00371E66" w:rsidP="00D4621F">
            <w:pPr>
              <w:spacing w:after="0" w:line="240" w:lineRule="auto"/>
              <w:rPr>
                <w:rFonts w:cs="Calibri"/>
                <w:b/>
                <w:sz w:val="20"/>
                <w:szCs w:val="20"/>
              </w:rPr>
            </w:pPr>
            <w:r>
              <w:rPr>
                <w:rFonts w:cs="Calibri"/>
                <w:b/>
                <w:sz w:val="20"/>
                <w:szCs w:val="20"/>
              </w:rPr>
              <w:t xml:space="preserve">At least 10% of </w:t>
            </w:r>
            <w:r w:rsidRPr="008A3022">
              <w:rPr>
                <w:rFonts w:cs="Calibri"/>
                <w:b/>
                <w:sz w:val="20"/>
                <w:szCs w:val="20"/>
              </w:rPr>
              <w:t>total doses missed</w:t>
            </w:r>
            <w:r w:rsidRPr="00031811">
              <w:rPr>
                <w:rFonts w:cs="Calibri"/>
                <w:b/>
                <w:sz w:val="20"/>
                <w:szCs w:val="20"/>
                <w:vertAlign w:val="superscript"/>
              </w:rPr>
              <w:t>2</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Control</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1076</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52.0%</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111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99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Pr>
                <w:rFonts w:cs="Calibri"/>
                <w:i/>
                <w:sz w:val="20"/>
                <w:szCs w:val="20"/>
              </w:rPr>
              <w:t>Text messaging</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984</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52.1%</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1.00 (0.77, 1.31)</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0.989</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1.02 (0.79, 1.30)</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0.899</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Medication monitor</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978</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34.3%</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0.66 (0.49, 0.89)</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0.009</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0.65 (0.49, 0.87)</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0.006</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 xml:space="preserve">Combined </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1032</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24.9%</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0.48 (0.25, 0.93)</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0.033</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0.50 (0.27, 0.94)</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0.033</w:t>
            </w:r>
          </w:p>
        </w:tc>
      </w:tr>
      <w:tr w:rsidR="00371E66" w:rsidRPr="008A3022" w:rsidTr="00D4621F">
        <w:tc>
          <w:tcPr>
            <w:tcW w:w="10598" w:type="dxa"/>
            <w:gridSpan w:val="9"/>
            <w:tcBorders>
              <w:top w:val="single" w:sz="4" w:space="0" w:color="auto"/>
              <w:left w:val="single" w:sz="4" w:space="0" w:color="auto"/>
              <w:bottom w:val="single" w:sz="4" w:space="0" w:color="auto"/>
              <w:right w:val="single" w:sz="4" w:space="0" w:color="auto"/>
            </w:tcBorders>
            <w:shd w:val="clear" w:color="auto" w:fill="D9D9D9"/>
          </w:tcPr>
          <w:p w:rsidR="00371E66" w:rsidRPr="008A3022" w:rsidRDefault="00371E66" w:rsidP="00D4621F">
            <w:pPr>
              <w:spacing w:after="0" w:line="240" w:lineRule="auto"/>
              <w:rPr>
                <w:rFonts w:cs="Calibri"/>
                <w:b/>
                <w:sz w:val="20"/>
                <w:szCs w:val="20"/>
              </w:rPr>
            </w:pPr>
            <w:r w:rsidRPr="008A3022">
              <w:rPr>
                <w:rFonts w:cs="Calibri"/>
                <w:b/>
                <w:sz w:val="20"/>
                <w:szCs w:val="20"/>
              </w:rPr>
              <w:t>Percentage of months with at least 3/15 doses missed (</w:t>
            </w:r>
            <w:r>
              <w:rPr>
                <w:rFonts w:cs="Calibri"/>
                <w:b/>
                <w:sz w:val="20"/>
                <w:szCs w:val="20"/>
              </w:rPr>
              <w:t xml:space="preserve">using </w:t>
            </w:r>
            <w:r w:rsidRPr="008A3022">
              <w:rPr>
                <w:rFonts w:cs="Calibri"/>
                <w:b/>
                <w:sz w:val="20"/>
                <w:szCs w:val="20"/>
              </w:rPr>
              <w:t>pill count</w:t>
            </w:r>
            <w:r>
              <w:rPr>
                <w:rFonts w:cs="Calibri"/>
                <w:b/>
                <w:sz w:val="20"/>
                <w:szCs w:val="20"/>
              </w:rPr>
              <w:t xml:space="preserve"> only</w:t>
            </w:r>
            <w:r w:rsidRPr="008A3022">
              <w:rPr>
                <w:rFonts w:cs="Calibri"/>
                <w:b/>
                <w:sz w:val="20"/>
                <w:szCs w:val="20"/>
              </w:rPr>
              <w:t>)</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Control</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1076</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3.5%</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111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w:t>
            </w:r>
          </w:p>
        </w:tc>
        <w:tc>
          <w:tcPr>
            <w:tcW w:w="992" w:type="dxa"/>
            <w:tcBorders>
              <w:top w:val="single" w:sz="4" w:space="0" w:color="auto"/>
              <w:left w:val="single" w:sz="4" w:space="0" w:color="auto"/>
              <w:bottom w:val="single" w:sz="4" w:space="0" w:color="auto"/>
              <w:right w:val="single" w:sz="4" w:space="0" w:color="auto"/>
            </w:tcBorders>
          </w:tcPr>
          <w:p w:rsidR="00371E66" w:rsidRDefault="00371E66" w:rsidP="00D4621F">
            <w:pPr>
              <w:pStyle w:val="MediumGrid22"/>
              <w:rPr>
                <w:rFonts w:cs="Calibri"/>
                <w:color w:val="000000"/>
              </w:rPr>
            </w:pPr>
            <w:r>
              <w:rPr>
                <w:rFonts w:cs="Calibri"/>
                <w:color w:val="000000"/>
              </w:rPr>
              <w:t> </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Pr>
                <w:rFonts w:cs="Calibri"/>
                <w:i/>
                <w:sz w:val="20"/>
                <w:szCs w:val="20"/>
              </w:rPr>
              <w:t>Text messaging</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984</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1.2%</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0.33 (0.15, 0.76)</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0.012</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0.33 (0.14, 0.75)</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0.012</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Medication monitor</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978</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1.6%</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0.46 (0.23, 0.95)</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0.036</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0.42 (0.18, 0.96)</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0.041</w:t>
            </w:r>
          </w:p>
        </w:tc>
      </w:tr>
      <w:tr w:rsidR="00371E66" w:rsidRPr="008A3022" w:rsidTr="00D4621F">
        <w:tc>
          <w:tcPr>
            <w:tcW w:w="2274" w:type="dxa"/>
            <w:tcBorders>
              <w:top w:val="single" w:sz="4" w:space="0" w:color="auto"/>
              <w:left w:val="single" w:sz="4" w:space="0" w:color="auto"/>
              <w:bottom w:val="single" w:sz="4" w:space="0" w:color="auto"/>
              <w:right w:val="single" w:sz="4" w:space="0" w:color="auto"/>
            </w:tcBorders>
          </w:tcPr>
          <w:p w:rsidR="00371E66" w:rsidRPr="008A3022" w:rsidRDefault="00371E66" w:rsidP="00D4621F">
            <w:pPr>
              <w:spacing w:after="0" w:line="240" w:lineRule="auto"/>
              <w:rPr>
                <w:rFonts w:cs="Calibri"/>
                <w:i/>
                <w:sz w:val="20"/>
                <w:szCs w:val="20"/>
              </w:rPr>
            </w:pPr>
            <w:r w:rsidRPr="008A3022">
              <w:rPr>
                <w:rFonts w:cs="Calibri"/>
                <w:i/>
                <w:sz w:val="20"/>
                <w:szCs w:val="20"/>
              </w:rPr>
              <w:t xml:space="preserve">Combined </w:t>
            </w:r>
          </w:p>
        </w:tc>
        <w:tc>
          <w:tcPr>
            <w:tcW w:w="110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1032</w:t>
            </w:r>
          </w:p>
        </w:tc>
        <w:tc>
          <w:tcPr>
            <w:tcW w:w="1549"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1.1%</w:t>
            </w:r>
          </w:p>
        </w:tc>
        <w:tc>
          <w:tcPr>
            <w:tcW w:w="1697"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0.32 (0.15, 0.68)</w:t>
            </w:r>
          </w:p>
        </w:tc>
        <w:tc>
          <w:tcPr>
            <w:tcW w:w="111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0.006</w:t>
            </w:r>
          </w:p>
        </w:tc>
        <w:tc>
          <w:tcPr>
            <w:tcW w:w="1865" w:type="dxa"/>
            <w:gridSpan w:val="2"/>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0.24 (0.10, 0.62)</w:t>
            </w:r>
          </w:p>
        </w:tc>
        <w:tc>
          <w:tcPr>
            <w:tcW w:w="992" w:type="dxa"/>
            <w:tcBorders>
              <w:top w:val="single" w:sz="4" w:space="0" w:color="auto"/>
              <w:left w:val="single" w:sz="4" w:space="0" w:color="auto"/>
              <w:bottom w:val="single" w:sz="4" w:space="0" w:color="auto"/>
              <w:right w:val="single" w:sz="4" w:space="0" w:color="auto"/>
            </w:tcBorders>
          </w:tcPr>
          <w:p w:rsidR="00371E66" w:rsidRPr="00540E38" w:rsidRDefault="00371E66" w:rsidP="00D4621F">
            <w:pPr>
              <w:pStyle w:val="MediumGrid22"/>
            </w:pPr>
            <w:r>
              <w:rPr>
                <w:rFonts w:cs="Calibri"/>
                <w:color w:val="000000"/>
              </w:rPr>
              <w:t>0.006</w:t>
            </w:r>
          </w:p>
        </w:tc>
      </w:tr>
    </w:tbl>
    <w:p w:rsidR="00371E66" w:rsidRDefault="00371E66" w:rsidP="00371E66">
      <w:pPr>
        <w:rPr>
          <w:rFonts w:cs="Tahoma"/>
          <w:sz w:val="20"/>
          <w:szCs w:val="20"/>
        </w:rPr>
      </w:pPr>
      <w:r w:rsidRPr="005E3994">
        <w:rPr>
          <w:rFonts w:cs="Tahoma"/>
          <w:sz w:val="20"/>
          <w:szCs w:val="20"/>
        </w:rPr>
        <w:lastRenderedPageBreak/>
        <w:t>CI=confidence interval;</w:t>
      </w:r>
    </w:p>
    <w:p w:rsidR="00371E66" w:rsidRDefault="00371E66" w:rsidP="00371E66">
      <w:pPr>
        <w:rPr>
          <w:rFonts w:cs="Tahoma"/>
          <w:sz w:val="20"/>
          <w:szCs w:val="20"/>
        </w:rPr>
      </w:pPr>
      <w:r w:rsidRPr="005E3994">
        <w:rPr>
          <w:rFonts w:cs="Tahoma"/>
          <w:sz w:val="20"/>
          <w:szCs w:val="20"/>
          <w:vertAlign w:val="superscript"/>
        </w:rPr>
        <w:t>1</w:t>
      </w:r>
      <w:r w:rsidRPr="005E3994">
        <w:rPr>
          <w:rFonts w:cs="Tahoma"/>
          <w:sz w:val="20"/>
          <w:szCs w:val="20"/>
        </w:rPr>
        <w:t xml:space="preserve"> adjusted for individual level variables of gender, age category, occupation, living in household registration place or not, distance from nearest TB clinic, education level, income category, smear result at start of treatment and cluster level variable of pre-randomisation strata (rural/urban).</w:t>
      </w:r>
    </w:p>
    <w:p w:rsidR="00371E66" w:rsidRPr="005E3994" w:rsidRDefault="00371E66" w:rsidP="00371E66">
      <w:pPr>
        <w:rPr>
          <w:rFonts w:cs="Tahoma"/>
          <w:sz w:val="20"/>
          <w:szCs w:val="20"/>
        </w:rPr>
      </w:pPr>
      <w:r w:rsidRPr="005E3994">
        <w:rPr>
          <w:rFonts w:cs="Tahoma"/>
          <w:sz w:val="20"/>
          <w:szCs w:val="20"/>
          <w:vertAlign w:val="superscript"/>
        </w:rPr>
        <w:t xml:space="preserve">2 </w:t>
      </w:r>
      <w:r>
        <w:rPr>
          <w:rFonts w:cs="Tahoma"/>
          <w:sz w:val="20"/>
          <w:szCs w:val="20"/>
        </w:rPr>
        <w:t>doses missed based on the larger of missed doses</w:t>
      </w:r>
      <w:r w:rsidRPr="00B01C2E">
        <w:rPr>
          <w:rFonts w:cs="Tahoma"/>
          <w:sz w:val="20"/>
          <w:szCs w:val="20"/>
        </w:rPr>
        <w:t xml:space="preserve"> (1) </w:t>
      </w:r>
      <w:r>
        <w:rPr>
          <w:rFonts w:cs="Tahoma"/>
          <w:sz w:val="20"/>
          <w:szCs w:val="20"/>
        </w:rPr>
        <w:t xml:space="preserve">using pill </w:t>
      </w:r>
      <w:r w:rsidRPr="00B01C2E">
        <w:rPr>
          <w:rFonts w:cs="Tahoma"/>
          <w:sz w:val="20"/>
          <w:szCs w:val="20"/>
        </w:rPr>
        <w:t>count, or (2) from the number of failures to open medication monitor.</w:t>
      </w:r>
    </w:p>
    <w:p w:rsidR="00592480" w:rsidRDefault="00592480"/>
    <w:sectPr w:rsidR="00592480" w:rsidSect="00371E66">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E66"/>
    <w:rsid w:val="00371E66"/>
    <w:rsid w:val="00592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66"/>
    <w:rPr>
      <w:rFonts w:ascii="Calibri" w:eastAsia="SimSu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qFormat/>
    <w:rsid w:val="00371E6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Company>London School of Hygiene &amp; Tropical Medicine</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Fielding</dc:creator>
  <cp:lastModifiedBy>Katherine Fielding</cp:lastModifiedBy>
  <cp:revision>1</cp:revision>
  <dcterms:created xsi:type="dcterms:W3CDTF">2015-07-01T17:42:00Z</dcterms:created>
  <dcterms:modified xsi:type="dcterms:W3CDTF">2015-07-01T17:43:00Z</dcterms:modified>
</cp:coreProperties>
</file>