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F4A5" w14:textId="6E942913" w:rsidR="00EC4E6A" w:rsidRPr="00770938" w:rsidRDefault="002F0A43" w:rsidP="00770938">
      <w:pPr>
        <w:pStyle w:val="Heading1"/>
        <w:rPr>
          <w:rFonts w:eastAsia="Times New Roman"/>
          <w:b/>
          <w:bCs/>
          <w:color w:val="000000" w:themeColor="text1"/>
          <w:sz w:val="36"/>
          <w:szCs w:val="36"/>
          <w:lang w:eastAsia="en-ID"/>
        </w:rPr>
      </w:pPr>
      <w:r w:rsidRPr="00BF4D58">
        <w:rPr>
          <w:rFonts w:eastAsia="Times New Roman"/>
          <w:b/>
          <w:bCs/>
          <w:color w:val="000000" w:themeColor="text1"/>
          <w:sz w:val="36"/>
          <w:szCs w:val="36"/>
          <w:lang w:eastAsia="en-ID"/>
        </w:rPr>
        <w:t>Supporting Information</w:t>
      </w:r>
    </w:p>
    <w:p w14:paraId="0CA08F5D" w14:textId="77777777" w:rsidR="00EC4E6A" w:rsidRPr="00212935" w:rsidRDefault="00EC4E6A" w:rsidP="002F0A43">
      <w:pPr>
        <w:spacing w:after="0" w:line="240" w:lineRule="auto"/>
        <w:rPr>
          <w:sz w:val="18"/>
          <w:szCs w:val="18"/>
        </w:rPr>
      </w:pPr>
    </w:p>
    <w:p w14:paraId="258CE372" w14:textId="043D9199" w:rsidR="004942EB" w:rsidRDefault="004942EB" w:rsidP="004942EB">
      <w:pPr>
        <w:spacing w:after="0" w:line="240" w:lineRule="auto"/>
        <w:rPr>
          <w:b/>
          <w:bCs/>
          <w:color w:val="000000" w:themeColor="text1"/>
        </w:rPr>
      </w:pPr>
      <w:r w:rsidRPr="003B56F7">
        <w:rPr>
          <w:b/>
          <w:bCs/>
          <w:color w:val="000000" w:themeColor="text1"/>
        </w:rPr>
        <w:t xml:space="preserve">S3 Table. </w:t>
      </w:r>
      <w:r w:rsidR="00EA76D3" w:rsidRPr="003B56F7">
        <w:rPr>
          <w:b/>
          <w:bCs/>
          <w:color w:val="000000" w:themeColor="text1"/>
        </w:rPr>
        <w:t>Marginal</w:t>
      </w:r>
      <w:r w:rsidR="00EA76D3">
        <w:rPr>
          <w:b/>
          <w:bCs/>
          <w:color w:val="000000" w:themeColor="text1"/>
        </w:rPr>
        <w:t xml:space="preserve"> Results</w:t>
      </w:r>
      <w:r w:rsidR="009F7028">
        <w:rPr>
          <w:b/>
          <w:bCs/>
          <w:color w:val="000000" w:themeColor="text1"/>
        </w:rPr>
        <w:t xml:space="preserve"> by</w:t>
      </w:r>
      <w:r w:rsidR="00EA76D3">
        <w:rPr>
          <w:b/>
          <w:bCs/>
          <w:color w:val="000000" w:themeColor="text1"/>
        </w:rPr>
        <w:t xml:space="preserve"> Key Variables</w:t>
      </w: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3045"/>
        <w:gridCol w:w="2337"/>
        <w:gridCol w:w="2338"/>
        <w:gridCol w:w="2338"/>
      </w:tblGrid>
      <w:tr w:rsidR="004942EB" w:rsidRPr="00D11865" w14:paraId="3AB421BF" w14:textId="77777777" w:rsidTr="003435B0">
        <w:tc>
          <w:tcPr>
            <w:tcW w:w="3045" w:type="dxa"/>
            <w:vAlign w:val="center"/>
          </w:tcPr>
          <w:p w14:paraId="027848AA" w14:textId="71B66985" w:rsidR="004942EB" w:rsidRPr="00D11865" w:rsidRDefault="004942EB" w:rsidP="001962F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b/>
                <w:bCs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337" w:type="dxa"/>
            <w:vAlign w:val="center"/>
          </w:tcPr>
          <w:p w14:paraId="5B886352" w14:textId="3434E2F0" w:rsidR="004942EB" w:rsidRPr="00EA76D3" w:rsidRDefault="004942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Part I-                                    Probability of Positive OOP </w:t>
            </w:r>
            <w:proofErr w:type="spellStart"/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Expenditure</w:t>
            </w:r>
            <w:r w:rsidR="00AE0F2F" w:rsidRPr="00AE0F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ID" w:eastAsia="en-ID"/>
              </w:rPr>
              <w:t>a</w:t>
            </w:r>
            <w:proofErr w:type="spellEnd"/>
            <w:r w:rsidR="00EA7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ID" w:eastAsia="en-ID"/>
              </w:rPr>
              <w:t xml:space="preserve"> </w:t>
            </w:r>
            <w:r w:rsidR="00EA7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(%)</w:t>
            </w:r>
          </w:p>
        </w:tc>
        <w:tc>
          <w:tcPr>
            <w:tcW w:w="2338" w:type="dxa"/>
            <w:vAlign w:val="center"/>
          </w:tcPr>
          <w:p w14:paraId="0733F146" w14:textId="1AC74981" w:rsidR="004942EB" w:rsidRPr="00D11865" w:rsidRDefault="004942EB" w:rsidP="00D118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Conditional Part II-</w:t>
            </w:r>
          </w:p>
          <w:p w14:paraId="1A5723A8" w14:textId="79E43CD1" w:rsidR="004942EB" w:rsidRPr="00D11865" w:rsidRDefault="004942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Average OOP Expenditure</w:t>
            </w:r>
            <w:r w:rsidR="00282F1B"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(IDR)</w:t>
            </w:r>
            <w:r w:rsidR="00AE0F2F" w:rsidRPr="00AE0F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ID" w:eastAsia="en-ID"/>
              </w:rPr>
              <w:t>b</w:t>
            </w:r>
          </w:p>
        </w:tc>
        <w:tc>
          <w:tcPr>
            <w:tcW w:w="2338" w:type="dxa"/>
            <w:vAlign w:val="center"/>
          </w:tcPr>
          <w:p w14:paraId="58EA9F6E" w14:textId="6A5BA96F" w:rsidR="004942EB" w:rsidRPr="00D11865" w:rsidRDefault="004942EB" w:rsidP="00D118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Unconditional Part II-</w:t>
            </w:r>
          </w:p>
          <w:p w14:paraId="1BFFAD9D" w14:textId="43FE1450" w:rsidR="004942EB" w:rsidRPr="00D11865" w:rsidRDefault="004942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Average OOP Expenditure</w:t>
            </w:r>
            <w:r w:rsidR="00282F1B"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(IDR)</w:t>
            </w:r>
            <w:r w:rsidR="00AE0F2F" w:rsidRPr="00AE0F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ID" w:eastAsia="en-ID"/>
              </w:rPr>
              <w:t>c</w:t>
            </w:r>
          </w:p>
        </w:tc>
      </w:tr>
      <w:tr w:rsidR="003C3307" w:rsidRPr="00D11865" w14:paraId="3655E182" w14:textId="77777777" w:rsidTr="005A08CA">
        <w:tc>
          <w:tcPr>
            <w:tcW w:w="10058" w:type="dxa"/>
            <w:gridSpan w:val="4"/>
            <w:vAlign w:val="bottom"/>
          </w:tcPr>
          <w:p w14:paraId="6671C9C1" w14:textId="10850799" w:rsidR="003C3307" w:rsidRPr="00D11865" w:rsidRDefault="003C3307" w:rsidP="003C33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Insurance type</w:t>
            </w:r>
            <w:r w:rsidR="00C86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</w:t>
            </w:r>
          </w:p>
        </w:tc>
      </w:tr>
      <w:tr w:rsidR="005C19EB" w:rsidRPr="00D11865" w14:paraId="31E8B3BC" w14:textId="77777777" w:rsidTr="003435B0">
        <w:tc>
          <w:tcPr>
            <w:tcW w:w="3045" w:type="dxa"/>
            <w:vAlign w:val="bottom"/>
          </w:tcPr>
          <w:p w14:paraId="17B8FD63" w14:textId="2F0AF507" w:rsidR="005C19EB" w:rsidRPr="00D11865" w:rsidRDefault="005C19EB" w:rsidP="005C19EB">
            <w:pPr>
              <w:tabs>
                <w:tab w:val="left" w:pos="17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   No insurance</w:t>
            </w:r>
          </w:p>
        </w:tc>
        <w:tc>
          <w:tcPr>
            <w:tcW w:w="2337" w:type="dxa"/>
          </w:tcPr>
          <w:p w14:paraId="2EDD8B8B" w14:textId="34B6EA55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0.733</w:t>
            </w:r>
          </w:p>
        </w:tc>
        <w:tc>
          <w:tcPr>
            <w:tcW w:w="2338" w:type="dxa"/>
          </w:tcPr>
          <w:p w14:paraId="043F1F67" w14:textId="23E61BDE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1,420,242</w:t>
            </w:r>
          </w:p>
        </w:tc>
        <w:tc>
          <w:tcPr>
            <w:tcW w:w="2338" w:type="dxa"/>
          </w:tcPr>
          <w:p w14:paraId="04A465F9" w14:textId="07C0FF2D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1,041,037</w:t>
            </w:r>
          </w:p>
        </w:tc>
      </w:tr>
      <w:tr w:rsidR="005C19EB" w:rsidRPr="00D11865" w14:paraId="19B8CBC4" w14:textId="77777777" w:rsidTr="003435B0">
        <w:tc>
          <w:tcPr>
            <w:tcW w:w="3045" w:type="dxa"/>
            <w:vAlign w:val="bottom"/>
          </w:tcPr>
          <w:p w14:paraId="47440891" w14:textId="701B5A95" w:rsidR="005C19EB" w:rsidRPr="00D11865" w:rsidRDefault="005C19EB" w:rsidP="005C19E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   JKN only</w:t>
            </w:r>
          </w:p>
        </w:tc>
        <w:tc>
          <w:tcPr>
            <w:tcW w:w="2337" w:type="dxa"/>
          </w:tcPr>
          <w:p w14:paraId="18097147" w14:textId="68487F64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0.663</w:t>
            </w:r>
          </w:p>
        </w:tc>
        <w:tc>
          <w:tcPr>
            <w:tcW w:w="2338" w:type="dxa"/>
          </w:tcPr>
          <w:p w14:paraId="3D4B7906" w14:textId="26D0BFB5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960,350</w:t>
            </w:r>
          </w:p>
        </w:tc>
        <w:tc>
          <w:tcPr>
            <w:tcW w:w="2338" w:type="dxa"/>
          </w:tcPr>
          <w:p w14:paraId="136EB8EB" w14:textId="7C51E9E0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636,712</w:t>
            </w:r>
          </w:p>
        </w:tc>
      </w:tr>
      <w:tr w:rsidR="005C19EB" w:rsidRPr="00D11865" w14:paraId="0C86CDEB" w14:textId="77777777" w:rsidTr="003435B0">
        <w:tc>
          <w:tcPr>
            <w:tcW w:w="3045" w:type="dxa"/>
            <w:vAlign w:val="bottom"/>
          </w:tcPr>
          <w:p w14:paraId="616DE11D" w14:textId="646EF732" w:rsidR="005C19EB" w:rsidRPr="00D11865" w:rsidRDefault="005C19EB" w:rsidP="005C19E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   Private &amp; Mixed</w:t>
            </w:r>
          </w:p>
        </w:tc>
        <w:tc>
          <w:tcPr>
            <w:tcW w:w="2337" w:type="dxa"/>
          </w:tcPr>
          <w:p w14:paraId="4F61F73E" w14:textId="404C083A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0.704</w:t>
            </w:r>
          </w:p>
        </w:tc>
        <w:tc>
          <w:tcPr>
            <w:tcW w:w="2338" w:type="dxa"/>
          </w:tcPr>
          <w:p w14:paraId="7C56D9F7" w14:textId="4F3F30A7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1,042,686</w:t>
            </w:r>
          </w:p>
        </w:tc>
        <w:tc>
          <w:tcPr>
            <w:tcW w:w="2338" w:type="dxa"/>
          </w:tcPr>
          <w:p w14:paraId="2AF4CDC5" w14:textId="1E44F994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734</w:t>
            </w:r>
            <w:r w:rsidR="00AE0F2F">
              <w:rPr>
                <w:sz w:val="20"/>
                <w:szCs w:val="20"/>
              </w:rPr>
              <w:t>,</w:t>
            </w:r>
            <w:r w:rsidRPr="00D11865">
              <w:rPr>
                <w:sz w:val="20"/>
                <w:szCs w:val="20"/>
              </w:rPr>
              <w:t>050</w:t>
            </w:r>
          </w:p>
        </w:tc>
      </w:tr>
      <w:tr w:rsidR="003C3307" w:rsidRPr="00D11865" w14:paraId="198280DA" w14:textId="77777777" w:rsidTr="001F1FBF">
        <w:tc>
          <w:tcPr>
            <w:tcW w:w="10058" w:type="dxa"/>
            <w:gridSpan w:val="4"/>
            <w:vAlign w:val="bottom"/>
          </w:tcPr>
          <w:p w14:paraId="6A3BF713" w14:textId="5A8140F6" w:rsidR="003C3307" w:rsidRPr="00D11865" w:rsidRDefault="003C3307" w:rsidP="003C33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Insurance &amp; Wealth Quintiles</w:t>
            </w:r>
            <w:r w:rsidR="00C86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</w:t>
            </w:r>
          </w:p>
        </w:tc>
      </w:tr>
      <w:tr w:rsidR="005C19EB" w:rsidRPr="00D11865" w14:paraId="1E53FABF" w14:textId="77777777" w:rsidTr="003435B0">
        <w:tc>
          <w:tcPr>
            <w:tcW w:w="3045" w:type="dxa"/>
            <w:vAlign w:val="bottom"/>
          </w:tcPr>
          <w:p w14:paraId="5EB0D291" w14:textId="07839F33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No insurance - 1st </w:t>
            </w:r>
          </w:p>
        </w:tc>
        <w:tc>
          <w:tcPr>
            <w:tcW w:w="2337" w:type="dxa"/>
          </w:tcPr>
          <w:p w14:paraId="408AE2CA" w14:textId="61C43FE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0.689</w:t>
            </w:r>
          </w:p>
        </w:tc>
        <w:tc>
          <w:tcPr>
            <w:tcW w:w="2338" w:type="dxa"/>
          </w:tcPr>
          <w:p w14:paraId="2B2B26A4" w14:textId="4696D83E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416,179</w:t>
            </w:r>
          </w:p>
        </w:tc>
        <w:tc>
          <w:tcPr>
            <w:tcW w:w="2338" w:type="dxa"/>
          </w:tcPr>
          <w:p w14:paraId="31763174" w14:textId="2E17A571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286,747</w:t>
            </w:r>
          </w:p>
        </w:tc>
      </w:tr>
      <w:tr w:rsidR="005C19EB" w:rsidRPr="00D11865" w14:paraId="0B536AB5" w14:textId="77777777" w:rsidTr="003435B0">
        <w:tc>
          <w:tcPr>
            <w:tcW w:w="3045" w:type="dxa"/>
            <w:vAlign w:val="bottom"/>
          </w:tcPr>
          <w:p w14:paraId="666CA03A" w14:textId="2A9AA2C5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- 2nd</w:t>
            </w:r>
          </w:p>
        </w:tc>
        <w:tc>
          <w:tcPr>
            <w:tcW w:w="2337" w:type="dxa"/>
          </w:tcPr>
          <w:p w14:paraId="704BC2CF" w14:textId="40D3AF19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0.729</w:t>
            </w:r>
          </w:p>
        </w:tc>
        <w:tc>
          <w:tcPr>
            <w:tcW w:w="2338" w:type="dxa"/>
          </w:tcPr>
          <w:p w14:paraId="257D7510" w14:textId="1D355DFE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656,216</w:t>
            </w:r>
          </w:p>
        </w:tc>
        <w:tc>
          <w:tcPr>
            <w:tcW w:w="2338" w:type="dxa"/>
          </w:tcPr>
          <w:p w14:paraId="5900B603" w14:textId="3CC5374D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478,382</w:t>
            </w:r>
          </w:p>
        </w:tc>
      </w:tr>
      <w:tr w:rsidR="005C19EB" w:rsidRPr="00D11865" w14:paraId="6B9B1249" w14:textId="77777777" w:rsidTr="003435B0">
        <w:tc>
          <w:tcPr>
            <w:tcW w:w="3045" w:type="dxa"/>
            <w:vAlign w:val="bottom"/>
          </w:tcPr>
          <w:p w14:paraId="6F85DAE8" w14:textId="3B6AE150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- 3rd</w:t>
            </w:r>
          </w:p>
        </w:tc>
        <w:tc>
          <w:tcPr>
            <w:tcW w:w="2337" w:type="dxa"/>
          </w:tcPr>
          <w:p w14:paraId="7D2BDB48" w14:textId="13F11E70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0.748</w:t>
            </w:r>
          </w:p>
        </w:tc>
        <w:tc>
          <w:tcPr>
            <w:tcW w:w="2338" w:type="dxa"/>
          </w:tcPr>
          <w:p w14:paraId="168853AB" w14:textId="6C639544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907,630</w:t>
            </w:r>
          </w:p>
        </w:tc>
        <w:tc>
          <w:tcPr>
            <w:tcW w:w="2338" w:type="dxa"/>
          </w:tcPr>
          <w:p w14:paraId="06FE7A00" w14:textId="2A6C2B61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678,907</w:t>
            </w:r>
          </w:p>
        </w:tc>
      </w:tr>
      <w:tr w:rsidR="005C19EB" w:rsidRPr="00D11865" w14:paraId="4B0B77BB" w14:textId="77777777" w:rsidTr="003435B0">
        <w:tc>
          <w:tcPr>
            <w:tcW w:w="3045" w:type="dxa"/>
            <w:vAlign w:val="bottom"/>
          </w:tcPr>
          <w:p w14:paraId="193E0B08" w14:textId="0EB950D9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- 4th</w:t>
            </w:r>
          </w:p>
        </w:tc>
        <w:tc>
          <w:tcPr>
            <w:tcW w:w="2337" w:type="dxa"/>
          </w:tcPr>
          <w:p w14:paraId="7C39F7A9" w14:textId="242965B0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0.753</w:t>
            </w:r>
          </w:p>
        </w:tc>
        <w:tc>
          <w:tcPr>
            <w:tcW w:w="2338" w:type="dxa"/>
          </w:tcPr>
          <w:p w14:paraId="56DF12B8" w14:textId="4292BFC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1,314,213</w:t>
            </w:r>
          </w:p>
        </w:tc>
        <w:tc>
          <w:tcPr>
            <w:tcW w:w="2338" w:type="dxa"/>
          </w:tcPr>
          <w:p w14:paraId="46DDEE4A" w14:textId="51377558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989,602</w:t>
            </w:r>
          </w:p>
        </w:tc>
      </w:tr>
      <w:tr w:rsidR="005C19EB" w:rsidRPr="00D11865" w14:paraId="4C7FA297" w14:textId="77777777" w:rsidTr="003435B0">
        <w:tc>
          <w:tcPr>
            <w:tcW w:w="3045" w:type="dxa"/>
            <w:vAlign w:val="bottom"/>
          </w:tcPr>
          <w:p w14:paraId="5BF2C676" w14:textId="3F37FDF3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- 5th</w:t>
            </w:r>
          </w:p>
        </w:tc>
        <w:tc>
          <w:tcPr>
            <w:tcW w:w="2337" w:type="dxa"/>
          </w:tcPr>
          <w:p w14:paraId="0BB49355" w14:textId="632ED0D9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0.759</w:t>
            </w:r>
          </w:p>
        </w:tc>
        <w:tc>
          <w:tcPr>
            <w:tcW w:w="2338" w:type="dxa"/>
          </w:tcPr>
          <w:p w14:paraId="2984DE06" w14:textId="54417D95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2,824,893</w:t>
            </w:r>
          </w:p>
        </w:tc>
        <w:tc>
          <w:tcPr>
            <w:tcW w:w="2338" w:type="dxa"/>
          </w:tcPr>
          <w:p w14:paraId="69466438" w14:textId="7535C46D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2,144,094</w:t>
            </w:r>
          </w:p>
        </w:tc>
      </w:tr>
      <w:tr w:rsidR="005C19EB" w:rsidRPr="00D11865" w14:paraId="248E4074" w14:textId="77777777" w:rsidTr="003435B0">
        <w:tc>
          <w:tcPr>
            <w:tcW w:w="3045" w:type="dxa"/>
            <w:vAlign w:val="bottom"/>
          </w:tcPr>
          <w:p w14:paraId="328F681B" w14:textId="3F29A276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JKN only - 1st </w:t>
            </w:r>
          </w:p>
        </w:tc>
        <w:tc>
          <w:tcPr>
            <w:tcW w:w="2337" w:type="dxa"/>
          </w:tcPr>
          <w:p w14:paraId="4299ADDF" w14:textId="284CCBE6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0.628</w:t>
            </w:r>
          </w:p>
        </w:tc>
        <w:tc>
          <w:tcPr>
            <w:tcW w:w="2338" w:type="dxa"/>
          </w:tcPr>
          <w:p w14:paraId="1CB02A97" w14:textId="40237FD9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280,845</w:t>
            </w:r>
          </w:p>
        </w:tc>
        <w:tc>
          <w:tcPr>
            <w:tcW w:w="2338" w:type="dxa"/>
          </w:tcPr>
          <w:p w14:paraId="2D5EAFE2" w14:textId="05B0B24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176,371</w:t>
            </w:r>
          </w:p>
        </w:tc>
      </w:tr>
      <w:tr w:rsidR="005C19EB" w:rsidRPr="00D11865" w14:paraId="4C2649D2" w14:textId="77777777" w:rsidTr="003435B0">
        <w:tc>
          <w:tcPr>
            <w:tcW w:w="3045" w:type="dxa"/>
            <w:vAlign w:val="bottom"/>
          </w:tcPr>
          <w:p w14:paraId="7DDDFF95" w14:textId="3B4A5F09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- 2nd</w:t>
            </w:r>
          </w:p>
        </w:tc>
        <w:tc>
          <w:tcPr>
            <w:tcW w:w="2337" w:type="dxa"/>
          </w:tcPr>
          <w:p w14:paraId="48A2EE57" w14:textId="2536F738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0.648</w:t>
            </w:r>
          </w:p>
        </w:tc>
        <w:tc>
          <w:tcPr>
            <w:tcW w:w="2338" w:type="dxa"/>
          </w:tcPr>
          <w:p w14:paraId="2D9E5925" w14:textId="06CBA657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443,403</w:t>
            </w:r>
          </w:p>
        </w:tc>
        <w:tc>
          <w:tcPr>
            <w:tcW w:w="2338" w:type="dxa"/>
          </w:tcPr>
          <w:p w14:paraId="2ECEBC9B" w14:textId="5091834A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287,325</w:t>
            </w:r>
          </w:p>
        </w:tc>
      </w:tr>
      <w:tr w:rsidR="005C19EB" w:rsidRPr="00D11865" w14:paraId="7CAFF103" w14:textId="77777777" w:rsidTr="003435B0">
        <w:tc>
          <w:tcPr>
            <w:tcW w:w="3045" w:type="dxa"/>
            <w:vAlign w:val="bottom"/>
          </w:tcPr>
          <w:p w14:paraId="485DAF2E" w14:textId="2F2CB1C4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- 3rd</w:t>
            </w:r>
          </w:p>
        </w:tc>
        <w:tc>
          <w:tcPr>
            <w:tcW w:w="2337" w:type="dxa"/>
          </w:tcPr>
          <w:p w14:paraId="4D165F69" w14:textId="48B6EFD1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0.661</w:t>
            </w:r>
          </w:p>
        </w:tc>
        <w:tc>
          <w:tcPr>
            <w:tcW w:w="2338" w:type="dxa"/>
          </w:tcPr>
          <w:p w14:paraId="6E5727F7" w14:textId="6E93E8D0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605,503</w:t>
            </w:r>
          </w:p>
        </w:tc>
        <w:tc>
          <w:tcPr>
            <w:tcW w:w="2338" w:type="dxa"/>
          </w:tcPr>
          <w:p w14:paraId="20A5335B" w14:textId="25CFEEA4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400,237</w:t>
            </w:r>
          </w:p>
        </w:tc>
      </w:tr>
      <w:tr w:rsidR="005C19EB" w:rsidRPr="00D11865" w14:paraId="2E361874" w14:textId="77777777" w:rsidTr="003435B0">
        <w:tc>
          <w:tcPr>
            <w:tcW w:w="3045" w:type="dxa"/>
            <w:vAlign w:val="bottom"/>
          </w:tcPr>
          <w:p w14:paraId="4BEC668B" w14:textId="60AC6958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- 4th</w:t>
            </w:r>
          </w:p>
        </w:tc>
        <w:tc>
          <w:tcPr>
            <w:tcW w:w="2337" w:type="dxa"/>
          </w:tcPr>
          <w:p w14:paraId="4726B61E" w14:textId="2D1B01EA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0.681</w:t>
            </w:r>
          </w:p>
        </w:tc>
        <w:tc>
          <w:tcPr>
            <w:tcW w:w="2338" w:type="dxa"/>
          </w:tcPr>
          <w:p w14:paraId="33256BA6" w14:textId="479C96EB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900,268</w:t>
            </w:r>
          </w:p>
        </w:tc>
        <w:tc>
          <w:tcPr>
            <w:tcW w:w="2338" w:type="dxa"/>
          </w:tcPr>
          <w:p w14:paraId="3D9F9579" w14:textId="5CF1BA17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613,083</w:t>
            </w:r>
          </w:p>
        </w:tc>
      </w:tr>
      <w:tr w:rsidR="005C19EB" w:rsidRPr="00D11865" w14:paraId="6A802DA2" w14:textId="77777777" w:rsidTr="003435B0">
        <w:tc>
          <w:tcPr>
            <w:tcW w:w="3045" w:type="dxa"/>
            <w:vAlign w:val="bottom"/>
          </w:tcPr>
          <w:p w14:paraId="503B0D02" w14:textId="51523733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- 5th</w:t>
            </w:r>
          </w:p>
        </w:tc>
        <w:tc>
          <w:tcPr>
            <w:tcW w:w="2337" w:type="dxa"/>
          </w:tcPr>
          <w:p w14:paraId="046EEFE7" w14:textId="00253173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0.701</w:t>
            </w:r>
          </w:p>
        </w:tc>
        <w:tc>
          <w:tcPr>
            <w:tcW w:w="2338" w:type="dxa"/>
          </w:tcPr>
          <w:p w14:paraId="2EF63328" w14:textId="12538B1B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1,988,770</w:t>
            </w:r>
          </w:p>
        </w:tc>
        <w:tc>
          <w:tcPr>
            <w:tcW w:w="2338" w:type="dxa"/>
          </w:tcPr>
          <w:p w14:paraId="36154EE3" w14:textId="3328A368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1,394,128</w:t>
            </w:r>
          </w:p>
        </w:tc>
      </w:tr>
      <w:tr w:rsidR="005C19EB" w:rsidRPr="00D11865" w14:paraId="2EE427B4" w14:textId="77777777" w:rsidTr="003435B0">
        <w:tc>
          <w:tcPr>
            <w:tcW w:w="3045" w:type="dxa"/>
            <w:vAlign w:val="bottom"/>
          </w:tcPr>
          <w:p w14:paraId="281B8743" w14:textId="203C08FE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Private &amp; Mixed - 1st </w:t>
            </w:r>
          </w:p>
        </w:tc>
        <w:tc>
          <w:tcPr>
            <w:tcW w:w="2337" w:type="dxa"/>
          </w:tcPr>
          <w:p w14:paraId="4320EF41" w14:textId="4347243A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0.675</w:t>
            </w:r>
          </w:p>
        </w:tc>
        <w:tc>
          <w:tcPr>
            <w:tcW w:w="2338" w:type="dxa"/>
          </w:tcPr>
          <w:p w14:paraId="61876940" w14:textId="75461286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332,350</w:t>
            </w:r>
          </w:p>
        </w:tc>
        <w:tc>
          <w:tcPr>
            <w:tcW w:w="2338" w:type="dxa"/>
          </w:tcPr>
          <w:p w14:paraId="22DDB7E2" w14:textId="1DD4E621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224,336</w:t>
            </w:r>
          </w:p>
        </w:tc>
      </w:tr>
      <w:tr w:rsidR="005C19EB" w:rsidRPr="00D11865" w14:paraId="5C7B3B2E" w14:textId="77777777" w:rsidTr="003435B0">
        <w:tc>
          <w:tcPr>
            <w:tcW w:w="3045" w:type="dxa"/>
            <w:vAlign w:val="bottom"/>
          </w:tcPr>
          <w:p w14:paraId="4CFD370C" w14:textId="1ECA7419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- 2nd</w:t>
            </w:r>
          </w:p>
        </w:tc>
        <w:tc>
          <w:tcPr>
            <w:tcW w:w="2337" w:type="dxa"/>
          </w:tcPr>
          <w:p w14:paraId="293595F6" w14:textId="1B45955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0.706</w:t>
            </w:r>
          </w:p>
        </w:tc>
        <w:tc>
          <w:tcPr>
            <w:tcW w:w="2338" w:type="dxa"/>
          </w:tcPr>
          <w:p w14:paraId="07C6C69A" w14:textId="42EDCE8D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466,154</w:t>
            </w:r>
          </w:p>
        </w:tc>
        <w:tc>
          <w:tcPr>
            <w:tcW w:w="2338" w:type="dxa"/>
          </w:tcPr>
          <w:p w14:paraId="6FBDB951" w14:textId="4EBBA3E9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329,105</w:t>
            </w:r>
          </w:p>
        </w:tc>
      </w:tr>
      <w:tr w:rsidR="005C19EB" w:rsidRPr="00D11865" w14:paraId="4557D79D" w14:textId="77777777" w:rsidTr="003435B0">
        <w:tc>
          <w:tcPr>
            <w:tcW w:w="3045" w:type="dxa"/>
            <w:vAlign w:val="bottom"/>
          </w:tcPr>
          <w:p w14:paraId="56571360" w14:textId="11F13A01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- 3rd</w:t>
            </w:r>
          </w:p>
        </w:tc>
        <w:tc>
          <w:tcPr>
            <w:tcW w:w="2337" w:type="dxa"/>
          </w:tcPr>
          <w:p w14:paraId="658F2A28" w14:textId="577E32DE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0.707</w:t>
            </w:r>
          </w:p>
        </w:tc>
        <w:tc>
          <w:tcPr>
            <w:tcW w:w="2338" w:type="dxa"/>
          </w:tcPr>
          <w:p w14:paraId="40512A08" w14:textId="08C2AFA5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663,626</w:t>
            </w:r>
          </w:p>
        </w:tc>
        <w:tc>
          <w:tcPr>
            <w:tcW w:w="2338" w:type="dxa"/>
          </w:tcPr>
          <w:p w14:paraId="04C64529" w14:textId="3298BE8E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469,184</w:t>
            </w:r>
          </w:p>
        </w:tc>
      </w:tr>
      <w:tr w:rsidR="005C19EB" w:rsidRPr="00D11865" w14:paraId="6F15C958" w14:textId="77777777" w:rsidTr="003435B0">
        <w:tc>
          <w:tcPr>
            <w:tcW w:w="3045" w:type="dxa"/>
            <w:vAlign w:val="bottom"/>
          </w:tcPr>
          <w:p w14:paraId="5F2B1DEA" w14:textId="4B29AA12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- 4th</w:t>
            </w:r>
          </w:p>
        </w:tc>
        <w:tc>
          <w:tcPr>
            <w:tcW w:w="2337" w:type="dxa"/>
          </w:tcPr>
          <w:p w14:paraId="14278C6D" w14:textId="1F7264D0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0.718</w:t>
            </w:r>
          </w:p>
        </w:tc>
        <w:tc>
          <w:tcPr>
            <w:tcW w:w="2338" w:type="dxa"/>
          </w:tcPr>
          <w:p w14:paraId="4C42F316" w14:textId="43B11F68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952,840</w:t>
            </w:r>
          </w:p>
        </w:tc>
        <w:tc>
          <w:tcPr>
            <w:tcW w:w="2338" w:type="dxa"/>
          </w:tcPr>
          <w:p w14:paraId="3F746364" w14:textId="34E7D1F7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684,139</w:t>
            </w:r>
          </w:p>
        </w:tc>
      </w:tr>
      <w:tr w:rsidR="005C19EB" w:rsidRPr="00D11865" w14:paraId="6EA2D3AC" w14:textId="77777777" w:rsidTr="003435B0">
        <w:tc>
          <w:tcPr>
            <w:tcW w:w="3045" w:type="dxa"/>
            <w:vAlign w:val="bottom"/>
          </w:tcPr>
          <w:p w14:paraId="187C9F53" w14:textId="5B1DACC5" w:rsidR="005C19EB" w:rsidRPr="003C3307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3C3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- 5th</w:t>
            </w:r>
          </w:p>
        </w:tc>
        <w:tc>
          <w:tcPr>
            <w:tcW w:w="2337" w:type="dxa"/>
          </w:tcPr>
          <w:p w14:paraId="7FF8FDED" w14:textId="02924433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0.716</w:t>
            </w:r>
          </w:p>
        </w:tc>
        <w:tc>
          <w:tcPr>
            <w:tcW w:w="2338" w:type="dxa"/>
          </w:tcPr>
          <w:p w14:paraId="0E3277F1" w14:textId="7F7B2A6F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2,194,570</w:t>
            </w:r>
          </w:p>
        </w:tc>
        <w:tc>
          <w:tcPr>
            <w:tcW w:w="2338" w:type="dxa"/>
          </w:tcPr>
          <w:p w14:paraId="4130225B" w14:textId="36DA9E76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1,571,312</w:t>
            </w:r>
          </w:p>
        </w:tc>
      </w:tr>
      <w:tr w:rsidR="003C3307" w:rsidRPr="00D11865" w14:paraId="1FC660A2" w14:textId="77777777" w:rsidTr="00106A60">
        <w:tc>
          <w:tcPr>
            <w:tcW w:w="10058" w:type="dxa"/>
            <w:gridSpan w:val="4"/>
            <w:vAlign w:val="bottom"/>
          </w:tcPr>
          <w:p w14:paraId="41D4E79E" w14:textId="2BA6090A" w:rsidR="003C3307" w:rsidRPr="00D11865" w:rsidRDefault="003C3307" w:rsidP="003C33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Insurance &amp; Service Type at Provider Source</w:t>
            </w:r>
            <w:r w:rsidR="00C86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</w:t>
            </w:r>
          </w:p>
        </w:tc>
      </w:tr>
      <w:tr w:rsidR="00437FEB" w:rsidRPr="00D11865" w14:paraId="07635327" w14:textId="77777777" w:rsidTr="003435B0">
        <w:tc>
          <w:tcPr>
            <w:tcW w:w="3045" w:type="dxa"/>
            <w:vAlign w:val="bottom"/>
          </w:tcPr>
          <w:p w14:paraId="3F3A0E48" w14:textId="1D1AD3C9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outpatient only at public hospital</w:t>
            </w:r>
          </w:p>
        </w:tc>
        <w:tc>
          <w:tcPr>
            <w:tcW w:w="2337" w:type="dxa"/>
          </w:tcPr>
          <w:p w14:paraId="3142B919" w14:textId="30847BCD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0.945</w:t>
            </w:r>
          </w:p>
        </w:tc>
        <w:tc>
          <w:tcPr>
            <w:tcW w:w="2338" w:type="dxa"/>
          </w:tcPr>
          <w:p w14:paraId="67C3BEDC" w14:textId="591737C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1,300,694</w:t>
            </w:r>
          </w:p>
        </w:tc>
        <w:tc>
          <w:tcPr>
            <w:tcW w:w="2338" w:type="dxa"/>
          </w:tcPr>
          <w:p w14:paraId="5B7DE266" w14:textId="6EE4158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1,229,156</w:t>
            </w:r>
          </w:p>
        </w:tc>
      </w:tr>
      <w:tr w:rsidR="00437FEB" w:rsidRPr="00D11865" w14:paraId="1C3D2039" w14:textId="77777777" w:rsidTr="003435B0">
        <w:tc>
          <w:tcPr>
            <w:tcW w:w="3045" w:type="dxa"/>
            <w:vAlign w:val="bottom"/>
          </w:tcPr>
          <w:p w14:paraId="0879A875" w14:textId="5C7AFA67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outpatient only at private hospital</w:t>
            </w:r>
          </w:p>
        </w:tc>
        <w:tc>
          <w:tcPr>
            <w:tcW w:w="2337" w:type="dxa"/>
          </w:tcPr>
          <w:p w14:paraId="3E404734" w14:textId="658E355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0.973</w:t>
            </w:r>
          </w:p>
        </w:tc>
        <w:tc>
          <w:tcPr>
            <w:tcW w:w="2338" w:type="dxa"/>
          </w:tcPr>
          <w:p w14:paraId="42F8604B" w14:textId="1266CE8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1,443,739</w:t>
            </w:r>
          </w:p>
        </w:tc>
        <w:tc>
          <w:tcPr>
            <w:tcW w:w="2338" w:type="dxa"/>
          </w:tcPr>
          <w:p w14:paraId="4D93053F" w14:textId="6B0405B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1,404,758</w:t>
            </w:r>
          </w:p>
        </w:tc>
      </w:tr>
      <w:tr w:rsidR="00437FEB" w:rsidRPr="00D11865" w14:paraId="5AF5507A" w14:textId="77777777" w:rsidTr="003435B0">
        <w:tc>
          <w:tcPr>
            <w:tcW w:w="3045" w:type="dxa"/>
            <w:vAlign w:val="bottom"/>
          </w:tcPr>
          <w:p w14:paraId="7009F87B" w14:textId="31F3EDC9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outpatient only at public PHC</w:t>
            </w:r>
          </w:p>
        </w:tc>
        <w:tc>
          <w:tcPr>
            <w:tcW w:w="2337" w:type="dxa"/>
          </w:tcPr>
          <w:p w14:paraId="498E755A" w14:textId="1BA0806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0.884</w:t>
            </w:r>
          </w:p>
        </w:tc>
        <w:tc>
          <w:tcPr>
            <w:tcW w:w="2338" w:type="dxa"/>
          </w:tcPr>
          <w:p w14:paraId="7938E278" w14:textId="59F2850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396,217</w:t>
            </w:r>
          </w:p>
        </w:tc>
        <w:tc>
          <w:tcPr>
            <w:tcW w:w="2338" w:type="dxa"/>
          </w:tcPr>
          <w:p w14:paraId="16552190" w14:textId="5D0B824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350,256</w:t>
            </w:r>
          </w:p>
        </w:tc>
      </w:tr>
      <w:tr w:rsidR="00437FEB" w:rsidRPr="00D11865" w14:paraId="5A8DC16A" w14:textId="77777777" w:rsidTr="003435B0">
        <w:tc>
          <w:tcPr>
            <w:tcW w:w="3045" w:type="dxa"/>
            <w:vAlign w:val="bottom"/>
          </w:tcPr>
          <w:p w14:paraId="101D36E2" w14:textId="13AA9988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outpatient only at private PHC</w:t>
            </w:r>
          </w:p>
        </w:tc>
        <w:tc>
          <w:tcPr>
            <w:tcW w:w="2337" w:type="dxa"/>
          </w:tcPr>
          <w:p w14:paraId="4BCF386B" w14:textId="776BB62D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0.949</w:t>
            </w:r>
          </w:p>
        </w:tc>
        <w:tc>
          <w:tcPr>
            <w:tcW w:w="2338" w:type="dxa"/>
          </w:tcPr>
          <w:p w14:paraId="67B4432D" w14:textId="2C83B08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559,780</w:t>
            </w:r>
          </w:p>
        </w:tc>
        <w:tc>
          <w:tcPr>
            <w:tcW w:w="2338" w:type="dxa"/>
          </w:tcPr>
          <w:p w14:paraId="0981FB2E" w14:textId="6198FD8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531,231</w:t>
            </w:r>
          </w:p>
        </w:tc>
      </w:tr>
      <w:tr w:rsidR="00437FEB" w:rsidRPr="00D11865" w14:paraId="1CC55C85" w14:textId="77777777" w:rsidTr="003435B0">
        <w:tc>
          <w:tcPr>
            <w:tcW w:w="3045" w:type="dxa"/>
            <w:vAlign w:val="bottom"/>
          </w:tcPr>
          <w:p w14:paraId="0B41F812" w14:textId="69C4B44C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outpatient only at mixed facilities</w:t>
            </w:r>
          </w:p>
        </w:tc>
        <w:tc>
          <w:tcPr>
            <w:tcW w:w="2337" w:type="dxa"/>
          </w:tcPr>
          <w:p w14:paraId="7CD687FA" w14:textId="7A38E1B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0.958</w:t>
            </w:r>
          </w:p>
        </w:tc>
        <w:tc>
          <w:tcPr>
            <w:tcW w:w="2338" w:type="dxa"/>
          </w:tcPr>
          <w:p w14:paraId="4D2B7FED" w14:textId="569A021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697,847</w:t>
            </w:r>
          </w:p>
        </w:tc>
        <w:tc>
          <w:tcPr>
            <w:tcW w:w="2338" w:type="dxa"/>
          </w:tcPr>
          <w:p w14:paraId="18D7758D" w14:textId="32B25C6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668,538</w:t>
            </w:r>
          </w:p>
        </w:tc>
      </w:tr>
      <w:tr w:rsidR="00437FEB" w:rsidRPr="00D11865" w14:paraId="59FF8834" w14:textId="77777777" w:rsidTr="003435B0">
        <w:tc>
          <w:tcPr>
            <w:tcW w:w="3045" w:type="dxa"/>
            <w:vAlign w:val="bottom"/>
          </w:tcPr>
          <w:p w14:paraId="5A7B19EE" w14:textId="35D08ADE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inpatient only at public hospital</w:t>
            </w:r>
          </w:p>
        </w:tc>
        <w:tc>
          <w:tcPr>
            <w:tcW w:w="2337" w:type="dxa"/>
          </w:tcPr>
          <w:p w14:paraId="3F9EA178" w14:textId="733835F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0.964</w:t>
            </w:r>
          </w:p>
        </w:tc>
        <w:tc>
          <w:tcPr>
            <w:tcW w:w="2338" w:type="dxa"/>
          </w:tcPr>
          <w:p w14:paraId="43A5428C" w14:textId="6DACFB0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4,379,311</w:t>
            </w:r>
          </w:p>
        </w:tc>
        <w:tc>
          <w:tcPr>
            <w:tcW w:w="2338" w:type="dxa"/>
          </w:tcPr>
          <w:p w14:paraId="35F6D96A" w14:textId="4777ED74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4,221,656</w:t>
            </w:r>
          </w:p>
        </w:tc>
      </w:tr>
      <w:tr w:rsidR="00437FEB" w:rsidRPr="00D11865" w14:paraId="4074FDD0" w14:textId="77777777" w:rsidTr="003435B0">
        <w:tc>
          <w:tcPr>
            <w:tcW w:w="3045" w:type="dxa"/>
            <w:vAlign w:val="bottom"/>
          </w:tcPr>
          <w:p w14:paraId="3B1924C8" w14:textId="462BA568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inpatient only at private hospital</w:t>
            </w:r>
          </w:p>
        </w:tc>
        <w:tc>
          <w:tcPr>
            <w:tcW w:w="2337" w:type="dxa"/>
          </w:tcPr>
          <w:p w14:paraId="4EA4EA17" w14:textId="4E7B5B1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0.987</w:t>
            </w:r>
          </w:p>
        </w:tc>
        <w:tc>
          <w:tcPr>
            <w:tcW w:w="2338" w:type="dxa"/>
          </w:tcPr>
          <w:p w14:paraId="27B5619A" w14:textId="6BCA161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5,589,804</w:t>
            </w:r>
          </w:p>
        </w:tc>
        <w:tc>
          <w:tcPr>
            <w:tcW w:w="2338" w:type="dxa"/>
          </w:tcPr>
          <w:p w14:paraId="746E2456" w14:textId="1751277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5,517,137</w:t>
            </w:r>
          </w:p>
        </w:tc>
      </w:tr>
      <w:tr w:rsidR="00437FEB" w:rsidRPr="00D11865" w14:paraId="1ACCF898" w14:textId="77777777" w:rsidTr="003435B0">
        <w:tc>
          <w:tcPr>
            <w:tcW w:w="3045" w:type="dxa"/>
            <w:vAlign w:val="bottom"/>
          </w:tcPr>
          <w:p w14:paraId="6339F717" w14:textId="57102E68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inpatient only at public PHC</w:t>
            </w:r>
          </w:p>
        </w:tc>
        <w:tc>
          <w:tcPr>
            <w:tcW w:w="2337" w:type="dxa"/>
          </w:tcPr>
          <w:p w14:paraId="41C92817" w14:textId="6D63304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0.977</w:t>
            </w:r>
          </w:p>
        </w:tc>
        <w:tc>
          <w:tcPr>
            <w:tcW w:w="2338" w:type="dxa"/>
          </w:tcPr>
          <w:p w14:paraId="5D13C20F" w14:textId="26496CB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1,615,136</w:t>
            </w:r>
          </w:p>
        </w:tc>
        <w:tc>
          <w:tcPr>
            <w:tcW w:w="2338" w:type="dxa"/>
          </w:tcPr>
          <w:p w14:paraId="5A08B322" w14:textId="4B49B7EB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1,577,988</w:t>
            </w:r>
          </w:p>
        </w:tc>
      </w:tr>
      <w:tr w:rsidR="00437FEB" w:rsidRPr="00D11865" w14:paraId="413A8C1E" w14:textId="77777777" w:rsidTr="003435B0">
        <w:tc>
          <w:tcPr>
            <w:tcW w:w="3045" w:type="dxa"/>
            <w:vAlign w:val="bottom"/>
          </w:tcPr>
          <w:p w14:paraId="44699F82" w14:textId="508A7D1E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inpatient only at private PHC</w:t>
            </w:r>
          </w:p>
        </w:tc>
        <w:tc>
          <w:tcPr>
            <w:tcW w:w="2337" w:type="dxa"/>
          </w:tcPr>
          <w:p w14:paraId="23191239" w14:textId="11406F09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0.954</w:t>
            </w:r>
          </w:p>
        </w:tc>
        <w:tc>
          <w:tcPr>
            <w:tcW w:w="2338" w:type="dxa"/>
          </w:tcPr>
          <w:p w14:paraId="13DCDFF0" w14:textId="3037E35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2,402,338</w:t>
            </w:r>
          </w:p>
        </w:tc>
        <w:tc>
          <w:tcPr>
            <w:tcW w:w="2338" w:type="dxa"/>
          </w:tcPr>
          <w:p w14:paraId="1B87BBC1" w14:textId="5459DBB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2,291,830</w:t>
            </w:r>
          </w:p>
        </w:tc>
      </w:tr>
      <w:tr w:rsidR="00437FEB" w:rsidRPr="00D11865" w14:paraId="2DBC3AE3" w14:textId="77777777" w:rsidTr="003435B0">
        <w:tc>
          <w:tcPr>
            <w:tcW w:w="3045" w:type="dxa"/>
            <w:vAlign w:val="bottom"/>
          </w:tcPr>
          <w:p w14:paraId="7E1E2CCB" w14:textId="06D1C675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inpatient only at mixed facilities</w:t>
            </w:r>
          </w:p>
        </w:tc>
        <w:tc>
          <w:tcPr>
            <w:tcW w:w="2337" w:type="dxa"/>
          </w:tcPr>
          <w:p w14:paraId="66A9560A" w14:textId="6FF0725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0.909</w:t>
            </w:r>
          </w:p>
        </w:tc>
        <w:tc>
          <w:tcPr>
            <w:tcW w:w="2338" w:type="dxa"/>
          </w:tcPr>
          <w:p w14:paraId="0956A5DD" w14:textId="4E17367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4,928,467</w:t>
            </w:r>
          </w:p>
        </w:tc>
        <w:tc>
          <w:tcPr>
            <w:tcW w:w="2338" w:type="dxa"/>
          </w:tcPr>
          <w:p w14:paraId="5C25B5CC" w14:textId="3F2CC9E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4,479,977</w:t>
            </w:r>
          </w:p>
        </w:tc>
      </w:tr>
      <w:tr w:rsidR="00437FEB" w:rsidRPr="00D11865" w14:paraId="400AA291" w14:textId="77777777" w:rsidTr="003435B0">
        <w:tc>
          <w:tcPr>
            <w:tcW w:w="3045" w:type="dxa"/>
            <w:vAlign w:val="bottom"/>
          </w:tcPr>
          <w:p w14:paraId="292BDFE5" w14:textId="42146973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 &amp; outpatient at public hospital</w:t>
            </w:r>
          </w:p>
        </w:tc>
        <w:tc>
          <w:tcPr>
            <w:tcW w:w="2337" w:type="dxa"/>
          </w:tcPr>
          <w:p w14:paraId="13392E55" w14:textId="765ED3F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0.972</w:t>
            </w:r>
          </w:p>
        </w:tc>
        <w:tc>
          <w:tcPr>
            <w:tcW w:w="2338" w:type="dxa"/>
          </w:tcPr>
          <w:p w14:paraId="13B33A10" w14:textId="0ED9191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4,593,286</w:t>
            </w:r>
          </w:p>
        </w:tc>
        <w:tc>
          <w:tcPr>
            <w:tcW w:w="2338" w:type="dxa"/>
          </w:tcPr>
          <w:p w14:paraId="5DC740B7" w14:textId="648FE9D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4,464,674</w:t>
            </w:r>
          </w:p>
        </w:tc>
      </w:tr>
      <w:tr w:rsidR="00437FEB" w:rsidRPr="00D11865" w14:paraId="7A9FE26D" w14:textId="77777777" w:rsidTr="003435B0">
        <w:tc>
          <w:tcPr>
            <w:tcW w:w="3045" w:type="dxa"/>
            <w:vAlign w:val="bottom"/>
          </w:tcPr>
          <w:p w14:paraId="730B78B4" w14:textId="344BCD23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lastRenderedPageBreak/>
              <w:t>No insurance – in &amp; outpatient at private hospital</w:t>
            </w:r>
          </w:p>
        </w:tc>
        <w:tc>
          <w:tcPr>
            <w:tcW w:w="2337" w:type="dxa"/>
          </w:tcPr>
          <w:p w14:paraId="1A227E0A" w14:textId="2EF751E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0.982</w:t>
            </w:r>
          </w:p>
        </w:tc>
        <w:tc>
          <w:tcPr>
            <w:tcW w:w="2338" w:type="dxa"/>
          </w:tcPr>
          <w:p w14:paraId="384A07CC" w14:textId="32A3DB6B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6,074,057</w:t>
            </w:r>
          </w:p>
        </w:tc>
        <w:tc>
          <w:tcPr>
            <w:tcW w:w="2338" w:type="dxa"/>
          </w:tcPr>
          <w:p w14:paraId="0B19DF80" w14:textId="5EF56D8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5,964,724</w:t>
            </w:r>
          </w:p>
        </w:tc>
      </w:tr>
      <w:tr w:rsidR="00437FEB" w:rsidRPr="00D11865" w14:paraId="4DE1A5A1" w14:textId="77777777" w:rsidTr="003435B0">
        <w:tc>
          <w:tcPr>
            <w:tcW w:w="3045" w:type="dxa"/>
            <w:vAlign w:val="bottom"/>
          </w:tcPr>
          <w:p w14:paraId="62BE60E3" w14:textId="1519D4B0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 &amp; outpatient at public PHC</w:t>
            </w:r>
          </w:p>
        </w:tc>
        <w:tc>
          <w:tcPr>
            <w:tcW w:w="2337" w:type="dxa"/>
          </w:tcPr>
          <w:p w14:paraId="3C97D6E2" w14:textId="610CC46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0.98</w:t>
            </w:r>
          </w:p>
        </w:tc>
        <w:tc>
          <w:tcPr>
            <w:tcW w:w="2338" w:type="dxa"/>
          </w:tcPr>
          <w:p w14:paraId="281B5D97" w14:textId="5B23D3F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1,400,253</w:t>
            </w:r>
          </w:p>
        </w:tc>
        <w:tc>
          <w:tcPr>
            <w:tcW w:w="2338" w:type="dxa"/>
          </w:tcPr>
          <w:p w14:paraId="3CE23A41" w14:textId="4BC2EE19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1,372,248</w:t>
            </w:r>
          </w:p>
        </w:tc>
      </w:tr>
      <w:tr w:rsidR="00437FEB" w:rsidRPr="00D11865" w14:paraId="642FB12A" w14:textId="77777777" w:rsidTr="003435B0">
        <w:tc>
          <w:tcPr>
            <w:tcW w:w="3045" w:type="dxa"/>
            <w:vAlign w:val="bottom"/>
          </w:tcPr>
          <w:p w14:paraId="649BFF68" w14:textId="17198A95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 &amp; outpatient at private PHC</w:t>
            </w:r>
          </w:p>
        </w:tc>
        <w:tc>
          <w:tcPr>
            <w:tcW w:w="2337" w:type="dxa"/>
          </w:tcPr>
          <w:p w14:paraId="4FA22487" w14:textId="41D8A9CB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0.968</w:t>
            </w:r>
          </w:p>
        </w:tc>
        <w:tc>
          <w:tcPr>
            <w:tcW w:w="2338" w:type="dxa"/>
          </w:tcPr>
          <w:p w14:paraId="1A603087" w14:textId="602DF28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2,747,352</w:t>
            </w:r>
          </w:p>
        </w:tc>
        <w:tc>
          <w:tcPr>
            <w:tcW w:w="2338" w:type="dxa"/>
          </w:tcPr>
          <w:p w14:paraId="77326A94" w14:textId="58E8A3D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2,659,437</w:t>
            </w:r>
          </w:p>
        </w:tc>
      </w:tr>
      <w:tr w:rsidR="00437FEB" w:rsidRPr="00D11865" w14:paraId="42510378" w14:textId="77777777" w:rsidTr="003435B0">
        <w:tc>
          <w:tcPr>
            <w:tcW w:w="3045" w:type="dxa"/>
            <w:vAlign w:val="bottom"/>
          </w:tcPr>
          <w:p w14:paraId="14AC8CC6" w14:textId="21382A0E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in &amp; outpatient at mixed facilities</w:t>
            </w:r>
          </w:p>
        </w:tc>
        <w:tc>
          <w:tcPr>
            <w:tcW w:w="2337" w:type="dxa"/>
          </w:tcPr>
          <w:p w14:paraId="3AA14CB7" w14:textId="2FF6B7E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0.985</w:t>
            </w:r>
          </w:p>
        </w:tc>
        <w:tc>
          <w:tcPr>
            <w:tcW w:w="2338" w:type="dxa"/>
          </w:tcPr>
          <w:p w14:paraId="5908D894" w14:textId="302A3DD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4,285,866</w:t>
            </w:r>
          </w:p>
        </w:tc>
        <w:tc>
          <w:tcPr>
            <w:tcW w:w="2338" w:type="dxa"/>
          </w:tcPr>
          <w:p w14:paraId="43698646" w14:textId="1ED5D98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4,221,578</w:t>
            </w:r>
          </w:p>
        </w:tc>
      </w:tr>
      <w:tr w:rsidR="00437FEB" w:rsidRPr="00D11865" w14:paraId="4853BB68" w14:textId="77777777" w:rsidTr="003435B0">
        <w:tc>
          <w:tcPr>
            <w:tcW w:w="3045" w:type="dxa"/>
            <w:vAlign w:val="bottom"/>
          </w:tcPr>
          <w:p w14:paraId="0FC975B7" w14:textId="4F49721A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outpatient only at public hospital</w:t>
            </w:r>
          </w:p>
        </w:tc>
        <w:tc>
          <w:tcPr>
            <w:tcW w:w="2337" w:type="dxa"/>
          </w:tcPr>
          <w:p w14:paraId="3EB59C29" w14:textId="7EA92334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0.745</w:t>
            </w:r>
          </w:p>
        </w:tc>
        <w:tc>
          <w:tcPr>
            <w:tcW w:w="2338" w:type="dxa"/>
          </w:tcPr>
          <w:p w14:paraId="5834B0F4" w14:textId="6D615B5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809,829</w:t>
            </w:r>
          </w:p>
        </w:tc>
        <w:tc>
          <w:tcPr>
            <w:tcW w:w="2338" w:type="dxa"/>
          </w:tcPr>
          <w:p w14:paraId="7875553B" w14:textId="54C79FDB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603,322</w:t>
            </w:r>
          </w:p>
        </w:tc>
      </w:tr>
      <w:tr w:rsidR="00437FEB" w:rsidRPr="00D11865" w14:paraId="5611734A" w14:textId="77777777" w:rsidTr="003435B0">
        <w:tc>
          <w:tcPr>
            <w:tcW w:w="3045" w:type="dxa"/>
            <w:vAlign w:val="bottom"/>
          </w:tcPr>
          <w:p w14:paraId="5CB345F4" w14:textId="7680AF8D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outpatient only at private hospital</w:t>
            </w:r>
          </w:p>
        </w:tc>
        <w:tc>
          <w:tcPr>
            <w:tcW w:w="2337" w:type="dxa"/>
          </w:tcPr>
          <w:p w14:paraId="648F7DCD" w14:textId="39B88D7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0.791</w:t>
            </w:r>
          </w:p>
        </w:tc>
        <w:tc>
          <w:tcPr>
            <w:tcW w:w="2338" w:type="dxa"/>
          </w:tcPr>
          <w:p w14:paraId="6FDA0B58" w14:textId="5539A4F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1,005,989</w:t>
            </w:r>
          </w:p>
        </w:tc>
        <w:tc>
          <w:tcPr>
            <w:tcW w:w="2338" w:type="dxa"/>
          </w:tcPr>
          <w:p w14:paraId="1AF22210" w14:textId="2D1D960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795,737</w:t>
            </w:r>
          </w:p>
        </w:tc>
      </w:tr>
      <w:tr w:rsidR="00437FEB" w:rsidRPr="00D11865" w14:paraId="65D31F84" w14:textId="77777777" w:rsidTr="003435B0">
        <w:tc>
          <w:tcPr>
            <w:tcW w:w="3045" w:type="dxa"/>
            <w:vAlign w:val="bottom"/>
          </w:tcPr>
          <w:p w14:paraId="21F1BAAD" w14:textId="6F6CEF94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outpatient only at public PHC</w:t>
            </w:r>
          </w:p>
        </w:tc>
        <w:tc>
          <w:tcPr>
            <w:tcW w:w="2337" w:type="dxa"/>
          </w:tcPr>
          <w:p w14:paraId="51934FFF" w14:textId="781890C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0.677</w:t>
            </w:r>
          </w:p>
        </w:tc>
        <w:tc>
          <w:tcPr>
            <w:tcW w:w="2338" w:type="dxa"/>
          </w:tcPr>
          <w:p w14:paraId="1B70B89D" w14:textId="45DED9E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363,296</w:t>
            </w:r>
          </w:p>
        </w:tc>
        <w:tc>
          <w:tcPr>
            <w:tcW w:w="2338" w:type="dxa"/>
          </w:tcPr>
          <w:p w14:paraId="4E6723BE" w14:textId="6AD92DC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245,951</w:t>
            </w:r>
          </w:p>
        </w:tc>
      </w:tr>
      <w:tr w:rsidR="00437FEB" w:rsidRPr="00D11865" w14:paraId="1FE3B1D9" w14:textId="77777777" w:rsidTr="003435B0">
        <w:tc>
          <w:tcPr>
            <w:tcW w:w="3045" w:type="dxa"/>
            <w:vAlign w:val="bottom"/>
          </w:tcPr>
          <w:p w14:paraId="4A491BDF" w14:textId="7D2A835B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outpatient only at private PHC</w:t>
            </w:r>
          </w:p>
        </w:tc>
        <w:tc>
          <w:tcPr>
            <w:tcW w:w="2337" w:type="dxa"/>
          </w:tcPr>
          <w:p w14:paraId="71BF150C" w14:textId="617828F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0.881</w:t>
            </w:r>
          </w:p>
        </w:tc>
        <w:tc>
          <w:tcPr>
            <w:tcW w:w="2338" w:type="dxa"/>
          </w:tcPr>
          <w:p w14:paraId="4A9761CC" w14:textId="1A007BE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516,893</w:t>
            </w:r>
          </w:p>
        </w:tc>
        <w:tc>
          <w:tcPr>
            <w:tcW w:w="2338" w:type="dxa"/>
          </w:tcPr>
          <w:p w14:paraId="2C8FB371" w14:textId="030D75C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455,382</w:t>
            </w:r>
          </w:p>
        </w:tc>
      </w:tr>
      <w:tr w:rsidR="00437FEB" w:rsidRPr="00D11865" w14:paraId="335A8FF7" w14:textId="77777777" w:rsidTr="003435B0">
        <w:tc>
          <w:tcPr>
            <w:tcW w:w="3045" w:type="dxa"/>
            <w:vAlign w:val="bottom"/>
          </w:tcPr>
          <w:p w14:paraId="47EE9793" w14:textId="3451CB07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outpatient only at mixed facilities</w:t>
            </w:r>
          </w:p>
        </w:tc>
        <w:tc>
          <w:tcPr>
            <w:tcW w:w="2337" w:type="dxa"/>
          </w:tcPr>
          <w:p w14:paraId="2739B8F2" w14:textId="59C88EE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0.878</w:t>
            </w:r>
          </w:p>
        </w:tc>
        <w:tc>
          <w:tcPr>
            <w:tcW w:w="2338" w:type="dxa"/>
          </w:tcPr>
          <w:p w14:paraId="6C78EDE2" w14:textId="40593CE4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578,915</w:t>
            </w:r>
          </w:p>
        </w:tc>
        <w:tc>
          <w:tcPr>
            <w:tcW w:w="2338" w:type="dxa"/>
          </w:tcPr>
          <w:p w14:paraId="764AEC5D" w14:textId="233A2A4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508,287</w:t>
            </w:r>
          </w:p>
        </w:tc>
      </w:tr>
      <w:tr w:rsidR="00437FEB" w:rsidRPr="00D11865" w14:paraId="5624C0C9" w14:textId="77777777" w:rsidTr="003435B0">
        <w:tc>
          <w:tcPr>
            <w:tcW w:w="3045" w:type="dxa"/>
            <w:vAlign w:val="bottom"/>
          </w:tcPr>
          <w:p w14:paraId="49F1ED18" w14:textId="5B04B243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inpatient only at public hospital</w:t>
            </w:r>
          </w:p>
        </w:tc>
        <w:tc>
          <w:tcPr>
            <w:tcW w:w="2337" w:type="dxa"/>
          </w:tcPr>
          <w:p w14:paraId="61217B12" w14:textId="7E201C5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0.805</w:t>
            </w:r>
          </w:p>
        </w:tc>
        <w:tc>
          <w:tcPr>
            <w:tcW w:w="2338" w:type="dxa"/>
          </w:tcPr>
          <w:p w14:paraId="5C7B5B12" w14:textId="3EEDEBD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2,345,490</w:t>
            </w:r>
          </w:p>
        </w:tc>
        <w:tc>
          <w:tcPr>
            <w:tcW w:w="2338" w:type="dxa"/>
          </w:tcPr>
          <w:p w14:paraId="0361B336" w14:textId="14B5484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1,888,119</w:t>
            </w:r>
          </w:p>
        </w:tc>
      </w:tr>
      <w:tr w:rsidR="00437FEB" w:rsidRPr="00D11865" w14:paraId="2C14EE43" w14:textId="77777777" w:rsidTr="003435B0">
        <w:tc>
          <w:tcPr>
            <w:tcW w:w="3045" w:type="dxa"/>
            <w:vAlign w:val="bottom"/>
          </w:tcPr>
          <w:p w14:paraId="36DDA8E9" w14:textId="3A055888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inpatient only at private hospital</w:t>
            </w:r>
          </w:p>
        </w:tc>
        <w:tc>
          <w:tcPr>
            <w:tcW w:w="2337" w:type="dxa"/>
          </w:tcPr>
          <w:p w14:paraId="70A5C823" w14:textId="30EB6A2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0.844</w:t>
            </w:r>
          </w:p>
        </w:tc>
        <w:tc>
          <w:tcPr>
            <w:tcW w:w="2338" w:type="dxa"/>
          </w:tcPr>
          <w:p w14:paraId="22FBCA39" w14:textId="4BA0007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3,270,201</w:t>
            </w:r>
          </w:p>
        </w:tc>
        <w:tc>
          <w:tcPr>
            <w:tcW w:w="2338" w:type="dxa"/>
          </w:tcPr>
          <w:p w14:paraId="3089A893" w14:textId="5C431EB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2,760,050</w:t>
            </w:r>
          </w:p>
        </w:tc>
      </w:tr>
      <w:tr w:rsidR="00437FEB" w:rsidRPr="00D11865" w14:paraId="56F1DAD5" w14:textId="77777777" w:rsidTr="003435B0">
        <w:tc>
          <w:tcPr>
            <w:tcW w:w="3045" w:type="dxa"/>
            <w:vAlign w:val="bottom"/>
          </w:tcPr>
          <w:p w14:paraId="314AE38A" w14:textId="1764F87F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inpatient only at public PHC</w:t>
            </w:r>
          </w:p>
        </w:tc>
        <w:tc>
          <w:tcPr>
            <w:tcW w:w="2337" w:type="dxa"/>
          </w:tcPr>
          <w:p w14:paraId="2108038B" w14:textId="52543774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0.791</w:t>
            </w:r>
          </w:p>
        </w:tc>
        <w:tc>
          <w:tcPr>
            <w:tcW w:w="2338" w:type="dxa"/>
          </w:tcPr>
          <w:p w14:paraId="4B7CC03D" w14:textId="381B4CC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1,061,478</w:t>
            </w:r>
          </w:p>
        </w:tc>
        <w:tc>
          <w:tcPr>
            <w:tcW w:w="2338" w:type="dxa"/>
          </w:tcPr>
          <w:p w14:paraId="0BE7CEB6" w14:textId="654CC42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839,629</w:t>
            </w:r>
          </w:p>
        </w:tc>
      </w:tr>
      <w:tr w:rsidR="00437FEB" w:rsidRPr="00D11865" w14:paraId="7034DF19" w14:textId="77777777" w:rsidTr="003435B0">
        <w:tc>
          <w:tcPr>
            <w:tcW w:w="3045" w:type="dxa"/>
            <w:vAlign w:val="bottom"/>
          </w:tcPr>
          <w:p w14:paraId="3A3C6542" w14:textId="375FC1E9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inpatient only at private PHC</w:t>
            </w:r>
          </w:p>
        </w:tc>
        <w:tc>
          <w:tcPr>
            <w:tcW w:w="2337" w:type="dxa"/>
          </w:tcPr>
          <w:p w14:paraId="3A056F57" w14:textId="03E03C74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0.898</w:t>
            </w:r>
          </w:p>
        </w:tc>
        <w:tc>
          <w:tcPr>
            <w:tcW w:w="2338" w:type="dxa"/>
          </w:tcPr>
          <w:p w14:paraId="7D8D38B0" w14:textId="58720CB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2,176,772</w:t>
            </w:r>
          </w:p>
        </w:tc>
        <w:tc>
          <w:tcPr>
            <w:tcW w:w="2338" w:type="dxa"/>
          </w:tcPr>
          <w:p w14:paraId="2DC4C135" w14:textId="07FF5E1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1,954,741</w:t>
            </w:r>
          </w:p>
        </w:tc>
      </w:tr>
      <w:tr w:rsidR="00437FEB" w:rsidRPr="00D11865" w14:paraId="57B6D7D9" w14:textId="77777777" w:rsidTr="003435B0">
        <w:tc>
          <w:tcPr>
            <w:tcW w:w="3045" w:type="dxa"/>
            <w:vAlign w:val="bottom"/>
          </w:tcPr>
          <w:p w14:paraId="0A1DA294" w14:textId="1C837B8C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inpatient only at mixed facilities</w:t>
            </w:r>
          </w:p>
        </w:tc>
        <w:tc>
          <w:tcPr>
            <w:tcW w:w="2337" w:type="dxa"/>
          </w:tcPr>
          <w:p w14:paraId="2DF2B6D2" w14:textId="4C7BE36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0.884</w:t>
            </w:r>
          </w:p>
        </w:tc>
        <w:tc>
          <w:tcPr>
            <w:tcW w:w="2338" w:type="dxa"/>
          </w:tcPr>
          <w:p w14:paraId="535C72D3" w14:textId="2ED21789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4,010,663</w:t>
            </w:r>
          </w:p>
        </w:tc>
        <w:tc>
          <w:tcPr>
            <w:tcW w:w="2338" w:type="dxa"/>
          </w:tcPr>
          <w:p w14:paraId="1CADEF02" w14:textId="6E802209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3,545,426</w:t>
            </w:r>
          </w:p>
        </w:tc>
      </w:tr>
      <w:tr w:rsidR="00437FEB" w:rsidRPr="00D11865" w14:paraId="689355DA" w14:textId="77777777" w:rsidTr="003435B0">
        <w:tc>
          <w:tcPr>
            <w:tcW w:w="3045" w:type="dxa"/>
            <w:vAlign w:val="bottom"/>
          </w:tcPr>
          <w:p w14:paraId="1DDF45AF" w14:textId="77518161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 &amp; outpatient at public hospital</w:t>
            </w:r>
          </w:p>
        </w:tc>
        <w:tc>
          <w:tcPr>
            <w:tcW w:w="2337" w:type="dxa"/>
          </w:tcPr>
          <w:p w14:paraId="19810E50" w14:textId="47D038F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0.766</w:t>
            </w:r>
          </w:p>
        </w:tc>
        <w:tc>
          <w:tcPr>
            <w:tcW w:w="2338" w:type="dxa"/>
          </w:tcPr>
          <w:p w14:paraId="070ECE56" w14:textId="482952C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2,879,454</w:t>
            </w:r>
          </w:p>
        </w:tc>
        <w:tc>
          <w:tcPr>
            <w:tcW w:w="2338" w:type="dxa"/>
          </w:tcPr>
          <w:p w14:paraId="5E0E605A" w14:textId="0B34692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2,205,662</w:t>
            </w:r>
          </w:p>
        </w:tc>
      </w:tr>
      <w:tr w:rsidR="00437FEB" w:rsidRPr="00D11865" w14:paraId="21A88D0A" w14:textId="77777777" w:rsidTr="003435B0">
        <w:tc>
          <w:tcPr>
            <w:tcW w:w="3045" w:type="dxa"/>
            <w:vAlign w:val="bottom"/>
          </w:tcPr>
          <w:p w14:paraId="7ADDBC76" w14:textId="5A377F4A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 &amp; outpatient at private hospital</w:t>
            </w:r>
          </w:p>
        </w:tc>
        <w:tc>
          <w:tcPr>
            <w:tcW w:w="2337" w:type="dxa"/>
          </w:tcPr>
          <w:p w14:paraId="2793FEBE" w14:textId="1A26454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0.814</w:t>
            </w:r>
          </w:p>
        </w:tc>
        <w:tc>
          <w:tcPr>
            <w:tcW w:w="2338" w:type="dxa"/>
          </w:tcPr>
          <w:p w14:paraId="73A08CDF" w14:textId="791212A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3,484,011</w:t>
            </w:r>
          </w:p>
        </w:tc>
        <w:tc>
          <w:tcPr>
            <w:tcW w:w="2338" w:type="dxa"/>
          </w:tcPr>
          <w:p w14:paraId="71493CA5" w14:textId="7F8269C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2,835,985</w:t>
            </w:r>
          </w:p>
        </w:tc>
      </w:tr>
      <w:tr w:rsidR="00437FEB" w:rsidRPr="00D11865" w14:paraId="755F3820" w14:textId="77777777" w:rsidTr="003435B0">
        <w:tc>
          <w:tcPr>
            <w:tcW w:w="3045" w:type="dxa"/>
            <w:vAlign w:val="bottom"/>
          </w:tcPr>
          <w:p w14:paraId="135A82FA" w14:textId="60F917C3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 &amp; outpatient at public PHC</w:t>
            </w:r>
          </w:p>
        </w:tc>
        <w:tc>
          <w:tcPr>
            <w:tcW w:w="2337" w:type="dxa"/>
          </w:tcPr>
          <w:p w14:paraId="125F7E86" w14:textId="493D988D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0.75</w:t>
            </w:r>
          </w:p>
        </w:tc>
        <w:tc>
          <w:tcPr>
            <w:tcW w:w="2338" w:type="dxa"/>
          </w:tcPr>
          <w:p w14:paraId="74859C04" w14:textId="37F6717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1,000,979</w:t>
            </w:r>
          </w:p>
        </w:tc>
        <w:tc>
          <w:tcPr>
            <w:tcW w:w="2338" w:type="dxa"/>
          </w:tcPr>
          <w:p w14:paraId="44BF2E47" w14:textId="4D10D0B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750,734</w:t>
            </w:r>
          </w:p>
        </w:tc>
      </w:tr>
      <w:tr w:rsidR="00437FEB" w:rsidRPr="00D11865" w14:paraId="7E0B2926" w14:textId="77777777" w:rsidTr="003435B0">
        <w:tc>
          <w:tcPr>
            <w:tcW w:w="3045" w:type="dxa"/>
            <w:vAlign w:val="bottom"/>
          </w:tcPr>
          <w:p w14:paraId="4D5E4AF1" w14:textId="0D3697E9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 &amp; outpatient at private PHC</w:t>
            </w:r>
          </w:p>
        </w:tc>
        <w:tc>
          <w:tcPr>
            <w:tcW w:w="2337" w:type="dxa"/>
          </w:tcPr>
          <w:p w14:paraId="356DDEC9" w14:textId="5B12438B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0.914</w:t>
            </w:r>
          </w:p>
        </w:tc>
        <w:tc>
          <w:tcPr>
            <w:tcW w:w="2338" w:type="dxa"/>
          </w:tcPr>
          <w:p w14:paraId="530899B0" w14:textId="15B86AB4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2,133,680</w:t>
            </w:r>
          </w:p>
        </w:tc>
        <w:tc>
          <w:tcPr>
            <w:tcW w:w="2338" w:type="dxa"/>
          </w:tcPr>
          <w:p w14:paraId="0BFCD885" w14:textId="297146B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1,950,184</w:t>
            </w:r>
          </w:p>
        </w:tc>
      </w:tr>
      <w:tr w:rsidR="00437FEB" w:rsidRPr="00D11865" w14:paraId="5551F86E" w14:textId="77777777" w:rsidTr="003435B0">
        <w:tc>
          <w:tcPr>
            <w:tcW w:w="3045" w:type="dxa"/>
            <w:vAlign w:val="bottom"/>
          </w:tcPr>
          <w:p w14:paraId="4405AC66" w14:textId="44B488C6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in &amp; outpatient at mixed facilities</w:t>
            </w:r>
          </w:p>
        </w:tc>
        <w:tc>
          <w:tcPr>
            <w:tcW w:w="2337" w:type="dxa"/>
          </w:tcPr>
          <w:p w14:paraId="28B3A8A3" w14:textId="66B6220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0.841</w:t>
            </w:r>
          </w:p>
        </w:tc>
        <w:tc>
          <w:tcPr>
            <w:tcW w:w="2338" w:type="dxa"/>
          </w:tcPr>
          <w:p w14:paraId="0F59380E" w14:textId="2DEEC0F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2,482,358</w:t>
            </w:r>
          </w:p>
        </w:tc>
        <w:tc>
          <w:tcPr>
            <w:tcW w:w="2338" w:type="dxa"/>
          </w:tcPr>
          <w:p w14:paraId="6CC82575" w14:textId="54514E2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2,087,663</w:t>
            </w:r>
          </w:p>
        </w:tc>
      </w:tr>
      <w:tr w:rsidR="00437FEB" w:rsidRPr="00D11865" w14:paraId="2027ECD8" w14:textId="77777777" w:rsidTr="003435B0">
        <w:tc>
          <w:tcPr>
            <w:tcW w:w="3045" w:type="dxa"/>
            <w:vAlign w:val="bottom"/>
          </w:tcPr>
          <w:p w14:paraId="1EC18215" w14:textId="7C05DC36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outpatient only at public hospital</w:t>
            </w:r>
          </w:p>
        </w:tc>
        <w:tc>
          <w:tcPr>
            <w:tcW w:w="2337" w:type="dxa"/>
          </w:tcPr>
          <w:p w14:paraId="00A82A1D" w14:textId="4D548AA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0.818</w:t>
            </w:r>
          </w:p>
        </w:tc>
        <w:tc>
          <w:tcPr>
            <w:tcW w:w="2338" w:type="dxa"/>
          </w:tcPr>
          <w:p w14:paraId="4E643CC7" w14:textId="4212687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854,524</w:t>
            </w:r>
          </w:p>
        </w:tc>
        <w:tc>
          <w:tcPr>
            <w:tcW w:w="2338" w:type="dxa"/>
          </w:tcPr>
          <w:p w14:paraId="767C7881" w14:textId="71ACB85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699,001</w:t>
            </w:r>
          </w:p>
        </w:tc>
      </w:tr>
      <w:tr w:rsidR="00437FEB" w:rsidRPr="00D11865" w14:paraId="0DC900E6" w14:textId="77777777" w:rsidTr="003435B0">
        <w:tc>
          <w:tcPr>
            <w:tcW w:w="3045" w:type="dxa"/>
            <w:vAlign w:val="bottom"/>
          </w:tcPr>
          <w:p w14:paraId="36B5D73D" w14:textId="69D121BE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outpatient only at private hospital</w:t>
            </w:r>
          </w:p>
        </w:tc>
        <w:tc>
          <w:tcPr>
            <w:tcW w:w="2337" w:type="dxa"/>
          </w:tcPr>
          <w:p w14:paraId="790EFE8C" w14:textId="3F590F4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0.804</w:t>
            </w:r>
          </w:p>
        </w:tc>
        <w:tc>
          <w:tcPr>
            <w:tcW w:w="2338" w:type="dxa"/>
          </w:tcPr>
          <w:p w14:paraId="4F483453" w14:textId="42000FC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929,901</w:t>
            </w:r>
          </w:p>
        </w:tc>
        <w:tc>
          <w:tcPr>
            <w:tcW w:w="2338" w:type="dxa"/>
          </w:tcPr>
          <w:p w14:paraId="200C2A8C" w14:textId="4351B76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747,640</w:t>
            </w:r>
          </w:p>
        </w:tc>
      </w:tr>
      <w:tr w:rsidR="00437FEB" w:rsidRPr="00D11865" w14:paraId="3E2A32BA" w14:textId="77777777" w:rsidTr="003435B0">
        <w:tc>
          <w:tcPr>
            <w:tcW w:w="3045" w:type="dxa"/>
            <w:vAlign w:val="bottom"/>
          </w:tcPr>
          <w:p w14:paraId="73342855" w14:textId="3A9E0164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outpatient only at public PHC</w:t>
            </w:r>
          </w:p>
        </w:tc>
        <w:tc>
          <w:tcPr>
            <w:tcW w:w="2337" w:type="dxa"/>
          </w:tcPr>
          <w:p w14:paraId="32FC283C" w14:textId="56ABD70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0.756</w:t>
            </w:r>
          </w:p>
        </w:tc>
        <w:tc>
          <w:tcPr>
            <w:tcW w:w="2338" w:type="dxa"/>
          </w:tcPr>
          <w:p w14:paraId="0EA05A3F" w14:textId="3BE1A37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431,046</w:t>
            </w:r>
          </w:p>
        </w:tc>
        <w:tc>
          <w:tcPr>
            <w:tcW w:w="2338" w:type="dxa"/>
          </w:tcPr>
          <w:p w14:paraId="38B2CB33" w14:textId="5306CE5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325,871</w:t>
            </w:r>
          </w:p>
        </w:tc>
      </w:tr>
      <w:tr w:rsidR="00437FEB" w:rsidRPr="00D11865" w14:paraId="48F91A34" w14:textId="77777777" w:rsidTr="003435B0">
        <w:tc>
          <w:tcPr>
            <w:tcW w:w="3045" w:type="dxa"/>
            <w:vAlign w:val="bottom"/>
          </w:tcPr>
          <w:p w14:paraId="73E8E32F" w14:textId="1270B252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outpatient only at private PHC</w:t>
            </w:r>
          </w:p>
        </w:tc>
        <w:tc>
          <w:tcPr>
            <w:tcW w:w="2337" w:type="dxa"/>
          </w:tcPr>
          <w:p w14:paraId="48606534" w14:textId="196434C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0.898</w:t>
            </w:r>
          </w:p>
        </w:tc>
        <w:tc>
          <w:tcPr>
            <w:tcW w:w="2338" w:type="dxa"/>
          </w:tcPr>
          <w:p w14:paraId="351761B8" w14:textId="19FCE399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561,431</w:t>
            </w:r>
          </w:p>
        </w:tc>
        <w:tc>
          <w:tcPr>
            <w:tcW w:w="2338" w:type="dxa"/>
          </w:tcPr>
          <w:p w14:paraId="5D0CA3E9" w14:textId="3B9E0B8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504,165</w:t>
            </w:r>
          </w:p>
        </w:tc>
      </w:tr>
      <w:tr w:rsidR="00437FEB" w:rsidRPr="00D11865" w14:paraId="229AFE72" w14:textId="77777777" w:rsidTr="003435B0">
        <w:tc>
          <w:tcPr>
            <w:tcW w:w="3045" w:type="dxa"/>
            <w:vAlign w:val="bottom"/>
          </w:tcPr>
          <w:p w14:paraId="176F20B3" w14:textId="77672F5B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outpatient only at mixed facilities</w:t>
            </w:r>
          </w:p>
        </w:tc>
        <w:tc>
          <w:tcPr>
            <w:tcW w:w="2337" w:type="dxa"/>
          </w:tcPr>
          <w:p w14:paraId="1D462468" w14:textId="34489F7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0.913</w:t>
            </w:r>
          </w:p>
        </w:tc>
        <w:tc>
          <w:tcPr>
            <w:tcW w:w="2338" w:type="dxa"/>
          </w:tcPr>
          <w:p w14:paraId="26EF7828" w14:textId="711E2A5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640,914</w:t>
            </w:r>
          </w:p>
        </w:tc>
        <w:tc>
          <w:tcPr>
            <w:tcW w:w="2338" w:type="dxa"/>
          </w:tcPr>
          <w:p w14:paraId="4BE17038" w14:textId="236D1878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585,154</w:t>
            </w:r>
          </w:p>
        </w:tc>
      </w:tr>
      <w:tr w:rsidR="00437FEB" w:rsidRPr="00D11865" w14:paraId="5F589115" w14:textId="77777777" w:rsidTr="003435B0">
        <w:tc>
          <w:tcPr>
            <w:tcW w:w="3045" w:type="dxa"/>
            <w:vAlign w:val="bottom"/>
          </w:tcPr>
          <w:p w14:paraId="2F2016AF" w14:textId="2F3F68D9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inpatient only at public hospital</w:t>
            </w:r>
          </w:p>
        </w:tc>
        <w:tc>
          <w:tcPr>
            <w:tcW w:w="2337" w:type="dxa"/>
          </w:tcPr>
          <w:p w14:paraId="7D13050C" w14:textId="611A596B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0.836</w:t>
            </w:r>
          </w:p>
        </w:tc>
        <w:tc>
          <w:tcPr>
            <w:tcW w:w="2338" w:type="dxa"/>
          </w:tcPr>
          <w:p w14:paraId="5DB59684" w14:textId="48A8770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2,442,886</w:t>
            </w:r>
          </w:p>
        </w:tc>
        <w:tc>
          <w:tcPr>
            <w:tcW w:w="2338" w:type="dxa"/>
          </w:tcPr>
          <w:p w14:paraId="1A5C3B38" w14:textId="33D9E4D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2,042,253</w:t>
            </w:r>
          </w:p>
        </w:tc>
      </w:tr>
      <w:tr w:rsidR="00437FEB" w:rsidRPr="00D11865" w14:paraId="58C8CB9A" w14:textId="77777777" w:rsidTr="003435B0">
        <w:tc>
          <w:tcPr>
            <w:tcW w:w="3045" w:type="dxa"/>
            <w:vAlign w:val="bottom"/>
          </w:tcPr>
          <w:p w14:paraId="63C2C63E" w14:textId="2F0A48AA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lastRenderedPageBreak/>
              <w:t>Private &amp; Mixed – inpatient only at private hospital</w:t>
            </w:r>
          </w:p>
        </w:tc>
        <w:tc>
          <w:tcPr>
            <w:tcW w:w="2337" w:type="dxa"/>
          </w:tcPr>
          <w:p w14:paraId="423C1CC7" w14:textId="4AE538C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0.872</w:t>
            </w:r>
          </w:p>
        </w:tc>
        <w:tc>
          <w:tcPr>
            <w:tcW w:w="2338" w:type="dxa"/>
          </w:tcPr>
          <w:p w14:paraId="1728D97C" w14:textId="056B8F2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3,250,366</w:t>
            </w:r>
          </w:p>
        </w:tc>
        <w:tc>
          <w:tcPr>
            <w:tcW w:w="2338" w:type="dxa"/>
          </w:tcPr>
          <w:p w14:paraId="152C1FB3" w14:textId="353B7CF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2,834,319</w:t>
            </w:r>
          </w:p>
        </w:tc>
      </w:tr>
      <w:tr w:rsidR="00437FEB" w:rsidRPr="00D11865" w14:paraId="25168EE3" w14:textId="77777777" w:rsidTr="003435B0">
        <w:tc>
          <w:tcPr>
            <w:tcW w:w="3045" w:type="dxa"/>
            <w:vAlign w:val="bottom"/>
          </w:tcPr>
          <w:p w14:paraId="2A37A7EA" w14:textId="598A8447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inpatient only at public PHC</w:t>
            </w:r>
          </w:p>
        </w:tc>
        <w:tc>
          <w:tcPr>
            <w:tcW w:w="2337" w:type="dxa"/>
          </w:tcPr>
          <w:p w14:paraId="34319519" w14:textId="56BF50F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0.827</w:t>
            </w:r>
          </w:p>
        </w:tc>
        <w:tc>
          <w:tcPr>
            <w:tcW w:w="2338" w:type="dxa"/>
          </w:tcPr>
          <w:p w14:paraId="6D31B8CB" w14:textId="7349FBA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1,076,035</w:t>
            </w:r>
          </w:p>
        </w:tc>
        <w:tc>
          <w:tcPr>
            <w:tcW w:w="2338" w:type="dxa"/>
          </w:tcPr>
          <w:p w14:paraId="278B4659" w14:textId="798E84C6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889,881</w:t>
            </w:r>
          </w:p>
        </w:tc>
      </w:tr>
      <w:tr w:rsidR="00437FEB" w:rsidRPr="00D11865" w14:paraId="3A25CCB7" w14:textId="77777777" w:rsidTr="003435B0">
        <w:tc>
          <w:tcPr>
            <w:tcW w:w="3045" w:type="dxa"/>
            <w:vAlign w:val="bottom"/>
          </w:tcPr>
          <w:p w14:paraId="6D746A09" w14:textId="36B72F49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inpatient only at private PHC</w:t>
            </w:r>
          </w:p>
        </w:tc>
        <w:tc>
          <w:tcPr>
            <w:tcW w:w="2337" w:type="dxa"/>
          </w:tcPr>
          <w:p w14:paraId="2614D7BA" w14:textId="0492733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0.916</w:t>
            </w:r>
          </w:p>
        </w:tc>
        <w:tc>
          <w:tcPr>
            <w:tcW w:w="2338" w:type="dxa"/>
          </w:tcPr>
          <w:p w14:paraId="08A4C92C" w14:textId="6F8BB71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2,079,119</w:t>
            </w:r>
          </w:p>
        </w:tc>
        <w:tc>
          <w:tcPr>
            <w:tcW w:w="2338" w:type="dxa"/>
          </w:tcPr>
          <w:p w14:paraId="34C66537" w14:textId="33852F8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1,904,473</w:t>
            </w:r>
          </w:p>
        </w:tc>
      </w:tr>
      <w:tr w:rsidR="00437FEB" w:rsidRPr="00D11865" w14:paraId="7752AE8D" w14:textId="77777777" w:rsidTr="003435B0">
        <w:tc>
          <w:tcPr>
            <w:tcW w:w="3045" w:type="dxa"/>
            <w:vAlign w:val="bottom"/>
          </w:tcPr>
          <w:p w14:paraId="572B6B3C" w14:textId="563CB5DA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inpatient only at mixed facilities</w:t>
            </w:r>
          </w:p>
        </w:tc>
        <w:tc>
          <w:tcPr>
            <w:tcW w:w="2337" w:type="dxa"/>
          </w:tcPr>
          <w:p w14:paraId="37BDC612" w14:textId="015BE4FF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0.842</w:t>
            </w:r>
          </w:p>
        </w:tc>
        <w:tc>
          <w:tcPr>
            <w:tcW w:w="2338" w:type="dxa"/>
          </w:tcPr>
          <w:p w14:paraId="06648240" w14:textId="46BDCA8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5,008,291</w:t>
            </w:r>
          </w:p>
        </w:tc>
        <w:tc>
          <w:tcPr>
            <w:tcW w:w="2338" w:type="dxa"/>
          </w:tcPr>
          <w:p w14:paraId="58E57F54" w14:textId="195C976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4,216,981</w:t>
            </w:r>
          </w:p>
        </w:tc>
      </w:tr>
      <w:tr w:rsidR="00437FEB" w:rsidRPr="00D11865" w14:paraId="682C637D" w14:textId="77777777" w:rsidTr="003435B0">
        <w:tc>
          <w:tcPr>
            <w:tcW w:w="3045" w:type="dxa"/>
            <w:vAlign w:val="bottom"/>
          </w:tcPr>
          <w:p w14:paraId="39FF4CC9" w14:textId="3113D0BA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 &amp; outpatient at public hospital</w:t>
            </w:r>
          </w:p>
        </w:tc>
        <w:tc>
          <w:tcPr>
            <w:tcW w:w="2337" w:type="dxa"/>
          </w:tcPr>
          <w:p w14:paraId="123194B6" w14:textId="3D6CCB7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0.798</w:t>
            </w:r>
          </w:p>
        </w:tc>
        <w:tc>
          <w:tcPr>
            <w:tcW w:w="2338" w:type="dxa"/>
          </w:tcPr>
          <w:p w14:paraId="1322CDDB" w14:textId="7B98F294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3,555,861</w:t>
            </w:r>
          </w:p>
        </w:tc>
        <w:tc>
          <w:tcPr>
            <w:tcW w:w="2338" w:type="dxa"/>
          </w:tcPr>
          <w:p w14:paraId="394005D4" w14:textId="31452F6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2,837,577</w:t>
            </w:r>
          </w:p>
        </w:tc>
      </w:tr>
      <w:tr w:rsidR="00437FEB" w:rsidRPr="00D11865" w14:paraId="68953756" w14:textId="77777777" w:rsidTr="003435B0">
        <w:tc>
          <w:tcPr>
            <w:tcW w:w="3045" w:type="dxa"/>
            <w:vAlign w:val="bottom"/>
          </w:tcPr>
          <w:p w14:paraId="09F1AB93" w14:textId="181FA89A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 &amp; outpatient at private hospital</w:t>
            </w:r>
          </w:p>
        </w:tc>
        <w:tc>
          <w:tcPr>
            <w:tcW w:w="2337" w:type="dxa"/>
          </w:tcPr>
          <w:p w14:paraId="174FCEDE" w14:textId="11C5D931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0.783</w:t>
            </w:r>
          </w:p>
        </w:tc>
        <w:tc>
          <w:tcPr>
            <w:tcW w:w="2338" w:type="dxa"/>
          </w:tcPr>
          <w:p w14:paraId="6BBFD16B" w14:textId="0A0D56D0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3,976,512</w:t>
            </w:r>
          </w:p>
        </w:tc>
        <w:tc>
          <w:tcPr>
            <w:tcW w:w="2338" w:type="dxa"/>
          </w:tcPr>
          <w:p w14:paraId="38D1ED9B" w14:textId="648A74B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3,113,609</w:t>
            </w:r>
          </w:p>
        </w:tc>
      </w:tr>
      <w:tr w:rsidR="00437FEB" w:rsidRPr="00D11865" w14:paraId="08C63477" w14:textId="77777777" w:rsidTr="003435B0">
        <w:tc>
          <w:tcPr>
            <w:tcW w:w="3045" w:type="dxa"/>
            <w:vAlign w:val="bottom"/>
          </w:tcPr>
          <w:p w14:paraId="3F78CAE3" w14:textId="1C4EE81E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 &amp; outpatient at public PHC</w:t>
            </w:r>
          </w:p>
        </w:tc>
        <w:tc>
          <w:tcPr>
            <w:tcW w:w="2337" w:type="dxa"/>
          </w:tcPr>
          <w:p w14:paraId="180C4ED8" w14:textId="6E29E6A5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0.815</w:t>
            </w:r>
          </w:p>
        </w:tc>
        <w:tc>
          <w:tcPr>
            <w:tcW w:w="2338" w:type="dxa"/>
          </w:tcPr>
          <w:p w14:paraId="2B3968EC" w14:textId="51D5158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1,000,694</w:t>
            </w:r>
          </w:p>
        </w:tc>
        <w:tc>
          <w:tcPr>
            <w:tcW w:w="2338" w:type="dxa"/>
          </w:tcPr>
          <w:p w14:paraId="547ADEE7" w14:textId="07EB6C3E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815,566</w:t>
            </w:r>
          </w:p>
        </w:tc>
      </w:tr>
      <w:tr w:rsidR="00437FEB" w:rsidRPr="00D11865" w14:paraId="278535B9" w14:textId="77777777" w:rsidTr="003435B0">
        <w:tc>
          <w:tcPr>
            <w:tcW w:w="3045" w:type="dxa"/>
            <w:vAlign w:val="bottom"/>
          </w:tcPr>
          <w:p w14:paraId="36D765F7" w14:textId="304DD84B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 &amp; outpatient at private PHC</w:t>
            </w:r>
          </w:p>
        </w:tc>
        <w:tc>
          <w:tcPr>
            <w:tcW w:w="2337" w:type="dxa"/>
          </w:tcPr>
          <w:p w14:paraId="006F7912" w14:textId="58822A79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0.94</w:t>
            </w:r>
          </w:p>
        </w:tc>
        <w:tc>
          <w:tcPr>
            <w:tcW w:w="2338" w:type="dxa"/>
          </w:tcPr>
          <w:p w14:paraId="4F844DD4" w14:textId="51F590CA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1,909,435</w:t>
            </w:r>
          </w:p>
        </w:tc>
        <w:tc>
          <w:tcPr>
            <w:tcW w:w="2338" w:type="dxa"/>
          </w:tcPr>
          <w:p w14:paraId="21AA90E4" w14:textId="77381B33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1,794,869</w:t>
            </w:r>
          </w:p>
        </w:tc>
      </w:tr>
      <w:tr w:rsidR="00437FEB" w:rsidRPr="00D11865" w14:paraId="0838FAF5" w14:textId="77777777" w:rsidTr="003435B0">
        <w:tc>
          <w:tcPr>
            <w:tcW w:w="3045" w:type="dxa"/>
            <w:vAlign w:val="bottom"/>
          </w:tcPr>
          <w:p w14:paraId="3C6ACB34" w14:textId="102E5C3F" w:rsidR="00437FEB" w:rsidRPr="00D11865" w:rsidRDefault="00437FEB" w:rsidP="00437F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in &amp; outpatient at mixed facilities</w:t>
            </w:r>
          </w:p>
        </w:tc>
        <w:tc>
          <w:tcPr>
            <w:tcW w:w="2337" w:type="dxa"/>
          </w:tcPr>
          <w:p w14:paraId="6802714A" w14:textId="14A43867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0.897</w:t>
            </w:r>
          </w:p>
        </w:tc>
        <w:tc>
          <w:tcPr>
            <w:tcW w:w="2338" w:type="dxa"/>
          </w:tcPr>
          <w:p w14:paraId="40C11733" w14:textId="2F4FCF6C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2,564,878</w:t>
            </w:r>
          </w:p>
        </w:tc>
        <w:tc>
          <w:tcPr>
            <w:tcW w:w="2338" w:type="dxa"/>
          </w:tcPr>
          <w:p w14:paraId="4AA3C7E8" w14:textId="4385F812" w:rsidR="00437FEB" w:rsidRPr="00D11865" w:rsidRDefault="00437F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2,300,696</w:t>
            </w:r>
          </w:p>
        </w:tc>
      </w:tr>
      <w:tr w:rsidR="003C3307" w:rsidRPr="00D11865" w14:paraId="73F21F29" w14:textId="77777777" w:rsidTr="00A20543">
        <w:tc>
          <w:tcPr>
            <w:tcW w:w="10058" w:type="dxa"/>
            <w:gridSpan w:val="4"/>
            <w:vAlign w:val="bottom"/>
          </w:tcPr>
          <w:p w14:paraId="7EA0A54B" w14:textId="05E99388" w:rsidR="003C3307" w:rsidRPr="00D11865" w:rsidRDefault="003C3307" w:rsidP="003C33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Insurance &amp; Rural</w:t>
            </w:r>
            <w:r w:rsidR="00C86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</w:t>
            </w:r>
          </w:p>
        </w:tc>
      </w:tr>
      <w:tr w:rsidR="005C19EB" w:rsidRPr="00D11865" w14:paraId="15A54607" w14:textId="77777777" w:rsidTr="003435B0">
        <w:tc>
          <w:tcPr>
            <w:tcW w:w="3045" w:type="dxa"/>
            <w:vAlign w:val="bottom"/>
          </w:tcPr>
          <w:p w14:paraId="4473FC3E" w14:textId="29189D13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No insurance – Rural </w:t>
            </w:r>
          </w:p>
        </w:tc>
        <w:tc>
          <w:tcPr>
            <w:tcW w:w="2337" w:type="dxa"/>
          </w:tcPr>
          <w:p w14:paraId="30A0B097" w14:textId="7E3CFED0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0.768</w:t>
            </w:r>
          </w:p>
        </w:tc>
        <w:tc>
          <w:tcPr>
            <w:tcW w:w="2338" w:type="dxa"/>
          </w:tcPr>
          <w:p w14:paraId="1FA35112" w14:textId="31BA1B75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1,544,360</w:t>
            </w:r>
          </w:p>
        </w:tc>
        <w:tc>
          <w:tcPr>
            <w:tcW w:w="2338" w:type="dxa"/>
          </w:tcPr>
          <w:p w14:paraId="5769EC90" w14:textId="0A56D5D4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1,186,068</w:t>
            </w:r>
          </w:p>
        </w:tc>
      </w:tr>
      <w:tr w:rsidR="005C19EB" w:rsidRPr="00D11865" w14:paraId="22645076" w14:textId="77777777" w:rsidTr="003435B0">
        <w:tc>
          <w:tcPr>
            <w:tcW w:w="3045" w:type="dxa"/>
            <w:vAlign w:val="bottom"/>
          </w:tcPr>
          <w:p w14:paraId="19E39F77" w14:textId="3274BBFF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JKN only – Rural</w:t>
            </w:r>
          </w:p>
        </w:tc>
        <w:tc>
          <w:tcPr>
            <w:tcW w:w="2337" w:type="dxa"/>
          </w:tcPr>
          <w:p w14:paraId="4C695273" w14:textId="05085FB6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0.702</w:t>
            </w:r>
          </w:p>
        </w:tc>
        <w:tc>
          <w:tcPr>
            <w:tcW w:w="2338" w:type="dxa"/>
          </w:tcPr>
          <w:p w14:paraId="7F8CE4C8" w14:textId="3B9C04E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1,007,569</w:t>
            </w:r>
          </w:p>
        </w:tc>
        <w:tc>
          <w:tcPr>
            <w:tcW w:w="2338" w:type="dxa"/>
          </w:tcPr>
          <w:p w14:paraId="5B31D925" w14:textId="5F9912D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707,313</w:t>
            </w:r>
          </w:p>
        </w:tc>
      </w:tr>
      <w:tr w:rsidR="005C19EB" w:rsidRPr="00D11865" w14:paraId="71360C10" w14:textId="77777777" w:rsidTr="003435B0">
        <w:tc>
          <w:tcPr>
            <w:tcW w:w="3045" w:type="dxa"/>
            <w:vAlign w:val="bottom"/>
          </w:tcPr>
          <w:p w14:paraId="57F02E75" w14:textId="65C23D3D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Private &amp; Mixed – Rural</w:t>
            </w:r>
          </w:p>
        </w:tc>
        <w:tc>
          <w:tcPr>
            <w:tcW w:w="2337" w:type="dxa"/>
          </w:tcPr>
          <w:p w14:paraId="34332C93" w14:textId="2D4C7D3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0.743</w:t>
            </w:r>
          </w:p>
        </w:tc>
        <w:tc>
          <w:tcPr>
            <w:tcW w:w="2338" w:type="dxa"/>
          </w:tcPr>
          <w:p w14:paraId="2A41D6B9" w14:textId="100F95CC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1,088,174</w:t>
            </w:r>
          </w:p>
        </w:tc>
        <w:tc>
          <w:tcPr>
            <w:tcW w:w="2338" w:type="dxa"/>
          </w:tcPr>
          <w:p w14:paraId="3AD75073" w14:textId="313BF8CD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808,513</w:t>
            </w:r>
          </w:p>
        </w:tc>
      </w:tr>
      <w:tr w:rsidR="00D10455" w:rsidRPr="00D11865" w14:paraId="0F282D21" w14:textId="77777777" w:rsidTr="003435B0">
        <w:tc>
          <w:tcPr>
            <w:tcW w:w="3045" w:type="dxa"/>
            <w:vAlign w:val="bottom"/>
          </w:tcPr>
          <w:p w14:paraId="156907FA" w14:textId="6CCD7882" w:rsidR="00D10455" w:rsidRPr="00D11865" w:rsidRDefault="00D10455" w:rsidP="00D104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Insurance &amp; Rural</w:t>
            </w:r>
            <w:r w:rsidR="00C86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</w:t>
            </w:r>
          </w:p>
        </w:tc>
        <w:tc>
          <w:tcPr>
            <w:tcW w:w="2337" w:type="dxa"/>
          </w:tcPr>
          <w:p w14:paraId="7963B7FE" w14:textId="77777777" w:rsidR="00D10455" w:rsidRPr="00D11865" w:rsidRDefault="00D10455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19671A1" w14:textId="77777777" w:rsidR="00D10455" w:rsidRPr="00D11865" w:rsidRDefault="00D10455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391E5C3" w14:textId="77777777" w:rsidR="00D10455" w:rsidRPr="00D11865" w:rsidRDefault="00D10455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19EB" w:rsidRPr="00D11865" w14:paraId="68C73483" w14:textId="77777777" w:rsidTr="003435B0">
        <w:tc>
          <w:tcPr>
            <w:tcW w:w="3045" w:type="dxa"/>
            <w:vAlign w:val="bottom"/>
          </w:tcPr>
          <w:p w14:paraId="398A3C26" w14:textId="35418079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No insurance – Urban</w:t>
            </w:r>
          </w:p>
        </w:tc>
        <w:tc>
          <w:tcPr>
            <w:tcW w:w="2337" w:type="dxa"/>
          </w:tcPr>
          <w:p w14:paraId="073249DC" w14:textId="023F137C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0.705</w:t>
            </w:r>
          </w:p>
        </w:tc>
        <w:tc>
          <w:tcPr>
            <w:tcW w:w="2338" w:type="dxa"/>
          </w:tcPr>
          <w:p w14:paraId="2F483E69" w14:textId="639940D7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1,352,679</w:t>
            </w:r>
          </w:p>
        </w:tc>
        <w:tc>
          <w:tcPr>
            <w:tcW w:w="2338" w:type="dxa"/>
          </w:tcPr>
          <w:p w14:paraId="018F128C" w14:textId="481E83BC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953,639</w:t>
            </w:r>
          </w:p>
        </w:tc>
      </w:tr>
      <w:tr w:rsidR="005C19EB" w:rsidRPr="00D11865" w14:paraId="4CAB944B" w14:textId="77777777" w:rsidTr="003435B0">
        <w:tc>
          <w:tcPr>
            <w:tcW w:w="3045" w:type="dxa"/>
            <w:vAlign w:val="bottom"/>
          </w:tcPr>
          <w:p w14:paraId="3CFFE51E" w14:textId="2DEF6B2D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JKN only – Urban </w:t>
            </w:r>
          </w:p>
        </w:tc>
        <w:tc>
          <w:tcPr>
            <w:tcW w:w="2337" w:type="dxa"/>
          </w:tcPr>
          <w:p w14:paraId="400589BD" w14:textId="48DB270E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0.63</w:t>
            </w:r>
          </w:p>
        </w:tc>
        <w:tc>
          <w:tcPr>
            <w:tcW w:w="2338" w:type="dxa"/>
          </w:tcPr>
          <w:p w14:paraId="2F81E955" w14:textId="724727DE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933,667</w:t>
            </w:r>
          </w:p>
        </w:tc>
        <w:tc>
          <w:tcPr>
            <w:tcW w:w="2338" w:type="dxa"/>
          </w:tcPr>
          <w:p w14:paraId="25E13B45" w14:textId="33D98EA6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588,210</w:t>
            </w:r>
          </w:p>
        </w:tc>
      </w:tr>
      <w:tr w:rsidR="005C19EB" w:rsidRPr="00D11865" w14:paraId="04D7D09F" w14:textId="77777777" w:rsidTr="003435B0">
        <w:tc>
          <w:tcPr>
            <w:tcW w:w="3045" w:type="dxa"/>
            <w:vAlign w:val="bottom"/>
          </w:tcPr>
          <w:p w14:paraId="3D674D2C" w14:textId="666B0481" w:rsidR="005C19EB" w:rsidRPr="00D11865" w:rsidRDefault="005C19EB" w:rsidP="005C19EB">
            <w:pPr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</w:pPr>
            <w:r w:rsidRPr="00D11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 xml:space="preserve">Private &amp; Mixed – Urban </w:t>
            </w:r>
          </w:p>
        </w:tc>
        <w:tc>
          <w:tcPr>
            <w:tcW w:w="2337" w:type="dxa"/>
          </w:tcPr>
          <w:p w14:paraId="3F086D5F" w14:textId="1A7627F8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0.671</w:t>
            </w:r>
          </w:p>
        </w:tc>
        <w:tc>
          <w:tcPr>
            <w:tcW w:w="2338" w:type="dxa"/>
          </w:tcPr>
          <w:p w14:paraId="4158ADED" w14:textId="579646C6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1,016,834</w:t>
            </w:r>
          </w:p>
        </w:tc>
        <w:tc>
          <w:tcPr>
            <w:tcW w:w="2338" w:type="dxa"/>
          </w:tcPr>
          <w:p w14:paraId="021543D4" w14:textId="3E300E42" w:rsidR="005C19EB" w:rsidRPr="00D11865" w:rsidRDefault="005C19EB" w:rsidP="00D118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1865">
              <w:rPr>
                <w:sz w:val="20"/>
                <w:szCs w:val="20"/>
              </w:rPr>
              <w:t>682,296</w:t>
            </w:r>
          </w:p>
        </w:tc>
      </w:tr>
    </w:tbl>
    <w:p w14:paraId="34A4C8FC" w14:textId="77777777" w:rsidR="00EA76D3" w:rsidRPr="00770938" w:rsidRDefault="00EA76D3" w:rsidP="005F7668">
      <w:pPr>
        <w:spacing w:after="0" w:line="240" w:lineRule="auto"/>
        <w:ind w:left="284" w:hanging="284"/>
        <w:rPr>
          <w:color w:val="000000" w:themeColor="text1"/>
          <w:sz w:val="18"/>
          <w:szCs w:val="18"/>
        </w:rPr>
      </w:pPr>
      <w:r w:rsidRPr="00770938">
        <w:rPr>
          <w:color w:val="000000" w:themeColor="text1"/>
          <w:sz w:val="18"/>
          <w:szCs w:val="18"/>
        </w:rPr>
        <w:t>Notes:</w:t>
      </w:r>
    </w:p>
    <w:p w14:paraId="20D32902" w14:textId="25E1EE32" w:rsidR="004942EB" w:rsidRPr="00770938" w:rsidRDefault="00FA06A3" w:rsidP="005F7668">
      <w:pPr>
        <w:spacing w:after="0" w:line="240" w:lineRule="auto"/>
        <w:ind w:left="284" w:hanging="284"/>
        <w:rPr>
          <w:color w:val="000000" w:themeColor="text1"/>
          <w:sz w:val="18"/>
          <w:szCs w:val="18"/>
        </w:rPr>
      </w:pPr>
      <w:r w:rsidRPr="00770938">
        <w:rPr>
          <w:color w:val="000000" w:themeColor="text1"/>
          <w:sz w:val="18"/>
          <w:szCs w:val="18"/>
        </w:rPr>
        <w:t xml:space="preserve">a = the </w:t>
      </w:r>
      <w:r w:rsidR="00EA76D3" w:rsidRPr="00770938">
        <w:rPr>
          <w:color w:val="000000" w:themeColor="text1"/>
          <w:sz w:val="18"/>
          <w:szCs w:val="18"/>
        </w:rPr>
        <w:t xml:space="preserve">results </w:t>
      </w:r>
      <w:r w:rsidRPr="00770938">
        <w:rPr>
          <w:color w:val="000000" w:themeColor="text1"/>
          <w:sz w:val="18"/>
          <w:szCs w:val="18"/>
        </w:rPr>
        <w:t>show the probability of paying OOP, while the probability</w:t>
      </w:r>
      <w:r w:rsidR="005F7668" w:rsidRPr="00770938">
        <w:rPr>
          <w:color w:val="000000" w:themeColor="text1"/>
          <w:sz w:val="18"/>
          <w:szCs w:val="18"/>
        </w:rPr>
        <w:t xml:space="preserve"> </w:t>
      </w:r>
      <w:r w:rsidR="00EA76D3" w:rsidRPr="00770938">
        <w:rPr>
          <w:color w:val="000000" w:themeColor="text1"/>
          <w:sz w:val="18"/>
          <w:szCs w:val="18"/>
        </w:rPr>
        <w:t>of not paying</w:t>
      </w:r>
      <w:r w:rsidR="005F7668" w:rsidRPr="00770938">
        <w:rPr>
          <w:color w:val="000000" w:themeColor="text1"/>
          <w:sz w:val="18"/>
          <w:szCs w:val="18"/>
        </w:rPr>
        <w:t xml:space="preserve"> OOP is obtained from subtract</w:t>
      </w:r>
      <w:r w:rsidR="00EA76D3" w:rsidRPr="00770938">
        <w:rPr>
          <w:color w:val="000000" w:themeColor="text1"/>
          <w:sz w:val="18"/>
          <w:szCs w:val="18"/>
        </w:rPr>
        <w:t>ing</w:t>
      </w:r>
      <w:r w:rsidR="005F7668" w:rsidRPr="00770938">
        <w:rPr>
          <w:color w:val="000000" w:themeColor="text1"/>
          <w:sz w:val="18"/>
          <w:szCs w:val="18"/>
        </w:rPr>
        <w:t xml:space="preserve"> 1 with the </w:t>
      </w:r>
      <w:r w:rsidR="00EA76D3" w:rsidRPr="00770938">
        <w:rPr>
          <w:color w:val="000000" w:themeColor="text1"/>
          <w:sz w:val="18"/>
          <w:szCs w:val="18"/>
        </w:rPr>
        <w:t>results in the table</w:t>
      </w:r>
      <w:r w:rsidR="005F7668" w:rsidRPr="00770938">
        <w:rPr>
          <w:color w:val="000000" w:themeColor="text1"/>
          <w:sz w:val="18"/>
          <w:szCs w:val="18"/>
        </w:rPr>
        <w:t xml:space="preserve">. For example, the probability of JKN only households paying OOP is 0.663, while their probability </w:t>
      </w:r>
      <w:r w:rsidR="00EA76D3" w:rsidRPr="00770938">
        <w:rPr>
          <w:color w:val="000000" w:themeColor="text1"/>
          <w:sz w:val="18"/>
          <w:szCs w:val="18"/>
        </w:rPr>
        <w:t xml:space="preserve">of </w:t>
      </w:r>
      <w:r w:rsidR="005F7668" w:rsidRPr="00770938">
        <w:rPr>
          <w:color w:val="000000" w:themeColor="text1"/>
          <w:sz w:val="18"/>
          <w:szCs w:val="18"/>
        </w:rPr>
        <w:t xml:space="preserve">not paying OOP is 0.34.  </w:t>
      </w:r>
    </w:p>
    <w:p w14:paraId="40559FC8" w14:textId="4F01E835" w:rsidR="00BB76A9" w:rsidRPr="00770938" w:rsidRDefault="00FA06A3" w:rsidP="00BB76A9">
      <w:pPr>
        <w:spacing w:after="0" w:line="240" w:lineRule="auto"/>
        <w:ind w:left="284" w:hanging="284"/>
        <w:rPr>
          <w:color w:val="000000" w:themeColor="text1"/>
          <w:sz w:val="18"/>
          <w:szCs w:val="18"/>
        </w:rPr>
      </w:pPr>
      <w:r w:rsidRPr="00770938">
        <w:rPr>
          <w:color w:val="000000" w:themeColor="text1"/>
          <w:sz w:val="18"/>
          <w:szCs w:val="18"/>
        </w:rPr>
        <w:t>b</w:t>
      </w:r>
      <w:r w:rsidR="005F7668" w:rsidRPr="00770938">
        <w:rPr>
          <w:color w:val="000000" w:themeColor="text1"/>
          <w:sz w:val="18"/>
          <w:szCs w:val="18"/>
        </w:rPr>
        <w:t xml:space="preserve"> = the </w:t>
      </w:r>
      <w:r w:rsidR="00EA76D3" w:rsidRPr="00770938">
        <w:rPr>
          <w:color w:val="000000" w:themeColor="text1"/>
          <w:sz w:val="18"/>
          <w:szCs w:val="18"/>
        </w:rPr>
        <w:t>results</w:t>
      </w:r>
      <w:r w:rsidR="005F7668" w:rsidRPr="00770938">
        <w:rPr>
          <w:color w:val="000000" w:themeColor="text1"/>
          <w:sz w:val="18"/>
          <w:szCs w:val="18"/>
        </w:rPr>
        <w:t xml:space="preserve"> show the average OOP</w:t>
      </w:r>
      <w:r w:rsidR="00EA76D3" w:rsidRPr="00770938">
        <w:rPr>
          <w:color w:val="000000" w:themeColor="text1"/>
          <w:sz w:val="18"/>
          <w:szCs w:val="18"/>
        </w:rPr>
        <w:t xml:space="preserve"> spending</w:t>
      </w:r>
      <w:r w:rsidR="005F7668" w:rsidRPr="00770938">
        <w:rPr>
          <w:color w:val="000000" w:themeColor="text1"/>
          <w:sz w:val="18"/>
          <w:szCs w:val="18"/>
        </w:rPr>
        <w:t xml:space="preserve"> conditional on </w:t>
      </w:r>
      <w:r w:rsidR="00BB76A9" w:rsidRPr="00770938">
        <w:rPr>
          <w:color w:val="000000" w:themeColor="text1"/>
          <w:sz w:val="18"/>
          <w:szCs w:val="18"/>
        </w:rPr>
        <w:t>household</w:t>
      </w:r>
      <w:r w:rsidR="00EA76D3" w:rsidRPr="00770938">
        <w:rPr>
          <w:color w:val="000000" w:themeColor="text1"/>
          <w:sz w:val="18"/>
          <w:szCs w:val="18"/>
        </w:rPr>
        <w:t xml:space="preserve">s </w:t>
      </w:r>
      <w:r w:rsidR="00BB76A9" w:rsidRPr="00770938">
        <w:rPr>
          <w:color w:val="000000" w:themeColor="text1"/>
          <w:sz w:val="18"/>
          <w:szCs w:val="18"/>
        </w:rPr>
        <w:t>hav</w:t>
      </w:r>
      <w:r w:rsidR="00EA76D3" w:rsidRPr="00770938">
        <w:rPr>
          <w:color w:val="000000" w:themeColor="text1"/>
          <w:sz w:val="18"/>
          <w:szCs w:val="18"/>
        </w:rPr>
        <w:t>ing</w:t>
      </w:r>
      <w:r w:rsidR="00770938" w:rsidRPr="00770938">
        <w:rPr>
          <w:color w:val="000000" w:themeColor="text1"/>
          <w:sz w:val="18"/>
          <w:szCs w:val="18"/>
        </w:rPr>
        <w:t xml:space="preserve"> spent on</w:t>
      </w:r>
      <w:r w:rsidR="00EA76D3" w:rsidRPr="00770938">
        <w:rPr>
          <w:color w:val="000000" w:themeColor="text1"/>
          <w:sz w:val="18"/>
          <w:szCs w:val="18"/>
        </w:rPr>
        <w:t xml:space="preserve"> </w:t>
      </w:r>
      <w:r w:rsidR="00BB76A9" w:rsidRPr="00770938">
        <w:rPr>
          <w:color w:val="000000" w:themeColor="text1"/>
          <w:sz w:val="18"/>
          <w:szCs w:val="18"/>
        </w:rPr>
        <w:t>OOP.</w:t>
      </w:r>
      <w:r w:rsidR="006536AB" w:rsidRPr="00770938">
        <w:rPr>
          <w:color w:val="000000" w:themeColor="text1"/>
          <w:sz w:val="18"/>
          <w:szCs w:val="18"/>
        </w:rPr>
        <w:t xml:space="preserve"> For example.</w:t>
      </w:r>
      <w:r w:rsidR="00BB76A9" w:rsidRPr="00770938">
        <w:rPr>
          <w:color w:val="000000" w:themeColor="text1"/>
          <w:sz w:val="18"/>
          <w:szCs w:val="18"/>
        </w:rPr>
        <w:t xml:space="preserve"> JKN only household have less average OOP spending</w:t>
      </w:r>
      <w:r w:rsidR="006536AB" w:rsidRPr="00770938">
        <w:rPr>
          <w:color w:val="000000" w:themeColor="text1"/>
          <w:sz w:val="18"/>
          <w:szCs w:val="18"/>
        </w:rPr>
        <w:t xml:space="preserve"> (IDR 960,350)</w:t>
      </w:r>
      <w:r w:rsidR="00BB76A9" w:rsidRPr="00770938">
        <w:rPr>
          <w:color w:val="000000" w:themeColor="text1"/>
          <w:sz w:val="18"/>
          <w:szCs w:val="18"/>
        </w:rPr>
        <w:t xml:space="preserve"> than uninsured household </w:t>
      </w:r>
      <w:r w:rsidR="006536AB" w:rsidRPr="00770938">
        <w:rPr>
          <w:color w:val="000000" w:themeColor="text1"/>
          <w:sz w:val="18"/>
          <w:szCs w:val="18"/>
        </w:rPr>
        <w:t xml:space="preserve">(IDR 1,420,242) </w:t>
      </w:r>
      <w:r w:rsidR="00BB76A9" w:rsidRPr="00770938">
        <w:rPr>
          <w:color w:val="000000" w:themeColor="text1"/>
          <w:sz w:val="18"/>
          <w:szCs w:val="18"/>
        </w:rPr>
        <w:t xml:space="preserve">by 32%. </w:t>
      </w:r>
    </w:p>
    <w:p w14:paraId="6475A79C" w14:textId="20B9DEF8" w:rsidR="006C496F" w:rsidRPr="00770938" w:rsidRDefault="00FA06A3" w:rsidP="00CD7A44">
      <w:pPr>
        <w:ind w:left="284" w:hanging="284"/>
        <w:rPr>
          <w:sz w:val="18"/>
          <w:szCs w:val="18"/>
        </w:rPr>
      </w:pPr>
      <w:r w:rsidRPr="00770938">
        <w:rPr>
          <w:sz w:val="18"/>
          <w:szCs w:val="18"/>
        </w:rPr>
        <w:t>c</w:t>
      </w:r>
      <w:r w:rsidR="00D45EAE" w:rsidRPr="00770938">
        <w:rPr>
          <w:sz w:val="18"/>
          <w:szCs w:val="18"/>
        </w:rPr>
        <w:t xml:space="preserve"> = </w:t>
      </w:r>
      <w:proofErr w:type="gramStart"/>
      <w:r w:rsidR="00AE2559" w:rsidRPr="00770938">
        <w:rPr>
          <w:sz w:val="18"/>
          <w:szCs w:val="18"/>
        </w:rPr>
        <w:t>In order to</w:t>
      </w:r>
      <w:proofErr w:type="gramEnd"/>
      <w:r w:rsidR="00AE2559" w:rsidRPr="00770938">
        <w:rPr>
          <w:sz w:val="18"/>
          <w:szCs w:val="18"/>
        </w:rPr>
        <w:t xml:space="preserve"> get </w:t>
      </w:r>
      <w:r w:rsidR="006536AB" w:rsidRPr="00770938">
        <w:rPr>
          <w:sz w:val="18"/>
          <w:szCs w:val="18"/>
        </w:rPr>
        <w:t xml:space="preserve">an </w:t>
      </w:r>
      <w:r w:rsidR="00AE2559" w:rsidRPr="00770938">
        <w:rPr>
          <w:sz w:val="18"/>
          <w:szCs w:val="18"/>
        </w:rPr>
        <w:t>estimat</w:t>
      </w:r>
      <w:r w:rsidR="006536AB" w:rsidRPr="00770938">
        <w:rPr>
          <w:sz w:val="18"/>
          <w:szCs w:val="18"/>
        </w:rPr>
        <w:t>e</w:t>
      </w:r>
      <w:r w:rsidR="00AE2559" w:rsidRPr="00770938">
        <w:rPr>
          <w:sz w:val="18"/>
          <w:szCs w:val="18"/>
        </w:rPr>
        <w:t xml:space="preserve"> at </w:t>
      </w:r>
      <w:r w:rsidR="006536AB" w:rsidRPr="00770938">
        <w:rPr>
          <w:sz w:val="18"/>
          <w:szCs w:val="18"/>
        </w:rPr>
        <w:t xml:space="preserve">the </w:t>
      </w:r>
      <w:r w:rsidR="00AE2559" w:rsidRPr="00770938">
        <w:rPr>
          <w:sz w:val="18"/>
          <w:szCs w:val="18"/>
        </w:rPr>
        <w:t xml:space="preserve">population level, </w:t>
      </w:r>
      <w:r w:rsidR="00EA01BC" w:rsidRPr="00770938">
        <w:rPr>
          <w:sz w:val="18"/>
          <w:szCs w:val="18"/>
        </w:rPr>
        <w:t>the marginal effect from</w:t>
      </w:r>
      <w:r w:rsidR="00CD7A44" w:rsidRPr="00770938">
        <w:rPr>
          <w:sz w:val="18"/>
          <w:szCs w:val="18"/>
        </w:rPr>
        <w:t xml:space="preserve"> the</w:t>
      </w:r>
      <w:r w:rsidR="00EA01BC" w:rsidRPr="00770938">
        <w:rPr>
          <w:sz w:val="18"/>
          <w:szCs w:val="18"/>
        </w:rPr>
        <w:t xml:space="preserve"> first part (a)</w:t>
      </w:r>
      <w:r w:rsidR="00AE2559" w:rsidRPr="00770938">
        <w:rPr>
          <w:sz w:val="18"/>
          <w:szCs w:val="18"/>
        </w:rPr>
        <w:t xml:space="preserve"> is multiplied</w:t>
      </w:r>
      <w:r w:rsidR="00EA01BC" w:rsidRPr="00770938">
        <w:rPr>
          <w:sz w:val="18"/>
          <w:szCs w:val="18"/>
        </w:rPr>
        <w:t xml:space="preserve"> with the marginal effect from</w:t>
      </w:r>
      <w:r w:rsidR="00CD7A44" w:rsidRPr="00770938">
        <w:rPr>
          <w:sz w:val="18"/>
          <w:szCs w:val="18"/>
        </w:rPr>
        <w:t xml:space="preserve"> the</w:t>
      </w:r>
      <w:r w:rsidR="00EA01BC" w:rsidRPr="00770938">
        <w:rPr>
          <w:sz w:val="18"/>
          <w:szCs w:val="18"/>
        </w:rPr>
        <w:t xml:space="preserve"> </w:t>
      </w:r>
      <w:r w:rsidR="00CD7A44" w:rsidRPr="00770938">
        <w:rPr>
          <w:sz w:val="18"/>
          <w:szCs w:val="18"/>
        </w:rPr>
        <w:t>second</w:t>
      </w:r>
      <w:r w:rsidR="00EA01BC" w:rsidRPr="00770938">
        <w:rPr>
          <w:sz w:val="18"/>
          <w:szCs w:val="18"/>
        </w:rPr>
        <w:t xml:space="preserve"> part</w:t>
      </w:r>
      <w:r w:rsidR="00CD7A44" w:rsidRPr="00770938">
        <w:rPr>
          <w:sz w:val="18"/>
          <w:szCs w:val="18"/>
        </w:rPr>
        <w:t xml:space="preserve"> (b).</w:t>
      </w:r>
      <w:r w:rsidR="00AE2559" w:rsidRPr="00770938">
        <w:rPr>
          <w:sz w:val="18"/>
          <w:szCs w:val="18"/>
        </w:rPr>
        <w:t xml:space="preserve"> </w:t>
      </w:r>
      <w:r w:rsidR="006536AB" w:rsidRPr="00770938">
        <w:rPr>
          <w:sz w:val="18"/>
          <w:szCs w:val="18"/>
        </w:rPr>
        <w:t xml:space="preserve">For example, </w:t>
      </w:r>
      <w:r w:rsidR="00AE2559" w:rsidRPr="00770938">
        <w:rPr>
          <w:color w:val="000000" w:themeColor="text1"/>
          <w:sz w:val="18"/>
          <w:szCs w:val="18"/>
        </w:rPr>
        <w:t xml:space="preserve">JKN only household in the third wealth quintile </w:t>
      </w:r>
      <w:r w:rsidR="003B56F7" w:rsidRPr="00770938">
        <w:rPr>
          <w:color w:val="000000" w:themeColor="text1"/>
          <w:sz w:val="18"/>
          <w:szCs w:val="18"/>
        </w:rPr>
        <w:t xml:space="preserve">(IDR 605,503) </w:t>
      </w:r>
      <w:r w:rsidR="00AE2559" w:rsidRPr="00770938">
        <w:rPr>
          <w:color w:val="000000" w:themeColor="text1"/>
          <w:sz w:val="18"/>
          <w:szCs w:val="18"/>
        </w:rPr>
        <w:t>have less average OOP spending than uninsured household</w:t>
      </w:r>
      <w:r w:rsidR="00956D5C" w:rsidRPr="00770938">
        <w:rPr>
          <w:color w:val="000000" w:themeColor="text1"/>
          <w:sz w:val="18"/>
          <w:szCs w:val="18"/>
        </w:rPr>
        <w:t xml:space="preserve"> </w:t>
      </w:r>
      <w:r w:rsidR="003B56F7" w:rsidRPr="00770938">
        <w:rPr>
          <w:color w:val="000000" w:themeColor="text1"/>
          <w:sz w:val="18"/>
          <w:szCs w:val="18"/>
        </w:rPr>
        <w:t xml:space="preserve">(IDR </w:t>
      </w:r>
      <w:r w:rsidR="003B56F7" w:rsidRPr="00770938">
        <w:rPr>
          <w:sz w:val="18"/>
          <w:szCs w:val="18"/>
        </w:rPr>
        <w:t xml:space="preserve">907,630) </w:t>
      </w:r>
      <w:r w:rsidR="00956D5C" w:rsidRPr="00770938">
        <w:rPr>
          <w:color w:val="000000" w:themeColor="text1"/>
          <w:sz w:val="18"/>
          <w:szCs w:val="18"/>
        </w:rPr>
        <w:t>in the same quintile</w:t>
      </w:r>
      <w:r w:rsidR="00AE2559" w:rsidRPr="00770938">
        <w:rPr>
          <w:color w:val="000000" w:themeColor="text1"/>
          <w:sz w:val="18"/>
          <w:szCs w:val="18"/>
        </w:rPr>
        <w:t xml:space="preserve"> by </w:t>
      </w:r>
      <w:r w:rsidR="00956D5C" w:rsidRPr="00770938">
        <w:rPr>
          <w:color w:val="000000" w:themeColor="text1"/>
          <w:sz w:val="18"/>
          <w:szCs w:val="18"/>
        </w:rPr>
        <w:t>41</w:t>
      </w:r>
      <w:r w:rsidR="00AE2559" w:rsidRPr="00770938">
        <w:rPr>
          <w:color w:val="000000" w:themeColor="text1"/>
          <w:sz w:val="18"/>
          <w:szCs w:val="18"/>
        </w:rPr>
        <w:t>%.</w:t>
      </w:r>
      <w:r w:rsidR="00956D5C" w:rsidRPr="00770938">
        <w:rPr>
          <w:color w:val="000000" w:themeColor="text1"/>
          <w:sz w:val="18"/>
          <w:szCs w:val="18"/>
        </w:rPr>
        <w:t xml:space="preserve"> </w:t>
      </w:r>
    </w:p>
    <w:sectPr w:rsidR="006C496F" w:rsidRPr="00770938" w:rsidSect="002F0A43">
      <w:endnotePr>
        <w:numFmt w:val="decimal"/>
      </w:endnotePr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titled Sans">
    <w:altName w:val="Untitled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DCF"/>
    <w:multiLevelType w:val="hybridMultilevel"/>
    <w:tmpl w:val="DD96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330A"/>
    <w:multiLevelType w:val="hybridMultilevel"/>
    <w:tmpl w:val="94E0CE14"/>
    <w:lvl w:ilvl="0" w:tplc="791A4C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2F8EC6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2" w:tplc="20C47B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</w:rPr>
    </w:lvl>
    <w:lvl w:ilvl="3" w:tplc="533EFA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Book Antiqua" w:hAnsi="Book Antiqua" w:hint="default"/>
      </w:rPr>
    </w:lvl>
    <w:lvl w:ilvl="4" w:tplc="8C5079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Book Antiqua" w:hAnsi="Book Antiqua" w:hint="default"/>
      </w:rPr>
    </w:lvl>
    <w:lvl w:ilvl="5" w:tplc="861A19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Book Antiqua" w:hAnsi="Book Antiqua" w:hint="default"/>
      </w:rPr>
    </w:lvl>
    <w:lvl w:ilvl="6" w:tplc="0C685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Book Antiqua" w:hAnsi="Book Antiqua" w:hint="default"/>
      </w:rPr>
    </w:lvl>
    <w:lvl w:ilvl="7" w:tplc="DF2C2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Book Antiqua" w:hAnsi="Book Antiqua" w:hint="default"/>
      </w:rPr>
    </w:lvl>
    <w:lvl w:ilvl="8" w:tplc="0150D9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Book Antiqua" w:hAnsi="Book Antiqua" w:hint="default"/>
      </w:rPr>
    </w:lvl>
  </w:abstractNum>
  <w:abstractNum w:abstractNumId="2" w15:restartNumberingAfterBreak="0">
    <w:nsid w:val="1FC16D64"/>
    <w:multiLevelType w:val="hybridMultilevel"/>
    <w:tmpl w:val="CFEE53B6"/>
    <w:lvl w:ilvl="0" w:tplc="D3A84D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6E6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AE9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20D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709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106F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3051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BA89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BCC0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6566E73"/>
    <w:multiLevelType w:val="hybridMultilevel"/>
    <w:tmpl w:val="F73A212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557"/>
    <w:multiLevelType w:val="hybridMultilevel"/>
    <w:tmpl w:val="31D62782"/>
    <w:lvl w:ilvl="0" w:tplc="106EB5E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46F034D1"/>
    <w:multiLevelType w:val="hybridMultilevel"/>
    <w:tmpl w:val="F1700C80"/>
    <w:lvl w:ilvl="0" w:tplc="FF32E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0A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5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2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06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6E11C6"/>
    <w:multiLevelType w:val="hybridMultilevel"/>
    <w:tmpl w:val="296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6A8"/>
    <w:multiLevelType w:val="hybridMultilevel"/>
    <w:tmpl w:val="9EAA4D8C"/>
    <w:lvl w:ilvl="0" w:tplc="65840F3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D061A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E8E5E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D030F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0F0F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9C9B8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16C54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C4022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B8EA3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5A11174C"/>
    <w:multiLevelType w:val="hybridMultilevel"/>
    <w:tmpl w:val="CCC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7405"/>
    <w:multiLevelType w:val="hybridMultilevel"/>
    <w:tmpl w:val="8AF8B5C2"/>
    <w:lvl w:ilvl="0" w:tplc="7F58CDB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53E0DF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56C06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46896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6C8C2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52650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8C45F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E2A01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AAFF0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B895DB7"/>
    <w:multiLevelType w:val="hybridMultilevel"/>
    <w:tmpl w:val="DD687E0E"/>
    <w:lvl w:ilvl="0" w:tplc="5AEEBE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4EC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4C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40AF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0786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280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F781B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38B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DA14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56D5B25"/>
    <w:multiLevelType w:val="hybridMultilevel"/>
    <w:tmpl w:val="C10ED5C8"/>
    <w:lvl w:ilvl="0" w:tplc="F6DA93D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A8C"/>
    <w:multiLevelType w:val="hybridMultilevel"/>
    <w:tmpl w:val="648244A6"/>
    <w:lvl w:ilvl="0" w:tplc="01D248B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C2D924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2E98F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B8270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B2415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BEED0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B2C2CE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70669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84111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BA007D3"/>
    <w:multiLevelType w:val="hybridMultilevel"/>
    <w:tmpl w:val="9B50EF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954642">
    <w:abstractNumId w:val="11"/>
  </w:num>
  <w:num w:numId="2" w16cid:durableId="1377729692">
    <w:abstractNumId w:val="0"/>
  </w:num>
  <w:num w:numId="3" w16cid:durableId="8533084">
    <w:abstractNumId w:val="10"/>
  </w:num>
  <w:num w:numId="4" w16cid:durableId="1994137134">
    <w:abstractNumId w:val="7"/>
  </w:num>
  <w:num w:numId="5" w16cid:durableId="1681085320">
    <w:abstractNumId w:val="12"/>
  </w:num>
  <w:num w:numId="6" w16cid:durableId="999625206">
    <w:abstractNumId w:val="4"/>
  </w:num>
  <w:num w:numId="7" w16cid:durableId="935795186">
    <w:abstractNumId w:val="9"/>
  </w:num>
  <w:num w:numId="8" w16cid:durableId="1941332198">
    <w:abstractNumId w:val="5"/>
  </w:num>
  <w:num w:numId="9" w16cid:durableId="146633925">
    <w:abstractNumId w:val="6"/>
  </w:num>
  <w:num w:numId="10" w16cid:durableId="683022575">
    <w:abstractNumId w:val="13"/>
  </w:num>
  <w:num w:numId="11" w16cid:durableId="25180459">
    <w:abstractNumId w:val="1"/>
  </w:num>
  <w:num w:numId="12" w16cid:durableId="55862238">
    <w:abstractNumId w:val="2"/>
  </w:num>
  <w:num w:numId="13" w16cid:durableId="1406339026">
    <w:abstractNumId w:val="3"/>
  </w:num>
  <w:num w:numId="14" w16cid:durableId="685593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3"/>
    <w:rsid w:val="000E7F78"/>
    <w:rsid w:val="0011391F"/>
    <w:rsid w:val="0015776A"/>
    <w:rsid w:val="001962F8"/>
    <w:rsid w:val="001D6F4C"/>
    <w:rsid w:val="0024601B"/>
    <w:rsid w:val="00272ED6"/>
    <w:rsid w:val="00282F1B"/>
    <w:rsid w:val="002F0A43"/>
    <w:rsid w:val="002F4634"/>
    <w:rsid w:val="00320F0B"/>
    <w:rsid w:val="003349CB"/>
    <w:rsid w:val="003435B0"/>
    <w:rsid w:val="003450BD"/>
    <w:rsid w:val="003545F1"/>
    <w:rsid w:val="003922DA"/>
    <w:rsid w:val="003B56F7"/>
    <w:rsid w:val="003C3307"/>
    <w:rsid w:val="00437FEB"/>
    <w:rsid w:val="004942EB"/>
    <w:rsid w:val="004949D5"/>
    <w:rsid w:val="004B50E7"/>
    <w:rsid w:val="005674C9"/>
    <w:rsid w:val="00584D57"/>
    <w:rsid w:val="005C19EB"/>
    <w:rsid w:val="005F7668"/>
    <w:rsid w:val="006511EF"/>
    <w:rsid w:val="006536AB"/>
    <w:rsid w:val="006C496F"/>
    <w:rsid w:val="006D2A95"/>
    <w:rsid w:val="006F4770"/>
    <w:rsid w:val="00736BAC"/>
    <w:rsid w:val="00770938"/>
    <w:rsid w:val="007A30EA"/>
    <w:rsid w:val="00884068"/>
    <w:rsid w:val="00956D5C"/>
    <w:rsid w:val="00967718"/>
    <w:rsid w:val="00974652"/>
    <w:rsid w:val="009F7028"/>
    <w:rsid w:val="00A36951"/>
    <w:rsid w:val="00AE0F2F"/>
    <w:rsid w:val="00AE2559"/>
    <w:rsid w:val="00B13BCB"/>
    <w:rsid w:val="00BB76A9"/>
    <w:rsid w:val="00C256B5"/>
    <w:rsid w:val="00C86397"/>
    <w:rsid w:val="00CD7A44"/>
    <w:rsid w:val="00D10455"/>
    <w:rsid w:val="00D11865"/>
    <w:rsid w:val="00D45EAE"/>
    <w:rsid w:val="00D97EE1"/>
    <w:rsid w:val="00DD2E86"/>
    <w:rsid w:val="00DD31D8"/>
    <w:rsid w:val="00E46396"/>
    <w:rsid w:val="00EA01BC"/>
    <w:rsid w:val="00EA76D3"/>
    <w:rsid w:val="00EC4E6A"/>
    <w:rsid w:val="00FA06A3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A22F"/>
  <w15:chartTrackingRefBased/>
  <w15:docId w15:val="{DF896DF4-E736-4566-A8E1-EB96DC7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4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0A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0A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0A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0A4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2F0A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A4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0A4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2F0A43"/>
  </w:style>
  <w:style w:type="character" w:styleId="Hyperlink">
    <w:name w:val="Hyperlink"/>
    <w:basedOn w:val="DefaultParagraphFont"/>
    <w:uiPriority w:val="99"/>
    <w:unhideWhenUsed/>
    <w:rsid w:val="002F0A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A4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43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0A43"/>
    <w:pPr>
      <w:ind w:left="720"/>
      <w:contextualSpacing/>
    </w:pPr>
  </w:style>
  <w:style w:type="table" w:styleId="PlainTable2">
    <w:name w:val="Plain Table 2"/>
    <w:basedOn w:val="TableNormal"/>
    <w:uiPriority w:val="42"/>
    <w:rsid w:val="002F0A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2F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cf01">
    <w:name w:val="cf01"/>
    <w:basedOn w:val="DefaultParagraphFont"/>
    <w:rsid w:val="002F0A43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4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3"/>
    <w:rPr>
      <w:lang w:val="en-US"/>
    </w:rPr>
  </w:style>
  <w:style w:type="table" w:styleId="TableGrid">
    <w:name w:val="Table Grid"/>
    <w:basedOn w:val="TableNormal"/>
    <w:uiPriority w:val="39"/>
    <w:rsid w:val="002F0A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DefaultParagraphFont"/>
    <w:rsid w:val="002F0A43"/>
  </w:style>
  <w:style w:type="character" w:customStyle="1" w:styleId="ls15d">
    <w:name w:val="ls15d"/>
    <w:basedOn w:val="DefaultParagraphFont"/>
    <w:rsid w:val="002F0A43"/>
  </w:style>
  <w:style w:type="character" w:customStyle="1" w:styleId="italic">
    <w:name w:val="italic"/>
    <w:basedOn w:val="DefaultParagraphFont"/>
    <w:rsid w:val="002F0A43"/>
  </w:style>
  <w:style w:type="character" w:styleId="FollowedHyperlink">
    <w:name w:val="FollowedHyperlink"/>
    <w:basedOn w:val="DefaultParagraphFont"/>
    <w:uiPriority w:val="99"/>
    <w:semiHidden/>
    <w:unhideWhenUsed/>
    <w:rsid w:val="002F0A43"/>
    <w:rPr>
      <w:color w:val="954F72" w:themeColor="followedHyperlink"/>
      <w:u w:val="single"/>
    </w:rPr>
  </w:style>
  <w:style w:type="character" w:customStyle="1" w:styleId="volumeissue">
    <w:name w:val="volume_issue"/>
    <w:basedOn w:val="DefaultParagraphFont"/>
    <w:rsid w:val="002F0A43"/>
  </w:style>
  <w:style w:type="character" w:customStyle="1" w:styleId="pagerange">
    <w:name w:val="page_range"/>
    <w:basedOn w:val="DefaultParagraphFont"/>
    <w:rsid w:val="002F0A43"/>
  </w:style>
  <w:style w:type="character" w:customStyle="1" w:styleId="doilink">
    <w:name w:val="doi_link"/>
    <w:basedOn w:val="DefaultParagraphFont"/>
    <w:rsid w:val="002F0A43"/>
  </w:style>
  <w:style w:type="paragraph" w:customStyle="1" w:styleId="blurb-text">
    <w:name w:val="blurb-text"/>
    <w:basedOn w:val="Normal"/>
    <w:rsid w:val="002F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ng-tns-c1-0">
    <w:name w:val="ng-tns-c1-0"/>
    <w:basedOn w:val="DefaultParagraphFont"/>
    <w:rsid w:val="002F0A43"/>
  </w:style>
  <w:style w:type="character" w:customStyle="1" w:styleId="A3">
    <w:name w:val="A3"/>
    <w:uiPriority w:val="99"/>
    <w:rsid w:val="002F0A43"/>
    <w:rPr>
      <w:rFonts w:cs="Untitled Sans"/>
      <w:color w:val="000000"/>
      <w:sz w:val="13"/>
      <w:szCs w:val="13"/>
    </w:rPr>
  </w:style>
  <w:style w:type="paragraph" w:styleId="NoSpacing">
    <w:name w:val="No Spacing"/>
    <w:uiPriority w:val="1"/>
    <w:qFormat/>
    <w:rsid w:val="002F0A43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0A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A4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8AC0-007B-42CA-9BA0-A0FE45B4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Nadhila Adani</dc:creator>
  <cp:keywords/>
  <dc:description/>
  <cp:lastModifiedBy>Microsoft User</cp:lastModifiedBy>
  <cp:revision>54</cp:revision>
  <dcterms:created xsi:type="dcterms:W3CDTF">2022-02-24T06:38:00Z</dcterms:created>
  <dcterms:modified xsi:type="dcterms:W3CDTF">2022-06-13T04:26:00Z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bf9569-1bac-4dd4-8253-371ebfda3dfd_Enabled">
    <vt:lpwstr>true</vt:lpwstr>
  </property>
  <property fmtid="{D5CDD505-2E9C-101B-9397-08002B2CF9AE}" pid="3" name="MSIP_Label_4ebf9569-1bac-4dd4-8253-371ebfda3dfd_SetDate">
    <vt:lpwstr>2022-02-24T06:38:41Z</vt:lpwstr>
  </property>
  <property fmtid="{D5CDD505-2E9C-101B-9397-08002B2CF9AE}" pid="4" name="MSIP_Label_4ebf9569-1bac-4dd4-8253-371ebfda3dfd_Method">
    <vt:lpwstr>Standard</vt:lpwstr>
  </property>
  <property fmtid="{D5CDD505-2E9C-101B-9397-08002B2CF9AE}" pid="5" name="MSIP_Label_4ebf9569-1bac-4dd4-8253-371ebfda3dfd_Name">
    <vt:lpwstr>No label</vt:lpwstr>
  </property>
  <property fmtid="{D5CDD505-2E9C-101B-9397-08002B2CF9AE}" pid="6" name="MSIP_Label_4ebf9569-1bac-4dd4-8253-371ebfda3dfd_SiteId">
    <vt:lpwstr>cf18f47b-7e4a-4ac0-9e92-c216a1528ccc</vt:lpwstr>
  </property>
  <property fmtid="{D5CDD505-2E9C-101B-9397-08002B2CF9AE}" pid="7" name="MSIP_Label_4ebf9569-1bac-4dd4-8253-371ebfda3dfd_ActionId">
    <vt:lpwstr>77d3015b-008a-44b0-91d9-8ecded855b02</vt:lpwstr>
  </property>
  <property fmtid="{D5CDD505-2E9C-101B-9397-08002B2CF9AE}" pid="8" name="MSIP_Label_4ebf9569-1bac-4dd4-8253-371ebfda3dfd_ContentBits">
    <vt:lpwstr>0</vt:lpwstr>
  </property>
</Properties>
</file>