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4F90F1" w14:textId="77777777" w:rsidR="00514A54" w:rsidRPr="00E70A8B" w:rsidRDefault="00A80BB8">
      <w:pPr>
        <w:spacing w:line="480" w:lineRule="auto"/>
        <w:rPr>
          <w:rFonts w:ascii="Arial" w:hAnsi="Arial" w:cs="Arial"/>
          <w:b/>
          <w:sz w:val="28"/>
          <w:szCs w:val="28"/>
          <w:lang w:val="en-GB"/>
        </w:rPr>
      </w:pPr>
      <w:r w:rsidRPr="00E70A8B">
        <w:rPr>
          <w:rFonts w:ascii="Arial" w:hAnsi="Arial" w:cs="Arial"/>
          <w:b/>
          <w:sz w:val="28"/>
          <w:szCs w:val="28"/>
          <w:lang w:val="en-GB"/>
        </w:rPr>
        <w:t>Classification of non-coding variants with high pathogenic impact</w:t>
      </w:r>
    </w:p>
    <w:p w14:paraId="68785C38" w14:textId="77777777" w:rsidR="00514A54" w:rsidRPr="00E70A8B" w:rsidRDefault="00514A54">
      <w:pPr>
        <w:spacing w:line="480" w:lineRule="auto"/>
        <w:rPr>
          <w:rFonts w:ascii="Arial" w:hAnsi="Arial" w:cs="Arial"/>
          <w:sz w:val="22"/>
          <w:szCs w:val="22"/>
          <w:lang w:val="en-GB"/>
        </w:rPr>
      </w:pPr>
    </w:p>
    <w:p w14:paraId="6C76B50C" w14:textId="77777777" w:rsidR="00514A54" w:rsidRPr="00E70A8B" w:rsidRDefault="00A80BB8">
      <w:pPr>
        <w:spacing w:line="480" w:lineRule="auto"/>
        <w:jc w:val="both"/>
        <w:rPr>
          <w:rFonts w:ascii="Arial" w:hAnsi="Arial" w:cs="Arial"/>
        </w:rPr>
      </w:pPr>
      <w:r w:rsidRPr="00E70A8B">
        <w:rPr>
          <w:rFonts w:ascii="Arial" w:hAnsi="Arial" w:cs="Arial"/>
          <w:sz w:val="22"/>
          <w:szCs w:val="22"/>
        </w:rPr>
        <w:t>Lambert Moyon</w:t>
      </w:r>
      <w:r w:rsidRPr="00E70A8B">
        <w:rPr>
          <w:rFonts w:ascii="Arial" w:hAnsi="Arial" w:cs="Arial"/>
          <w:sz w:val="22"/>
          <w:szCs w:val="22"/>
          <w:vertAlign w:val="superscript"/>
        </w:rPr>
        <w:t>1</w:t>
      </w:r>
      <w:r w:rsidRPr="00E70A8B">
        <w:rPr>
          <w:rFonts w:ascii="Arial" w:hAnsi="Arial" w:cs="Arial"/>
          <w:sz w:val="22"/>
          <w:szCs w:val="22"/>
        </w:rPr>
        <w:t>, Camille Berthelot</w:t>
      </w:r>
      <w:r w:rsidRPr="00E70A8B">
        <w:rPr>
          <w:rFonts w:ascii="Arial" w:hAnsi="Arial" w:cs="Arial"/>
          <w:sz w:val="22"/>
          <w:szCs w:val="22"/>
          <w:vertAlign w:val="superscript"/>
        </w:rPr>
        <w:t>1</w:t>
      </w:r>
      <w:r w:rsidRPr="00E70A8B">
        <w:rPr>
          <w:rFonts w:ascii="Arial" w:hAnsi="Arial" w:cs="Arial"/>
          <w:sz w:val="22"/>
          <w:szCs w:val="22"/>
        </w:rPr>
        <w:t>, Alexandra Louis</w:t>
      </w:r>
      <w:r w:rsidRPr="00E70A8B">
        <w:rPr>
          <w:rFonts w:ascii="Arial" w:hAnsi="Arial" w:cs="Arial"/>
          <w:sz w:val="22"/>
          <w:szCs w:val="22"/>
          <w:vertAlign w:val="superscript"/>
        </w:rPr>
        <w:t>1</w:t>
      </w:r>
      <w:r w:rsidRPr="00E70A8B">
        <w:rPr>
          <w:rFonts w:ascii="Arial" w:hAnsi="Arial" w:cs="Arial"/>
          <w:sz w:val="22"/>
          <w:szCs w:val="22"/>
        </w:rPr>
        <w:t xml:space="preserve">, </w:t>
      </w:r>
      <w:proofErr w:type="spellStart"/>
      <w:r w:rsidRPr="00E70A8B">
        <w:rPr>
          <w:rFonts w:ascii="Arial" w:hAnsi="Arial" w:cs="Arial"/>
          <w:sz w:val="22"/>
          <w:szCs w:val="22"/>
        </w:rPr>
        <w:t>Nga</w:t>
      </w:r>
      <w:proofErr w:type="spellEnd"/>
      <w:r w:rsidRPr="00E70A8B">
        <w:rPr>
          <w:rFonts w:ascii="Arial" w:hAnsi="Arial" w:cs="Arial"/>
          <w:sz w:val="22"/>
          <w:szCs w:val="22"/>
        </w:rPr>
        <w:t xml:space="preserve"> Thi Thuy Nguyen</w:t>
      </w:r>
      <w:r w:rsidRPr="00E70A8B">
        <w:rPr>
          <w:rFonts w:ascii="Arial" w:hAnsi="Arial" w:cs="Arial"/>
          <w:sz w:val="22"/>
          <w:szCs w:val="22"/>
          <w:vertAlign w:val="superscript"/>
        </w:rPr>
        <w:t>1</w:t>
      </w:r>
      <w:r w:rsidRPr="00E70A8B">
        <w:rPr>
          <w:rFonts w:ascii="Arial" w:hAnsi="Arial" w:cs="Arial"/>
          <w:sz w:val="22"/>
          <w:szCs w:val="22"/>
        </w:rPr>
        <w:t xml:space="preserve"> and Hugues </w:t>
      </w:r>
      <w:proofErr w:type="spellStart"/>
      <w:r w:rsidRPr="00E70A8B">
        <w:rPr>
          <w:rFonts w:ascii="Arial" w:hAnsi="Arial" w:cs="Arial"/>
          <w:sz w:val="22"/>
          <w:szCs w:val="22"/>
        </w:rPr>
        <w:t>Roest</w:t>
      </w:r>
      <w:proofErr w:type="spellEnd"/>
      <w:r w:rsidRPr="00E70A8B">
        <w:rPr>
          <w:rFonts w:ascii="Arial" w:hAnsi="Arial" w:cs="Arial"/>
          <w:sz w:val="22"/>
          <w:szCs w:val="22"/>
        </w:rPr>
        <w:t xml:space="preserve"> Crollius</w:t>
      </w:r>
      <w:proofErr w:type="gramStart"/>
      <w:r w:rsidRPr="00E70A8B">
        <w:rPr>
          <w:rFonts w:ascii="Arial" w:hAnsi="Arial" w:cs="Arial"/>
          <w:sz w:val="22"/>
          <w:szCs w:val="22"/>
          <w:vertAlign w:val="superscript"/>
        </w:rPr>
        <w:t>1,*</w:t>
      </w:r>
      <w:proofErr w:type="gramEnd"/>
    </w:p>
    <w:p w14:paraId="210C6BFF" w14:textId="77777777" w:rsidR="00514A54" w:rsidRPr="00E70A8B" w:rsidRDefault="00514A54">
      <w:pPr>
        <w:spacing w:line="480" w:lineRule="auto"/>
        <w:jc w:val="both"/>
        <w:rPr>
          <w:rFonts w:ascii="Arial" w:hAnsi="Arial" w:cs="Arial"/>
          <w:sz w:val="22"/>
          <w:szCs w:val="22"/>
        </w:rPr>
      </w:pPr>
    </w:p>
    <w:p w14:paraId="006C93CB" w14:textId="601A2D9F" w:rsidR="00514A54" w:rsidRPr="00E70A8B" w:rsidRDefault="00A80BB8" w:rsidP="00E70A8B">
      <w:pPr>
        <w:widowControl w:val="0"/>
        <w:suppressAutoHyphens w:val="0"/>
        <w:jc w:val="both"/>
        <w:rPr>
          <w:rFonts w:ascii="Arial" w:hAnsi="Arial" w:cs="Arial"/>
          <w:sz w:val="22"/>
          <w:szCs w:val="22"/>
        </w:rPr>
      </w:pPr>
      <w:r w:rsidRPr="00E70A8B">
        <w:rPr>
          <w:rFonts w:ascii="Arial" w:hAnsi="Arial" w:cs="Arial"/>
          <w:bCs/>
          <w:sz w:val="22"/>
          <w:szCs w:val="22"/>
          <w:vertAlign w:val="superscript"/>
        </w:rPr>
        <w:t xml:space="preserve">1 </w:t>
      </w:r>
      <w:r w:rsidRPr="00E70A8B">
        <w:rPr>
          <w:rFonts w:ascii="Arial" w:hAnsi="Arial" w:cs="Arial"/>
          <w:bCs/>
          <w:sz w:val="22"/>
          <w:szCs w:val="22"/>
        </w:rPr>
        <w:t xml:space="preserve">Ecole Normale Supérieure, PSL </w:t>
      </w:r>
      <w:proofErr w:type="spellStart"/>
      <w:r w:rsidRPr="00E70A8B">
        <w:rPr>
          <w:rFonts w:ascii="Arial" w:hAnsi="Arial" w:cs="Arial"/>
          <w:bCs/>
          <w:sz w:val="22"/>
          <w:szCs w:val="22"/>
        </w:rPr>
        <w:t>Research</w:t>
      </w:r>
      <w:proofErr w:type="spellEnd"/>
      <w:r w:rsidRPr="00E70A8B">
        <w:rPr>
          <w:rFonts w:ascii="Arial" w:hAnsi="Arial" w:cs="Arial"/>
          <w:bCs/>
          <w:sz w:val="22"/>
          <w:szCs w:val="22"/>
        </w:rPr>
        <w:t xml:space="preserve"> </w:t>
      </w:r>
      <w:proofErr w:type="spellStart"/>
      <w:r w:rsidRPr="00E70A8B">
        <w:rPr>
          <w:rFonts w:ascii="Arial" w:hAnsi="Arial" w:cs="Arial"/>
          <w:bCs/>
          <w:sz w:val="22"/>
          <w:szCs w:val="22"/>
        </w:rPr>
        <w:t>University</w:t>
      </w:r>
      <w:proofErr w:type="spellEnd"/>
      <w:r w:rsidRPr="00E70A8B">
        <w:rPr>
          <w:rFonts w:ascii="Arial" w:hAnsi="Arial" w:cs="Arial"/>
          <w:bCs/>
          <w:sz w:val="22"/>
          <w:szCs w:val="22"/>
        </w:rPr>
        <w:t>, CNRS, Inserm, Institut de Biologie de l’Ecole Normale</w:t>
      </w:r>
      <w:r w:rsidR="00E70A8B" w:rsidRPr="00E70A8B">
        <w:rPr>
          <w:rFonts w:ascii="Arial" w:hAnsi="Arial" w:cs="Arial"/>
          <w:bCs/>
          <w:sz w:val="22"/>
          <w:szCs w:val="22"/>
        </w:rPr>
        <w:t xml:space="preserve"> </w:t>
      </w:r>
      <w:r w:rsidRPr="00E70A8B">
        <w:rPr>
          <w:rFonts w:ascii="Arial" w:hAnsi="Arial" w:cs="Arial"/>
          <w:bCs/>
          <w:sz w:val="22"/>
          <w:szCs w:val="22"/>
        </w:rPr>
        <w:t>Supérieure (IBENS), Paris, France</w:t>
      </w:r>
      <w:r w:rsidRPr="00E70A8B">
        <w:rPr>
          <w:rFonts w:ascii="Arial" w:hAnsi="Arial" w:cs="Arial"/>
          <w:sz w:val="22"/>
          <w:szCs w:val="22"/>
        </w:rPr>
        <w:t xml:space="preserve"> </w:t>
      </w:r>
    </w:p>
    <w:p w14:paraId="3D6654A6" w14:textId="77777777" w:rsidR="00E70A8B" w:rsidRPr="00E70A8B" w:rsidRDefault="00E70A8B" w:rsidP="00E70A8B">
      <w:pPr>
        <w:widowControl w:val="0"/>
        <w:suppressAutoHyphens w:val="0"/>
        <w:jc w:val="both"/>
        <w:rPr>
          <w:rFonts w:ascii="Arial" w:hAnsi="Arial" w:cs="Arial"/>
          <w:sz w:val="22"/>
          <w:szCs w:val="22"/>
        </w:rPr>
      </w:pPr>
    </w:p>
    <w:p w14:paraId="606E8E9D" w14:textId="034AE559" w:rsidR="00514A54" w:rsidRPr="00364CB4" w:rsidRDefault="00A80BB8">
      <w:pPr>
        <w:spacing w:line="480" w:lineRule="auto"/>
        <w:jc w:val="both"/>
        <w:rPr>
          <w:rFonts w:ascii="Arial" w:hAnsi="Arial" w:cs="Arial"/>
          <w:sz w:val="22"/>
          <w:szCs w:val="22"/>
        </w:rPr>
      </w:pPr>
      <w:r w:rsidRPr="00364CB4">
        <w:rPr>
          <w:rFonts w:ascii="Arial" w:hAnsi="Arial" w:cs="Arial"/>
          <w:sz w:val="22"/>
          <w:szCs w:val="22"/>
        </w:rPr>
        <w:t>*</w:t>
      </w:r>
      <w:r w:rsidR="00E70A8B" w:rsidRPr="00364CB4">
        <w:rPr>
          <w:rFonts w:ascii="Arial" w:hAnsi="Arial" w:cs="Arial"/>
          <w:sz w:val="22"/>
          <w:szCs w:val="22"/>
        </w:rPr>
        <w:t xml:space="preserve"> hrc@bio.ens.psl.eu</w:t>
      </w:r>
    </w:p>
    <w:p w14:paraId="0C61FBE6" w14:textId="77777777" w:rsidR="00514A54" w:rsidRPr="00364CB4" w:rsidRDefault="00514A54">
      <w:pPr>
        <w:spacing w:line="480" w:lineRule="auto"/>
        <w:rPr>
          <w:rFonts w:ascii="Arial" w:hAnsi="Arial" w:cs="Arial"/>
          <w:sz w:val="22"/>
          <w:szCs w:val="22"/>
        </w:rPr>
      </w:pPr>
    </w:p>
    <w:p w14:paraId="260963D9" w14:textId="77777777" w:rsidR="00514A54" w:rsidRPr="00364CB4" w:rsidRDefault="00514A54">
      <w:pPr>
        <w:rPr>
          <w:rFonts w:ascii="Arial" w:hAnsi="Arial" w:cs="Arial"/>
          <w:b/>
          <w:sz w:val="48"/>
          <w:szCs w:val="48"/>
        </w:rPr>
      </w:pPr>
    </w:p>
    <w:p w14:paraId="514845A3" w14:textId="6DB9EAF8" w:rsidR="00514A54" w:rsidRPr="00E70A8B" w:rsidRDefault="00A961F5">
      <w:pPr>
        <w:jc w:val="center"/>
        <w:rPr>
          <w:rFonts w:ascii="Arial" w:hAnsi="Arial" w:cs="Arial"/>
          <w:b/>
          <w:sz w:val="48"/>
          <w:szCs w:val="48"/>
          <w:lang w:val="en-GB"/>
        </w:rPr>
      </w:pPr>
      <w:r>
        <w:rPr>
          <w:rFonts w:ascii="Arial" w:hAnsi="Arial" w:cs="Arial"/>
          <w:b/>
          <w:sz w:val="48"/>
          <w:szCs w:val="48"/>
          <w:lang w:val="en-GB"/>
        </w:rPr>
        <w:t>Supporting Information</w:t>
      </w:r>
    </w:p>
    <w:p w14:paraId="5CA454D5" w14:textId="77777777" w:rsidR="00514A54" w:rsidRPr="00E70A8B" w:rsidRDefault="00514A54">
      <w:pPr>
        <w:rPr>
          <w:rFonts w:ascii="Arial" w:hAnsi="Arial" w:cs="Arial"/>
          <w:lang w:val="en-GB"/>
        </w:rPr>
      </w:pPr>
    </w:p>
    <w:p w14:paraId="27574852" w14:textId="77777777" w:rsidR="00514A54" w:rsidRPr="00E70A8B" w:rsidRDefault="00514A54">
      <w:pPr>
        <w:rPr>
          <w:rFonts w:ascii="Arial" w:hAnsi="Arial" w:cs="Arial"/>
          <w:lang w:val="en-GB"/>
        </w:rPr>
      </w:pPr>
    </w:p>
    <w:p w14:paraId="5A7E3C91" w14:textId="77777777" w:rsidR="00514A54" w:rsidRPr="00E70A8B" w:rsidRDefault="00514A54">
      <w:pPr>
        <w:rPr>
          <w:rFonts w:ascii="Arial" w:hAnsi="Arial" w:cs="Arial"/>
          <w:lang w:val="en-GB"/>
        </w:rPr>
      </w:pPr>
    </w:p>
    <w:p w14:paraId="37E66B28" w14:textId="77777777" w:rsidR="00514A54" w:rsidRPr="00E70A8B" w:rsidRDefault="00514A54">
      <w:pPr>
        <w:rPr>
          <w:rFonts w:ascii="Arial" w:hAnsi="Arial" w:cs="Arial"/>
          <w:lang w:val="en-GB"/>
        </w:rPr>
      </w:pPr>
    </w:p>
    <w:p w14:paraId="1DA9A743" w14:textId="77777777" w:rsidR="00514A54" w:rsidRPr="00E70A8B" w:rsidRDefault="00514A54">
      <w:pPr>
        <w:rPr>
          <w:rFonts w:ascii="Arial" w:hAnsi="Arial" w:cs="Arial"/>
          <w:lang w:val="en-GB"/>
        </w:rPr>
      </w:pPr>
    </w:p>
    <w:p w14:paraId="108284FE" w14:textId="77777777" w:rsidR="00514A54" w:rsidRPr="00E70A8B" w:rsidRDefault="00A80BB8">
      <w:pPr>
        <w:suppressAutoHyphens w:val="0"/>
        <w:rPr>
          <w:rFonts w:ascii="Arial" w:hAnsi="Arial" w:cs="Arial"/>
          <w:lang w:val="en-GB"/>
        </w:rPr>
      </w:pPr>
      <w:r w:rsidRPr="00E70A8B">
        <w:rPr>
          <w:rFonts w:ascii="Arial" w:hAnsi="Arial" w:cs="Arial"/>
          <w:lang w:val="en-US"/>
        </w:rPr>
        <w:br w:type="page"/>
      </w:r>
    </w:p>
    <w:p w14:paraId="7A34BAF8" w14:textId="77777777" w:rsidR="00514A54" w:rsidRPr="00E70A8B" w:rsidRDefault="00A80BB8">
      <w:pPr>
        <w:suppressAutoHyphens w:val="0"/>
        <w:rPr>
          <w:rFonts w:ascii="Arial" w:hAnsi="Arial" w:cs="Arial"/>
          <w:b/>
          <w:bCs/>
          <w:sz w:val="22"/>
          <w:szCs w:val="22"/>
          <w:lang w:val="en-GB"/>
        </w:rPr>
      </w:pPr>
      <w:r w:rsidRPr="00E70A8B">
        <w:rPr>
          <w:rFonts w:ascii="Arial" w:hAnsi="Arial" w:cs="Arial"/>
          <w:b/>
          <w:bCs/>
          <w:sz w:val="22"/>
          <w:szCs w:val="22"/>
          <w:lang w:val="en-GB"/>
        </w:rPr>
        <w:lastRenderedPageBreak/>
        <w:t xml:space="preserve">Design of the three models for negative control sampling </w:t>
      </w:r>
    </w:p>
    <w:p w14:paraId="53F5ACDC" w14:textId="77777777" w:rsidR="00514A54" w:rsidRPr="00E70A8B" w:rsidRDefault="00514A54">
      <w:pPr>
        <w:suppressAutoHyphens w:val="0"/>
        <w:rPr>
          <w:rFonts w:ascii="Arial" w:hAnsi="Arial" w:cs="Arial"/>
          <w:sz w:val="22"/>
          <w:szCs w:val="22"/>
          <w:lang w:val="en-GB"/>
        </w:rPr>
      </w:pPr>
    </w:p>
    <w:p w14:paraId="0EA7A703" w14:textId="070A1C1B" w:rsidR="00E1114F" w:rsidRPr="00E70A8B" w:rsidRDefault="00E1114F" w:rsidP="005B352E">
      <w:pPr>
        <w:spacing w:beforeAutospacing="1" w:afterAutospacing="1"/>
        <w:jc w:val="both"/>
        <w:rPr>
          <w:rFonts w:ascii="Arial" w:hAnsi="Arial" w:cs="Arial"/>
          <w:color w:val="000000" w:themeColor="text1"/>
          <w:sz w:val="22"/>
          <w:szCs w:val="22"/>
          <w:lang w:val="en-US"/>
        </w:rPr>
      </w:pPr>
      <w:r w:rsidRPr="00E70A8B">
        <w:rPr>
          <w:rFonts w:ascii="Arial" w:hAnsi="Arial" w:cs="Arial"/>
          <w:color w:val="000000" w:themeColor="text1"/>
          <w:sz w:val="22"/>
          <w:szCs w:val="22"/>
          <w:lang w:val="en-US"/>
        </w:rPr>
        <w:t xml:space="preserve">When training machine learning frameworks, imbalance and unequal distributions in the training data are major issues, which have been minimally addressed in the past. The set size and genomic distribution of positive controls is unfortunately limited by data availability in the current state-of-the-art. A potential consequence is that models may largely learn to discriminate based on distance from the nearest gene, which is not particularly useful nor does it require machine learning to achieve. </w:t>
      </w:r>
    </w:p>
    <w:p w14:paraId="50BED191" w14:textId="77777777" w:rsidR="00E1114F" w:rsidRPr="00E70A8B" w:rsidRDefault="00E1114F" w:rsidP="005B352E">
      <w:pPr>
        <w:spacing w:beforeAutospacing="1" w:afterAutospacing="1"/>
        <w:jc w:val="both"/>
        <w:rPr>
          <w:rFonts w:ascii="Arial" w:hAnsi="Arial" w:cs="Arial"/>
          <w:color w:val="000000" w:themeColor="text1"/>
          <w:sz w:val="22"/>
          <w:szCs w:val="22"/>
          <w:lang w:val="en-US"/>
        </w:rPr>
      </w:pPr>
      <w:r w:rsidRPr="00E70A8B">
        <w:rPr>
          <w:rFonts w:ascii="Arial" w:hAnsi="Arial" w:cs="Arial"/>
          <w:color w:val="000000" w:themeColor="text1"/>
          <w:sz w:val="22"/>
          <w:szCs w:val="22"/>
          <w:lang w:val="en-US"/>
        </w:rPr>
        <w:t>The Random model confronts random non-functional variants to the positive controls, and evaluates the baseline: a good model should not be specific to any subcategory of genomic regions, and should work genome-wide. At each training iteration, 880 negative and 880 positive controls are sampled randomly with replacement in a balanced set design. As there are 1,000 training iterations and the negative pool is very large (38 million), we estimate that ~880,000 negative variants are sampled in the training, with minimal resampling.</w:t>
      </w:r>
    </w:p>
    <w:p w14:paraId="437A905A" w14:textId="77777777" w:rsidR="00E1114F" w:rsidRPr="00E70A8B" w:rsidRDefault="00E1114F" w:rsidP="005B352E">
      <w:pPr>
        <w:spacing w:beforeAutospacing="1" w:afterAutospacing="1"/>
        <w:jc w:val="both"/>
        <w:rPr>
          <w:rFonts w:ascii="Arial" w:hAnsi="Arial" w:cs="Arial"/>
          <w:color w:val="000000" w:themeColor="text1"/>
          <w:sz w:val="22"/>
          <w:szCs w:val="22"/>
          <w:lang w:val="en-US"/>
        </w:rPr>
      </w:pPr>
      <w:r w:rsidRPr="00E70A8B">
        <w:rPr>
          <w:rFonts w:ascii="Arial" w:hAnsi="Arial" w:cs="Arial"/>
          <w:color w:val="000000" w:themeColor="text1"/>
          <w:sz w:val="22"/>
          <w:szCs w:val="22"/>
          <w:lang w:val="en-US"/>
        </w:rPr>
        <w:t xml:space="preserve">The Local model confronts the positive variants to closely-located non-functional variants, to ensure that the model does not simply discriminate based on genomic location (especially relative to gene distance), but is able to distinguish true functional variants from their immediate surroundings. Indeed, it is not expected that every base pair in regulatory elements has functional consequences when mutated. We chose to sample negative controls within 1kb, which is the size of an average non-coding regulatory element as determined from epigenomic information (e.g. histone modifications). We find that such closely-located variants are much harder to discriminate, as expected, because they frequently share functional features spanning more than 1kb. </w:t>
      </w:r>
    </w:p>
    <w:p w14:paraId="09C70346" w14:textId="4C354CCE" w:rsidR="00E1114F" w:rsidRPr="00E70A8B" w:rsidRDefault="00E1114F" w:rsidP="00E1114F">
      <w:pPr>
        <w:pStyle w:val="BodyText"/>
        <w:jc w:val="both"/>
        <w:rPr>
          <w:rFonts w:ascii="Arial" w:hAnsi="Arial" w:cs="Arial"/>
          <w:color w:val="000000" w:themeColor="text1"/>
          <w:sz w:val="22"/>
          <w:szCs w:val="22"/>
          <w:lang w:val="en-GB"/>
        </w:rPr>
      </w:pPr>
      <w:r w:rsidRPr="00E70A8B">
        <w:rPr>
          <w:rFonts w:ascii="Arial" w:hAnsi="Arial" w:cs="Arial"/>
          <w:color w:val="000000" w:themeColor="text1"/>
          <w:sz w:val="22"/>
          <w:szCs w:val="22"/>
          <w:lang w:val="en-US"/>
        </w:rPr>
        <w:t>An evaluation of cross-performance (</w:t>
      </w:r>
      <w:bookmarkStart w:id="0" w:name="_GoBack"/>
      <w:r w:rsidRPr="00E70A8B">
        <w:rPr>
          <w:rFonts w:ascii="Arial" w:hAnsi="Arial" w:cs="Arial"/>
          <w:color w:val="000000" w:themeColor="text1"/>
          <w:sz w:val="22"/>
          <w:szCs w:val="22"/>
          <w:lang w:val="en-US"/>
        </w:rPr>
        <w:t>Fig</w:t>
      </w:r>
      <w:bookmarkEnd w:id="0"/>
      <w:r w:rsidR="00826FD0">
        <w:rPr>
          <w:rFonts w:ascii="Arial" w:hAnsi="Arial" w:cs="Arial"/>
          <w:color w:val="000000" w:themeColor="text1"/>
          <w:sz w:val="22"/>
          <w:szCs w:val="22"/>
          <w:lang w:val="en-US"/>
        </w:rPr>
        <w:t xml:space="preserve"> A</w:t>
      </w:r>
      <w:r w:rsidRPr="00E70A8B">
        <w:rPr>
          <w:rFonts w:ascii="Arial" w:hAnsi="Arial" w:cs="Arial"/>
          <w:color w:val="000000" w:themeColor="text1"/>
          <w:sz w:val="22"/>
          <w:szCs w:val="22"/>
          <w:lang w:val="en-US"/>
        </w:rPr>
        <w:t>) indicated that each model performs poorly on the training dataset of the other. This shows that neither the Random nor the Local models generalize to the complete range of situations encountered in real settings. The Adjusted model however uses a composite set of negative controls (randomly and locally sampled), and achieves high performances on all training sets regardless of the genomic distribution of the variants (</w:t>
      </w:r>
      <w:r w:rsidR="00826FD0" w:rsidRPr="00826FD0">
        <w:rPr>
          <w:rFonts w:ascii="Arial" w:hAnsi="Arial" w:cs="Arial"/>
          <w:color w:val="000000" w:themeColor="text1"/>
          <w:sz w:val="22"/>
          <w:szCs w:val="22"/>
          <w:lang w:val="en-US"/>
        </w:rPr>
        <w:t>Fig A</w:t>
      </w:r>
      <w:r w:rsidRPr="00E70A8B">
        <w:rPr>
          <w:rFonts w:ascii="Arial" w:hAnsi="Arial" w:cs="Arial"/>
          <w:color w:val="000000" w:themeColor="text1"/>
          <w:sz w:val="22"/>
          <w:szCs w:val="22"/>
          <w:lang w:val="en-US"/>
        </w:rPr>
        <w:t>).</w:t>
      </w:r>
    </w:p>
    <w:p w14:paraId="1A221829" w14:textId="77777777" w:rsidR="00514A54" w:rsidRPr="00E70A8B" w:rsidRDefault="00A80BB8">
      <w:pPr>
        <w:suppressAutoHyphens w:val="0"/>
        <w:rPr>
          <w:rFonts w:ascii="Arial" w:hAnsi="Arial" w:cs="Arial"/>
          <w:color w:val="000000" w:themeColor="text1"/>
          <w:sz w:val="22"/>
          <w:szCs w:val="22"/>
          <w:lang w:val="en-GB"/>
        </w:rPr>
      </w:pPr>
      <w:r w:rsidRPr="00E70A8B">
        <w:rPr>
          <w:rFonts w:ascii="Arial" w:hAnsi="Arial" w:cs="Arial"/>
          <w:color w:val="000000" w:themeColor="text1"/>
          <w:lang w:val="en-US"/>
        </w:rPr>
        <w:br w:type="page"/>
      </w:r>
    </w:p>
    <w:p w14:paraId="5538816A" w14:textId="77777777" w:rsidR="00514A54" w:rsidRPr="00E70A8B" w:rsidRDefault="00514A54">
      <w:pPr>
        <w:suppressAutoHyphens w:val="0"/>
        <w:rPr>
          <w:rFonts w:ascii="Arial" w:hAnsi="Arial" w:cs="Arial"/>
          <w:lang w:val="en-GB"/>
        </w:rPr>
      </w:pPr>
    </w:p>
    <w:tbl>
      <w:tblPr>
        <w:tblW w:w="9972" w:type="dxa"/>
        <w:tblBorders>
          <w:top w:val="single" w:sz="6" w:space="0" w:color="000000"/>
          <w:bottom w:val="single" w:sz="6" w:space="0" w:color="000000"/>
          <w:insideH w:val="single" w:sz="6" w:space="0" w:color="000000"/>
        </w:tblBorders>
        <w:tblCellMar>
          <w:left w:w="0" w:type="dxa"/>
          <w:right w:w="0" w:type="dxa"/>
        </w:tblCellMar>
        <w:tblLook w:val="0000" w:firstRow="0" w:lastRow="0" w:firstColumn="0" w:lastColumn="0" w:noHBand="0" w:noVBand="0"/>
      </w:tblPr>
      <w:tblGrid>
        <w:gridCol w:w="2382"/>
        <w:gridCol w:w="3250"/>
        <w:gridCol w:w="1983"/>
        <w:gridCol w:w="1315"/>
        <w:gridCol w:w="1042"/>
      </w:tblGrid>
      <w:tr w:rsidR="00514A54" w:rsidRPr="00E70A8B" w14:paraId="0436C354" w14:textId="77777777">
        <w:tc>
          <w:tcPr>
            <w:tcW w:w="2382" w:type="dxa"/>
            <w:tcBorders>
              <w:top w:val="single" w:sz="6" w:space="0" w:color="000000"/>
              <w:bottom w:val="single" w:sz="6" w:space="0" w:color="000000"/>
            </w:tcBorders>
            <w:shd w:val="clear" w:color="auto" w:fill="auto"/>
          </w:tcPr>
          <w:p w14:paraId="73C9B332" w14:textId="77777777" w:rsidR="00514A54" w:rsidRPr="00E70A8B" w:rsidRDefault="00A80BB8">
            <w:pPr>
              <w:pStyle w:val="TableContents"/>
              <w:rPr>
                <w:rFonts w:ascii="Arial" w:hAnsi="Arial" w:cs="Arial"/>
                <w:b/>
                <w:sz w:val="18"/>
                <w:szCs w:val="18"/>
                <w:lang w:val="en-GB"/>
              </w:rPr>
            </w:pPr>
            <w:r w:rsidRPr="00E70A8B">
              <w:rPr>
                <w:rFonts w:ascii="Arial" w:hAnsi="Arial" w:cs="Arial"/>
                <w:b/>
                <w:sz w:val="18"/>
                <w:szCs w:val="18"/>
                <w:lang w:val="en-GB"/>
              </w:rPr>
              <w:t>Feature</w:t>
            </w:r>
          </w:p>
        </w:tc>
        <w:tc>
          <w:tcPr>
            <w:tcW w:w="3250" w:type="dxa"/>
            <w:tcBorders>
              <w:top w:val="single" w:sz="6" w:space="0" w:color="000000"/>
              <w:bottom w:val="single" w:sz="6" w:space="0" w:color="000000"/>
            </w:tcBorders>
            <w:shd w:val="clear" w:color="auto" w:fill="auto"/>
          </w:tcPr>
          <w:p w14:paraId="1BEC7064" w14:textId="77777777" w:rsidR="00514A54" w:rsidRPr="00E70A8B" w:rsidRDefault="00A80BB8">
            <w:pPr>
              <w:pStyle w:val="TableContents"/>
              <w:jc w:val="center"/>
              <w:rPr>
                <w:rFonts w:ascii="Arial" w:hAnsi="Arial" w:cs="Arial"/>
                <w:b/>
                <w:sz w:val="18"/>
                <w:szCs w:val="18"/>
                <w:lang w:val="en-GB"/>
              </w:rPr>
            </w:pPr>
            <w:r w:rsidRPr="00E70A8B">
              <w:rPr>
                <w:rFonts w:ascii="Arial" w:hAnsi="Arial" w:cs="Arial"/>
                <w:b/>
                <w:sz w:val="18"/>
                <w:szCs w:val="18"/>
                <w:lang w:val="en-GB"/>
              </w:rPr>
              <w:t>Description</w:t>
            </w:r>
          </w:p>
        </w:tc>
        <w:tc>
          <w:tcPr>
            <w:tcW w:w="1983" w:type="dxa"/>
            <w:tcBorders>
              <w:top w:val="single" w:sz="6" w:space="0" w:color="000000"/>
              <w:bottom w:val="single" w:sz="6" w:space="0" w:color="000000"/>
            </w:tcBorders>
            <w:shd w:val="clear" w:color="auto" w:fill="auto"/>
          </w:tcPr>
          <w:p w14:paraId="58A05D1B" w14:textId="77777777" w:rsidR="00514A54" w:rsidRPr="00E70A8B" w:rsidRDefault="00A80BB8">
            <w:pPr>
              <w:pStyle w:val="TableContents"/>
              <w:jc w:val="center"/>
              <w:rPr>
                <w:rFonts w:ascii="Arial" w:hAnsi="Arial" w:cs="Arial"/>
                <w:b/>
                <w:sz w:val="18"/>
                <w:szCs w:val="18"/>
                <w:lang w:val="en-GB"/>
              </w:rPr>
            </w:pPr>
            <w:r w:rsidRPr="00E70A8B">
              <w:rPr>
                <w:rFonts w:ascii="Arial" w:hAnsi="Arial" w:cs="Arial"/>
                <w:b/>
                <w:sz w:val="18"/>
                <w:szCs w:val="18"/>
                <w:lang w:val="en-GB"/>
              </w:rPr>
              <w:t>Group</w:t>
            </w:r>
          </w:p>
        </w:tc>
        <w:tc>
          <w:tcPr>
            <w:tcW w:w="1315" w:type="dxa"/>
            <w:tcBorders>
              <w:top w:val="single" w:sz="6" w:space="0" w:color="000000"/>
              <w:bottom w:val="single" w:sz="6" w:space="0" w:color="000000"/>
            </w:tcBorders>
            <w:shd w:val="clear" w:color="auto" w:fill="auto"/>
          </w:tcPr>
          <w:p w14:paraId="1B20B82B" w14:textId="77777777" w:rsidR="00514A54" w:rsidRPr="00E70A8B" w:rsidRDefault="00A80BB8">
            <w:pPr>
              <w:pStyle w:val="TableContents"/>
              <w:rPr>
                <w:rFonts w:ascii="Arial" w:hAnsi="Arial" w:cs="Arial"/>
                <w:b/>
                <w:sz w:val="18"/>
                <w:szCs w:val="18"/>
                <w:lang w:val="en-GB"/>
              </w:rPr>
            </w:pPr>
            <w:r w:rsidRPr="00E70A8B">
              <w:rPr>
                <w:rFonts w:ascii="Arial" w:hAnsi="Arial" w:cs="Arial"/>
                <w:b/>
                <w:sz w:val="18"/>
                <w:szCs w:val="18"/>
                <w:lang w:val="en-GB"/>
              </w:rPr>
              <w:t>Distribution</w:t>
            </w:r>
          </w:p>
        </w:tc>
        <w:tc>
          <w:tcPr>
            <w:tcW w:w="1042" w:type="dxa"/>
            <w:tcBorders>
              <w:top w:val="single" w:sz="6" w:space="0" w:color="000000"/>
              <w:bottom w:val="single" w:sz="6" w:space="0" w:color="000000"/>
            </w:tcBorders>
            <w:shd w:val="clear" w:color="auto" w:fill="auto"/>
          </w:tcPr>
          <w:p w14:paraId="5145F78D" w14:textId="77777777" w:rsidR="00514A54" w:rsidRPr="00E70A8B" w:rsidRDefault="00A80BB8">
            <w:pPr>
              <w:pStyle w:val="TableContents"/>
              <w:rPr>
                <w:rFonts w:ascii="Arial" w:hAnsi="Arial" w:cs="Arial"/>
                <w:b/>
                <w:bCs/>
                <w:sz w:val="18"/>
                <w:szCs w:val="18"/>
                <w:lang w:val="en-GB"/>
              </w:rPr>
            </w:pPr>
            <w:r w:rsidRPr="00E70A8B">
              <w:rPr>
                <w:rFonts w:ascii="Arial" w:hAnsi="Arial" w:cs="Arial"/>
                <w:b/>
                <w:bCs/>
                <w:sz w:val="18"/>
                <w:szCs w:val="18"/>
                <w:lang w:val="en-GB"/>
              </w:rPr>
              <w:t>Reference</w:t>
            </w:r>
          </w:p>
        </w:tc>
      </w:tr>
      <w:tr w:rsidR="00514A54" w:rsidRPr="00E70A8B" w14:paraId="15BEEC50" w14:textId="77777777">
        <w:tc>
          <w:tcPr>
            <w:tcW w:w="2382" w:type="dxa"/>
            <w:tcBorders>
              <w:top w:val="single" w:sz="6" w:space="0" w:color="000000"/>
              <w:bottom w:val="single" w:sz="6" w:space="0" w:color="000000"/>
            </w:tcBorders>
            <w:shd w:val="clear" w:color="auto" w:fill="auto"/>
          </w:tcPr>
          <w:p w14:paraId="43F01E98"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Transition/Transversion</w:t>
            </w:r>
          </w:p>
        </w:tc>
        <w:tc>
          <w:tcPr>
            <w:tcW w:w="3250" w:type="dxa"/>
            <w:tcBorders>
              <w:top w:val="single" w:sz="6" w:space="0" w:color="000000"/>
              <w:bottom w:val="single" w:sz="6" w:space="0" w:color="000000"/>
            </w:tcBorders>
            <w:shd w:val="clear" w:color="auto" w:fill="auto"/>
          </w:tcPr>
          <w:p w14:paraId="6DD28615" w14:textId="77777777" w:rsidR="00514A54" w:rsidRPr="00E70A8B" w:rsidRDefault="00A80BB8">
            <w:pPr>
              <w:pStyle w:val="TableContents"/>
              <w:snapToGrid w:val="0"/>
              <w:rPr>
                <w:rFonts w:ascii="Arial" w:hAnsi="Arial" w:cs="Arial"/>
                <w:sz w:val="18"/>
                <w:szCs w:val="18"/>
                <w:lang w:val="en-GB"/>
              </w:rPr>
            </w:pPr>
            <w:r w:rsidRPr="00E70A8B">
              <w:rPr>
                <w:rFonts w:ascii="Arial" w:hAnsi="Arial" w:cs="Arial"/>
                <w:color w:val="000000"/>
                <w:sz w:val="18"/>
                <w:szCs w:val="18"/>
                <w:lang w:val="en-GB"/>
              </w:rPr>
              <w:t xml:space="preserve">Nature of the variants (0 for transitions, 1 for </w:t>
            </w:r>
            <w:proofErr w:type="gramStart"/>
            <w:r w:rsidRPr="00E70A8B">
              <w:rPr>
                <w:rFonts w:ascii="Arial" w:hAnsi="Arial" w:cs="Arial"/>
                <w:color w:val="000000"/>
                <w:sz w:val="18"/>
                <w:szCs w:val="18"/>
                <w:lang w:val="en-GB"/>
              </w:rPr>
              <w:t>transversions ;</w:t>
            </w:r>
            <w:proofErr w:type="gramEnd"/>
            <w:r w:rsidRPr="00E70A8B">
              <w:rPr>
                <w:rFonts w:ascii="Arial" w:hAnsi="Arial" w:cs="Arial"/>
                <w:color w:val="000000"/>
                <w:sz w:val="18"/>
                <w:szCs w:val="18"/>
                <w:lang w:val="en-GB"/>
              </w:rPr>
              <w:t xml:space="preserve"> indels are set to 2).</w:t>
            </w:r>
          </w:p>
        </w:tc>
        <w:tc>
          <w:tcPr>
            <w:tcW w:w="1983" w:type="dxa"/>
            <w:vMerge w:val="restart"/>
            <w:tcBorders>
              <w:top w:val="single" w:sz="6" w:space="0" w:color="000000"/>
              <w:bottom w:val="single" w:sz="6" w:space="0" w:color="000000"/>
            </w:tcBorders>
            <w:shd w:val="clear" w:color="auto" w:fill="auto"/>
            <w:vAlign w:val="center"/>
          </w:tcPr>
          <w:p w14:paraId="406EBDCD" w14:textId="77777777" w:rsidR="00514A54" w:rsidRPr="00E70A8B" w:rsidRDefault="00A80BB8">
            <w:pPr>
              <w:pStyle w:val="TableContents"/>
              <w:jc w:val="center"/>
              <w:rPr>
                <w:rFonts w:ascii="Arial" w:hAnsi="Arial" w:cs="Arial"/>
                <w:sz w:val="18"/>
                <w:szCs w:val="18"/>
                <w:lang w:val="en-GB"/>
              </w:rPr>
            </w:pPr>
            <w:r w:rsidRPr="00E70A8B">
              <w:rPr>
                <w:rFonts w:ascii="Arial" w:hAnsi="Arial" w:cs="Arial"/>
                <w:color w:val="000000"/>
                <w:sz w:val="18"/>
                <w:szCs w:val="18"/>
                <w:lang w:val="en-GB"/>
              </w:rPr>
              <w:t>Sequence properties</w:t>
            </w:r>
          </w:p>
          <w:p w14:paraId="73744A25" w14:textId="77777777" w:rsidR="00514A54" w:rsidRPr="00E70A8B" w:rsidRDefault="00514A54">
            <w:pPr>
              <w:pStyle w:val="TableContents"/>
              <w:jc w:val="center"/>
              <w:rPr>
                <w:rFonts w:ascii="Arial" w:hAnsi="Arial" w:cs="Arial"/>
                <w:color w:val="000000"/>
                <w:sz w:val="18"/>
                <w:szCs w:val="18"/>
                <w:lang w:val="en-GB"/>
              </w:rPr>
            </w:pPr>
          </w:p>
        </w:tc>
        <w:tc>
          <w:tcPr>
            <w:tcW w:w="1315" w:type="dxa"/>
            <w:tcBorders>
              <w:top w:val="single" w:sz="6" w:space="0" w:color="000000"/>
              <w:bottom w:val="single" w:sz="6" w:space="0" w:color="000000"/>
            </w:tcBorders>
            <w:shd w:val="clear" w:color="auto" w:fill="auto"/>
          </w:tcPr>
          <w:p w14:paraId="4F4D6421"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Discrete</w:t>
            </w:r>
          </w:p>
        </w:tc>
        <w:tc>
          <w:tcPr>
            <w:tcW w:w="1042" w:type="dxa"/>
            <w:tcBorders>
              <w:top w:val="single" w:sz="6" w:space="0" w:color="000000"/>
              <w:bottom w:val="single" w:sz="6" w:space="0" w:color="000000"/>
            </w:tcBorders>
            <w:shd w:val="clear" w:color="auto" w:fill="auto"/>
          </w:tcPr>
          <w:p w14:paraId="67071509" w14:textId="77777777" w:rsidR="00514A54" w:rsidRPr="00E70A8B" w:rsidRDefault="00A80BB8">
            <w:pPr>
              <w:pStyle w:val="TableContents"/>
              <w:rPr>
                <w:rFonts w:ascii="Arial" w:hAnsi="Arial" w:cs="Arial"/>
                <w:sz w:val="18"/>
                <w:szCs w:val="18"/>
                <w:lang w:val="en-GB"/>
              </w:rPr>
            </w:pPr>
            <w:r w:rsidRPr="00E70A8B">
              <w:rPr>
                <w:rFonts w:ascii="Arial" w:hAnsi="Arial" w:cs="Arial"/>
                <w:sz w:val="18"/>
                <w:szCs w:val="18"/>
                <w:lang w:val="en-GB"/>
              </w:rPr>
              <w:t>This study</w:t>
            </w:r>
          </w:p>
        </w:tc>
      </w:tr>
      <w:tr w:rsidR="00514A54" w:rsidRPr="00E70A8B" w14:paraId="2586F0DF" w14:textId="77777777">
        <w:tc>
          <w:tcPr>
            <w:tcW w:w="2382" w:type="dxa"/>
            <w:tcBorders>
              <w:top w:val="single" w:sz="6" w:space="0" w:color="000000"/>
              <w:bottom w:val="single" w:sz="6" w:space="0" w:color="000000"/>
            </w:tcBorders>
            <w:shd w:val="clear" w:color="auto" w:fill="auto"/>
          </w:tcPr>
          <w:p w14:paraId="587C7E12"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CG dinucleotide</w:t>
            </w:r>
          </w:p>
        </w:tc>
        <w:tc>
          <w:tcPr>
            <w:tcW w:w="3250" w:type="dxa"/>
            <w:tcBorders>
              <w:top w:val="single" w:sz="6" w:space="0" w:color="000000"/>
              <w:bottom w:val="single" w:sz="6" w:space="0" w:color="000000"/>
            </w:tcBorders>
            <w:shd w:val="clear" w:color="auto" w:fill="auto"/>
          </w:tcPr>
          <w:p w14:paraId="3AFD5D8B"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CG dinucleotide locations.</w:t>
            </w:r>
          </w:p>
        </w:tc>
        <w:tc>
          <w:tcPr>
            <w:tcW w:w="1983" w:type="dxa"/>
            <w:vMerge/>
            <w:tcBorders>
              <w:top w:val="single" w:sz="6" w:space="0" w:color="000000"/>
              <w:bottom w:val="single" w:sz="6" w:space="0" w:color="000000"/>
            </w:tcBorders>
            <w:shd w:val="clear" w:color="auto" w:fill="auto"/>
            <w:vAlign w:val="center"/>
          </w:tcPr>
          <w:p w14:paraId="24FA71A4" w14:textId="77777777" w:rsidR="00514A54" w:rsidRPr="00E70A8B" w:rsidRDefault="00514A54">
            <w:pPr>
              <w:pStyle w:val="TableContents"/>
              <w:snapToGrid w:val="0"/>
              <w:jc w:val="center"/>
              <w:rPr>
                <w:rFonts w:ascii="Arial" w:hAnsi="Arial" w:cs="Arial"/>
                <w:color w:val="000000"/>
                <w:sz w:val="18"/>
                <w:szCs w:val="18"/>
                <w:lang w:val="en-GB"/>
              </w:rPr>
            </w:pPr>
          </w:p>
        </w:tc>
        <w:tc>
          <w:tcPr>
            <w:tcW w:w="1315" w:type="dxa"/>
            <w:tcBorders>
              <w:top w:val="single" w:sz="6" w:space="0" w:color="000000"/>
              <w:bottom w:val="single" w:sz="6" w:space="0" w:color="000000"/>
            </w:tcBorders>
            <w:shd w:val="clear" w:color="auto" w:fill="auto"/>
          </w:tcPr>
          <w:p w14:paraId="36E679BE"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Binary</w:t>
            </w:r>
          </w:p>
        </w:tc>
        <w:tc>
          <w:tcPr>
            <w:tcW w:w="1042" w:type="dxa"/>
            <w:tcBorders>
              <w:top w:val="single" w:sz="6" w:space="0" w:color="000000"/>
              <w:bottom w:val="single" w:sz="6" w:space="0" w:color="000000"/>
            </w:tcBorders>
            <w:shd w:val="clear" w:color="auto" w:fill="auto"/>
          </w:tcPr>
          <w:p w14:paraId="42D94DB5" w14:textId="77777777" w:rsidR="00514A54" w:rsidRPr="00E70A8B" w:rsidRDefault="00A80BB8">
            <w:pPr>
              <w:pStyle w:val="TableContents"/>
              <w:rPr>
                <w:rFonts w:ascii="Arial" w:hAnsi="Arial" w:cs="Arial"/>
                <w:sz w:val="18"/>
                <w:szCs w:val="18"/>
                <w:lang w:val="en-GB"/>
              </w:rPr>
            </w:pPr>
            <w:r w:rsidRPr="00E70A8B">
              <w:rPr>
                <w:rFonts w:ascii="Arial" w:hAnsi="Arial" w:cs="Arial"/>
                <w:sz w:val="18"/>
                <w:szCs w:val="18"/>
                <w:lang w:val="en-GB"/>
              </w:rPr>
              <w:t>This study</w:t>
            </w:r>
          </w:p>
        </w:tc>
      </w:tr>
      <w:tr w:rsidR="00514A54" w:rsidRPr="00E70A8B" w14:paraId="037D5F6E" w14:textId="77777777">
        <w:tc>
          <w:tcPr>
            <w:tcW w:w="2382" w:type="dxa"/>
            <w:tcBorders>
              <w:top w:val="single" w:sz="6" w:space="0" w:color="000000"/>
              <w:bottom w:val="single" w:sz="4" w:space="0" w:color="000000"/>
            </w:tcBorders>
            <w:shd w:val="clear" w:color="auto" w:fill="auto"/>
          </w:tcPr>
          <w:p w14:paraId="44D365DD"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CpG islands</w:t>
            </w:r>
          </w:p>
        </w:tc>
        <w:tc>
          <w:tcPr>
            <w:tcW w:w="3250" w:type="dxa"/>
            <w:tcBorders>
              <w:top w:val="single" w:sz="6" w:space="0" w:color="000000"/>
              <w:bottom w:val="single" w:sz="4" w:space="0" w:color="000000"/>
            </w:tcBorders>
            <w:shd w:val="clear" w:color="auto" w:fill="auto"/>
          </w:tcPr>
          <w:p w14:paraId="7CF7BABB"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CpG islands from the UCSC.</w:t>
            </w:r>
          </w:p>
        </w:tc>
        <w:tc>
          <w:tcPr>
            <w:tcW w:w="1983" w:type="dxa"/>
            <w:vMerge/>
            <w:tcBorders>
              <w:top w:val="single" w:sz="6" w:space="0" w:color="000000"/>
              <w:bottom w:val="single" w:sz="4" w:space="0" w:color="000000"/>
            </w:tcBorders>
            <w:shd w:val="clear" w:color="auto" w:fill="auto"/>
            <w:vAlign w:val="center"/>
          </w:tcPr>
          <w:p w14:paraId="46C383E8" w14:textId="77777777" w:rsidR="00514A54" w:rsidRPr="00E70A8B" w:rsidRDefault="00514A54">
            <w:pPr>
              <w:pStyle w:val="TableContents"/>
              <w:snapToGrid w:val="0"/>
              <w:jc w:val="center"/>
              <w:rPr>
                <w:rFonts w:ascii="Arial" w:hAnsi="Arial" w:cs="Arial"/>
                <w:color w:val="000000"/>
                <w:sz w:val="18"/>
                <w:szCs w:val="18"/>
                <w:lang w:val="en-GB"/>
              </w:rPr>
            </w:pPr>
          </w:p>
        </w:tc>
        <w:tc>
          <w:tcPr>
            <w:tcW w:w="1315" w:type="dxa"/>
            <w:tcBorders>
              <w:top w:val="single" w:sz="6" w:space="0" w:color="000000"/>
              <w:bottom w:val="single" w:sz="4" w:space="0" w:color="000000"/>
            </w:tcBorders>
            <w:shd w:val="clear" w:color="auto" w:fill="auto"/>
          </w:tcPr>
          <w:p w14:paraId="55A82B61"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 xml:space="preserve">Binary </w:t>
            </w:r>
          </w:p>
        </w:tc>
        <w:tc>
          <w:tcPr>
            <w:tcW w:w="1042" w:type="dxa"/>
            <w:tcBorders>
              <w:top w:val="single" w:sz="6" w:space="0" w:color="000000"/>
              <w:bottom w:val="single" w:sz="4" w:space="0" w:color="000000"/>
            </w:tcBorders>
            <w:shd w:val="clear" w:color="auto" w:fill="auto"/>
          </w:tcPr>
          <w:p w14:paraId="2F9508BF" w14:textId="031C85D3" w:rsidR="00514A54" w:rsidRPr="00E70A8B" w:rsidRDefault="00A80BB8">
            <w:pPr>
              <w:pStyle w:val="TableContents"/>
              <w:rPr>
                <w:rFonts w:ascii="Arial" w:hAnsi="Arial" w:cs="Arial"/>
              </w:rPr>
            </w:pPr>
            <w:r w:rsidRPr="00E70A8B">
              <w:rPr>
                <w:rFonts w:ascii="Arial" w:hAnsi="Arial" w:cs="Arial"/>
              </w:rPr>
              <w:fldChar w:fldCharType="begin"/>
            </w:r>
            <w:r w:rsidR="004A7EB4">
              <w:rPr>
                <w:rFonts w:ascii="Arial" w:hAnsi="Arial" w:cs="Arial"/>
              </w:rPr>
              <w:instrText xml:space="preserve"> ADDIN ZOTERO_ITEM CSL_CITATION {"citationID":"tTTDVixa","properties":{"formattedCitation":"[1]","plainCitation":"[1]","noteIndex":0},"citationItems":[{"id":5032,"uris":["http://zotero.org/users/6479495/items/DFSFSQVN"],"uri":["http://zotero.org/users/6479495/items/DFSFSQVN"],"itemData":{"id":5032,"type":"article-journal","abstract":"Abstract. The University of California Santa Cruz Genome Browser website (https://genome.ucsc.edu) enters its 20th year of providing high-quality genomics data","container-title":"Nucleic Acids Research","DOI":"10.1093/nar/gkz1012","ISSN":"0305-1048","issue":"D1","journalAbbreviation":"Nucleic Acids Res","language":"en","note":"publisher: Oxford Academic","page":"D756-D761","source":"academic-oup-com.insb.bib.cnrs.fr","title":"UCSC Genome Browser enters 20th year","volume":"48","author":[{"family":"Lee","given":"Christopher M."},{"family":"Barber","given":"Galt P."},{"family":"Casper","given":"Jonathan"},{"family":"Clawson","given":"Hiram"},{"family":"Diekhans","given":"Mark"},{"family":"Gonzalez","given":"Jairo Navarro"},{"family":"Hinrichs","given":"Angie S."},{"family":"Lee","given":"Brian T."},{"family":"Nassar","given":"Luis R."},{"family":"Powell","given":"Conner C."},{"family":"Raney","given":"Brian J."},{"family":"Rosenbloom","given":"Kate R."},{"family":"Schmelter","given":"Daniel"},{"family":"Speir","given":"Matthew L."},{"family":"Zweig","given":"Ann S."},{"family":"Haussler","given":"David"},{"family":"Haeussler","given":"Maximilian"},{"family":"Kuhn","given":"Robert M."},{"family":"Kent","given":"W. James"}],"issued":{"date-parts":[["2020",1,8]]}}}],"schema":"https://github.com/citation-style-language/schema/raw/master/csl-citation.json"} </w:instrText>
            </w:r>
            <w:r w:rsidRPr="00E70A8B">
              <w:rPr>
                <w:rFonts w:ascii="Arial" w:hAnsi="Arial" w:cs="Arial"/>
              </w:rPr>
              <w:fldChar w:fldCharType="separate"/>
            </w:r>
            <w:bookmarkStart w:id="1" w:name="__Fieldmark__44_2281253091"/>
            <w:bookmarkStart w:id="2" w:name="__Fieldmark__54_3451003990"/>
            <w:r w:rsidR="004A7EB4">
              <w:rPr>
                <w:rFonts w:ascii="Arial" w:hAnsi="Arial" w:cs="Arial"/>
                <w:sz w:val="18"/>
                <w:szCs w:val="18"/>
                <w:lang w:val="en-GB"/>
              </w:rPr>
              <w:t>[1]</w:t>
            </w:r>
            <w:r w:rsidRPr="00E70A8B">
              <w:rPr>
                <w:rFonts w:ascii="Arial" w:hAnsi="Arial" w:cs="Arial"/>
              </w:rPr>
              <w:fldChar w:fldCharType="end"/>
            </w:r>
            <w:bookmarkEnd w:id="1"/>
            <w:bookmarkEnd w:id="2"/>
          </w:p>
        </w:tc>
      </w:tr>
      <w:tr w:rsidR="00514A54" w:rsidRPr="007523EE" w14:paraId="04D35D4D" w14:textId="77777777">
        <w:tc>
          <w:tcPr>
            <w:tcW w:w="2382" w:type="dxa"/>
            <w:tcBorders>
              <w:top w:val="single" w:sz="4" w:space="0" w:color="000000"/>
              <w:bottom w:val="single" w:sz="6" w:space="0" w:color="000000"/>
            </w:tcBorders>
            <w:shd w:val="clear" w:color="auto" w:fill="auto"/>
          </w:tcPr>
          <w:p w14:paraId="7BC2C2D8" w14:textId="77777777" w:rsidR="00514A54" w:rsidRPr="00E70A8B" w:rsidRDefault="00A80BB8">
            <w:pPr>
              <w:pStyle w:val="TableContents"/>
              <w:rPr>
                <w:rFonts w:ascii="Arial" w:hAnsi="Arial" w:cs="Arial"/>
                <w:sz w:val="18"/>
                <w:szCs w:val="18"/>
                <w:lang w:val="en-GB"/>
              </w:rPr>
            </w:pPr>
            <w:proofErr w:type="spellStart"/>
            <w:r w:rsidRPr="00E70A8B">
              <w:rPr>
                <w:rFonts w:ascii="Arial" w:hAnsi="Arial" w:cs="Arial"/>
                <w:color w:val="000000"/>
                <w:sz w:val="18"/>
                <w:szCs w:val="18"/>
                <w:lang w:val="en-GB"/>
              </w:rPr>
              <w:t>PhyloP</w:t>
            </w:r>
            <w:proofErr w:type="spellEnd"/>
            <w:r w:rsidRPr="00E70A8B">
              <w:rPr>
                <w:rFonts w:ascii="Arial" w:hAnsi="Arial" w:cs="Arial"/>
                <w:color w:val="000000"/>
                <w:sz w:val="18"/>
                <w:szCs w:val="18"/>
                <w:lang w:val="en-GB"/>
              </w:rPr>
              <w:t xml:space="preserve"> 100-way</w:t>
            </w:r>
          </w:p>
        </w:tc>
        <w:tc>
          <w:tcPr>
            <w:tcW w:w="3250" w:type="dxa"/>
            <w:tcBorders>
              <w:top w:val="single" w:sz="4" w:space="0" w:color="000000"/>
              <w:bottom w:val="single" w:sz="6" w:space="0" w:color="000000"/>
            </w:tcBorders>
            <w:shd w:val="clear" w:color="auto" w:fill="auto"/>
          </w:tcPr>
          <w:p w14:paraId="79B9C809" w14:textId="77777777" w:rsidR="00514A54" w:rsidRPr="00E70A8B" w:rsidRDefault="00A80BB8">
            <w:pPr>
              <w:pStyle w:val="TableContents"/>
              <w:rPr>
                <w:rFonts w:ascii="Arial" w:hAnsi="Arial" w:cs="Arial"/>
                <w:sz w:val="18"/>
                <w:szCs w:val="18"/>
                <w:lang w:val="en-GB"/>
              </w:rPr>
            </w:pPr>
            <w:proofErr w:type="spellStart"/>
            <w:r w:rsidRPr="00E70A8B">
              <w:rPr>
                <w:rFonts w:ascii="Arial" w:hAnsi="Arial" w:cs="Arial"/>
                <w:color w:val="000000"/>
                <w:sz w:val="18"/>
                <w:szCs w:val="18"/>
                <w:lang w:val="en-GB"/>
              </w:rPr>
              <w:t>PhyloP</w:t>
            </w:r>
            <w:proofErr w:type="spellEnd"/>
            <w:r w:rsidRPr="00E70A8B">
              <w:rPr>
                <w:rFonts w:ascii="Arial" w:hAnsi="Arial" w:cs="Arial"/>
                <w:color w:val="000000"/>
                <w:sz w:val="18"/>
                <w:szCs w:val="18"/>
                <w:lang w:val="en-GB"/>
              </w:rPr>
              <w:t xml:space="preserve"> score computed from 100 vertebrate genomes’ alignments</w:t>
            </w:r>
          </w:p>
        </w:tc>
        <w:tc>
          <w:tcPr>
            <w:tcW w:w="1983" w:type="dxa"/>
            <w:vMerge w:val="restart"/>
            <w:tcBorders>
              <w:top w:val="single" w:sz="4" w:space="0" w:color="000000"/>
              <w:bottom w:val="single" w:sz="6" w:space="0" w:color="000000"/>
            </w:tcBorders>
            <w:shd w:val="clear" w:color="auto" w:fill="auto"/>
            <w:vAlign w:val="center"/>
          </w:tcPr>
          <w:p w14:paraId="673BECF0" w14:textId="77777777" w:rsidR="00514A54" w:rsidRPr="00E70A8B" w:rsidRDefault="00A80BB8">
            <w:pPr>
              <w:pStyle w:val="TableContents"/>
              <w:jc w:val="center"/>
              <w:rPr>
                <w:rFonts w:ascii="Arial" w:hAnsi="Arial" w:cs="Arial"/>
                <w:sz w:val="18"/>
                <w:szCs w:val="18"/>
                <w:lang w:val="en-GB"/>
              </w:rPr>
            </w:pPr>
            <w:r w:rsidRPr="00E70A8B">
              <w:rPr>
                <w:rFonts w:ascii="Arial" w:hAnsi="Arial" w:cs="Arial"/>
                <w:color w:val="000000"/>
                <w:sz w:val="18"/>
                <w:szCs w:val="18"/>
                <w:lang w:val="en-GB"/>
              </w:rPr>
              <w:t>Conservation</w:t>
            </w:r>
          </w:p>
        </w:tc>
        <w:tc>
          <w:tcPr>
            <w:tcW w:w="1315" w:type="dxa"/>
            <w:tcBorders>
              <w:top w:val="single" w:sz="4" w:space="0" w:color="000000"/>
              <w:bottom w:val="single" w:sz="6" w:space="0" w:color="000000"/>
            </w:tcBorders>
            <w:shd w:val="clear" w:color="auto" w:fill="auto"/>
          </w:tcPr>
          <w:p w14:paraId="00FDB425"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Continuous</w:t>
            </w:r>
          </w:p>
        </w:tc>
        <w:tc>
          <w:tcPr>
            <w:tcW w:w="1042" w:type="dxa"/>
            <w:tcBorders>
              <w:top w:val="single" w:sz="4" w:space="0" w:color="000000"/>
              <w:bottom w:val="single" w:sz="6" w:space="0" w:color="000000"/>
            </w:tcBorders>
            <w:shd w:val="clear" w:color="auto" w:fill="auto"/>
          </w:tcPr>
          <w:p w14:paraId="1FF493B6" w14:textId="2EFFE094" w:rsidR="00514A54" w:rsidRPr="005946E8" w:rsidRDefault="00A80BB8">
            <w:pPr>
              <w:pStyle w:val="TableContents"/>
              <w:rPr>
                <w:rFonts w:ascii="Arial" w:hAnsi="Arial" w:cs="Arial"/>
                <w:lang w:val="en-US"/>
              </w:rPr>
            </w:pPr>
            <w:r w:rsidRPr="00E70A8B">
              <w:rPr>
                <w:rFonts w:ascii="Arial" w:hAnsi="Arial" w:cs="Arial"/>
              </w:rPr>
              <w:fldChar w:fldCharType="begin"/>
            </w:r>
            <w:r w:rsidR="004A7EB4">
              <w:rPr>
                <w:rFonts w:ascii="Arial" w:hAnsi="Arial" w:cs="Arial"/>
              </w:rPr>
              <w:instrText xml:space="preserve"> ADDIN ZOTERO_ITEM CSL_CITATION {"citationID":"L4IY49Xx","properties":{"formattedCitation":"[1,2]","plainCitation":"[1,2]","noteIndex":0},"citationItems":[{"id":5032,"uris":["http://zotero.org/users/6479495/items/DFSFSQVN"],"uri":["http://zotero.org/users/6479495/items/DFSFSQVN"],"itemData":{"id":5032,"type":"article-journal","abstract":"Abstract. The University of California Santa Cruz Genome Browser website (https://genome.ucsc.edu) enters its 20th year of providing high-quality genomics data","container-title":"Nucleic Acids Research","DOI":"10.1093/nar/gkz1012","ISSN":"0305-1048","issue":"D1","journalAbbreviation":"Nucleic Acids Res","language":"en","note":"publisher: Oxford Academic","page":"D756-D761","source":"academic-oup-com.insb.bib.cnrs.fr","title":"UCSC Genome Browser enters 20th year","volume":"48","author":[{"family":"Lee","given":"Christopher M."},{"family":"Barber","given":"Galt P."},{"family":"Casper","given":"Jonathan"},{"family":"Clawson","given":"Hiram"},{"family":"Diekhans","given":"Mark"},{"family":"Gonzalez","given":"Jairo Navarro"},{"family":"Hinrichs","given":"Angie S."},{"family":"Lee","given":"Brian T."},{"family":"Nassar","given":"Luis R."},{"family":"Powell","given":"Conner C."},{"family":"Raney","given":"Brian J."},{"family":"Rosenbloom","given":"Kate R."},{"family":"Schmelter","given":"Daniel"},{"family":"Speir","given":"Matthew L."},{"family":"Zweig","given":"Ann S."},{"family":"Haussler","given":"David"},{"family":"Haeussler","given":"Maximilian"},{"family":"Kuhn","given":"Robert M."},{"family":"Kent","given":"W. James"}],"issued":{"date-parts":[["2020",1,8]]}}},{"id":5035,"uris":["http://zotero.org/groups/2472009/items/MNJLE5XE"],"uri":["http://zotero.org/groups/2472009/items/MNJLE5XE"],"itemData":{"id":5035,"type":"article-journal","abstract":"Methods for detecting nucleotide substitution rates that are faster or slower than expected under neutral drift are widely used to identify candidate functional elements in genomic sequences. However, most existing methods consider either reductions (conservation) or increases (acceleration) in rate but not both, or assume that selection acts uniformly across the branches of a phylogeny. Here we examine the more general problem of detecting departures from the neutral rate of substitution in either direction, possibly in a clade-specific manner. We consider four statistical, phylogenetic tests for addressing this problem: a likelihood ratio test, a score test, a test based on exact distributions of numbers of substitutions, and the genomic evolutionary rate profiling (GERP) test. All four tests have been implemented in a freely available program called phyloP. Based on extensive simulation experiments, these tests are remarkably similar in statistical power. With 36 mammalian species, they all appear to be capable of fairly good sensitivity with low false-positive rates i</w:instrText>
            </w:r>
            <w:r w:rsidR="004A7EB4" w:rsidRPr="00AC0AD9">
              <w:rPr>
                <w:rFonts w:ascii="Arial" w:hAnsi="Arial" w:cs="Arial"/>
                <w:lang w:val="en-US"/>
              </w:rPr>
              <w:instrText xml:space="preserve">n detecting strong selection at individual nucleotides, moderate selection in 3-bp elements, and weaker or clade-specific selection in longer elements. By applying phyloP to mammalian multiple alignments from the ENCODE project, we shed light on patterns of conservation/acceleration in known and predicted functional elements, approximate fractions of sites subject to constraint, and differences in clade-specific selection in the primate and glires clades. We also describe new “Conservation” tracks in the UCSC Genome Browser that display both phyloP and phastCons scores for genome-wide alignments of 44 vertebrate species.","container-title":"Genome Research","DOI":"10.1101/gr.097857.109","ISSN":"1088-9051, 1549-5469","issue":"1","journalAbbreviation":"Genome Res.","language":"en","note":"Company: Cold Spring Harbor Laboratory Press\nDistributor: Cold Spring Harbor Laboratory Press\nInstitution: Cold Spring Harbor Laboratory Press\nLabel: Cold Spring Harbor Laboratory Press\npublisher: Cold Spring Harbor Lab\nPMID: 19858363","page":"110-121","source":"genome-cshlp-org.insb.bib.cnrs.fr","title":"Detection of nonneutral substitution rates on mammalian phylogenies","volume":"20","author":[{"family":"Pollard","given":"Katherine S."},{"family":"Hubisz","given":"Melissa J."},{"family":"Rosenbloom","given":"Kate R."},{"family":"Siepel","given":"Adam"}],"issued":{"date-parts":[["2010",1,1]]}}}],"schema":"https://github.com/citation-style-language/schema/raw/master/csl-citation.json"} </w:instrText>
            </w:r>
            <w:r w:rsidRPr="00E70A8B">
              <w:rPr>
                <w:rFonts w:ascii="Arial" w:hAnsi="Arial" w:cs="Arial"/>
              </w:rPr>
              <w:fldChar w:fldCharType="separate"/>
            </w:r>
            <w:bookmarkStart w:id="3" w:name="__Fieldmark__55_2281253091"/>
            <w:bookmarkStart w:id="4" w:name="__Fieldmark__65_3451003990"/>
            <w:r w:rsidR="004A7EB4">
              <w:rPr>
                <w:rFonts w:ascii="Arial" w:hAnsi="Arial" w:cs="Arial"/>
                <w:sz w:val="18"/>
                <w:szCs w:val="18"/>
                <w:lang w:val="en-US"/>
              </w:rPr>
              <w:t>[1,2]</w:t>
            </w:r>
            <w:r w:rsidRPr="00E70A8B">
              <w:rPr>
                <w:rFonts w:ascii="Arial" w:hAnsi="Arial" w:cs="Arial"/>
              </w:rPr>
              <w:fldChar w:fldCharType="end"/>
            </w:r>
            <w:bookmarkEnd w:id="3"/>
            <w:bookmarkEnd w:id="4"/>
          </w:p>
        </w:tc>
      </w:tr>
      <w:tr w:rsidR="00514A54" w:rsidRPr="007523EE" w14:paraId="35513689" w14:textId="77777777">
        <w:tc>
          <w:tcPr>
            <w:tcW w:w="2382" w:type="dxa"/>
            <w:tcBorders>
              <w:top w:val="single" w:sz="6" w:space="0" w:color="000000"/>
              <w:bottom w:val="single" w:sz="6" w:space="0" w:color="000000"/>
            </w:tcBorders>
            <w:shd w:val="clear" w:color="auto" w:fill="auto"/>
          </w:tcPr>
          <w:p w14:paraId="3BAF0A15" w14:textId="77777777" w:rsidR="00514A54" w:rsidRPr="005946E8" w:rsidRDefault="00A80BB8">
            <w:pPr>
              <w:pStyle w:val="TableContents"/>
              <w:rPr>
                <w:rFonts w:ascii="Arial" w:hAnsi="Arial" w:cs="Arial"/>
                <w:sz w:val="18"/>
                <w:szCs w:val="18"/>
                <w:lang w:val="en-US"/>
              </w:rPr>
            </w:pPr>
            <w:proofErr w:type="spellStart"/>
            <w:r w:rsidRPr="005946E8">
              <w:rPr>
                <w:rFonts w:ascii="Arial" w:hAnsi="Arial" w:cs="Arial"/>
                <w:color w:val="000000"/>
                <w:sz w:val="18"/>
                <w:szCs w:val="18"/>
                <w:lang w:val="en-US"/>
              </w:rPr>
              <w:t>PhyloP</w:t>
            </w:r>
            <w:proofErr w:type="spellEnd"/>
            <w:r w:rsidRPr="005946E8">
              <w:rPr>
                <w:rFonts w:ascii="Arial" w:hAnsi="Arial" w:cs="Arial"/>
                <w:color w:val="000000"/>
                <w:sz w:val="18"/>
                <w:szCs w:val="18"/>
                <w:lang w:val="en-US"/>
              </w:rPr>
              <w:t xml:space="preserve"> 20-way</w:t>
            </w:r>
          </w:p>
        </w:tc>
        <w:tc>
          <w:tcPr>
            <w:tcW w:w="3250" w:type="dxa"/>
            <w:tcBorders>
              <w:top w:val="single" w:sz="6" w:space="0" w:color="000000"/>
              <w:bottom w:val="single" w:sz="6" w:space="0" w:color="000000"/>
            </w:tcBorders>
            <w:shd w:val="clear" w:color="auto" w:fill="auto"/>
          </w:tcPr>
          <w:p w14:paraId="4522A52D" w14:textId="77777777" w:rsidR="00514A54" w:rsidRPr="005946E8" w:rsidRDefault="00A80BB8">
            <w:pPr>
              <w:pStyle w:val="TableContents"/>
              <w:rPr>
                <w:rFonts w:ascii="Arial" w:hAnsi="Arial" w:cs="Arial"/>
                <w:sz w:val="18"/>
                <w:szCs w:val="18"/>
                <w:lang w:val="en-US"/>
              </w:rPr>
            </w:pPr>
            <w:proofErr w:type="spellStart"/>
            <w:r w:rsidRPr="005946E8">
              <w:rPr>
                <w:rFonts w:ascii="Arial" w:hAnsi="Arial" w:cs="Arial"/>
                <w:color w:val="000000"/>
                <w:sz w:val="18"/>
                <w:szCs w:val="18"/>
                <w:lang w:val="en-US"/>
              </w:rPr>
              <w:t>PhyloP</w:t>
            </w:r>
            <w:proofErr w:type="spellEnd"/>
            <w:r w:rsidRPr="005946E8">
              <w:rPr>
                <w:rFonts w:ascii="Arial" w:hAnsi="Arial" w:cs="Arial"/>
                <w:color w:val="000000"/>
                <w:sz w:val="18"/>
                <w:szCs w:val="18"/>
                <w:lang w:val="en-US"/>
              </w:rPr>
              <w:t xml:space="preserve"> score computed from 20 primate genomes’ alignments</w:t>
            </w:r>
          </w:p>
        </w:tc>
        <w:tc>
          <w:tcPr>
            <w:tcW w:w="1983" w:type="dxa"/>
            <w:vMerge/>
            <w:tcBorders>
              <w:top w:val="single" w:sz="6" w:space="0" w:color="000000"/>
              <w:bottom w:val="single" w:sz="6" w:space="0" w:color="000000"/>
            </w:tcBorders>
            <w:shd w:val="clear" w:color="auto" w:fill="auto"/>
            <w:vAlign w:val="center"/>
          </w:tcPr>
          <w:p w14:paraId="5D2793E6" w14:textId="77777777" w:rsidR="00514A54" w:rsidRPr="005946E8" w:rsidRDefault="00514A54">
            <w:pPr>
              <w:pStyle w:val="TableContents"/>
              <w:snapToGrid w:val="0"/>
              <w:jc w:val="center"/>
              <w:rPr>
                <w:rFonts w:ascii="Arial" w:hAnsi="Arial" w:cs="Arial"/>
                <w:color w:val="000000"/>
                <w:sz w:val="18"/>
                <w:szCs w:val="18"/>
                <w:lang w:val="en-US"/>
              </w:rPr>
            </w:pPr>
          </w:p>
        </w:tc>
        <w:tc>
          <w:tcPr>
            <w:tcW w:w="1315" w:type="dxa"/>
            <w:tcBorders>
              <w:top w:val="single" w:sz="6" w:space="0" w:color="000000"/>
              <w:bottom w:val="single" w:sz="6" w:space="0" w:color="000000"/>
            </w:tcBorders>
            <w:shd w:val="clear" w:color="auto" w:fill="auto"/>
          </w:tcPr>
          <w:p w14:paraId="5261D59D" w14:textId="77777777" w:rsidR="00514A54" w:rsidRPr="005946E8" w:rsidRDefault="00A80BB8">
            <w:pPr>
              <w:pStyle w:val="TableContents"/>
              <w:rPr>
                <w:rFonts w:ascii="Arial" w:hAnsi="Arial" w:cs="Arial"/>
                <w:sz w:val="18"/>
                <w:szCs w:val="18"/>
                <w:lang w:val="en-US"/>
              </w:rPr>
            </w:pPr>
            <w:r w:rsidRPr="005946E8">
              <w:rPr>
                <w:rFonts w:ascii="Arial" w:hAnsi="Arial" w:cs="Arial"/>
                <w:color w:val="000000"/>
                <w:sz w:val="18"/>
                <w:szCs w:val="18"/>
                <w:lang w:val="en-US"/>
              </w:rPr>
              <w:t>Continuous</w:t>
            </w:r>
          </w:p>
        </w:tc>
        <w:tc>
          <w:tcPr>
            <w:tcW w:w="1042" w:type="dxa"/>
            <w:tcBorders>
              <w:top w:val="single" w:sz="6" w:space="0" w:color="000000"/>
              <w:bottom w:val="single" w:sz="6" w:space="0" w:color="000000"/>
            </w:tcBorders>
            <w:shd w:val="clear" w:color="auto" w:fill="auto"/>
          </w:tcPr>
          <w:p w14:paraId="0E4CD9EE" w14:textId="5098CD43" w:rsidR="00514A54" w:rsidRPr="00E70A8B" w:rsidRDefault="00A80BB8">
            <w:pPr>
              <w:pStyle w:val="TableContents"/>
              <w:rPr>
                <w:rFonts w:ascii="Arial" w:hAnsi="Arial" w:cs="Arial"/>
                <w:lang w:val="en-US"/>
              </w:rPr>
            </w:pPr>
            <w:r w:rsidRPr="00E70A8B">
              <w:rPr>
                <w:rFonts w:ascii="Arial" w:hAnsi="Arial" w:cs="Arial"/>
              </w:rPr>
              <w:fldChar w:fldCharType="begin"/>
            </w:r>
            <w:r w:rsidR="004A7EB4">
              <w:rPr>
                <w:rFonts w:ascii="Arial" w:hAnsi="Arial" w:cs="Arial"/>
                <w:lang w:val="en-US"/>
              </w:rPr>
              <w:instrText xml:space="preserve"> ADDIN ZOTERO_ITEM CSL_CITATION {"citationID":"rZnJEExe","properties":{"formattedCitation":"[1,2]","plainCitation":"[1,2]","noteIndex":0},"citationItems":[{"id":5032,"uris":["http://zotero.org/users/6479495/items/DFSFSQVN"],"uri":["http://zotero.org/users/6479495/items/DFSFSQVN"],"itemData":{"id":5032,"type":"article-journal","abstract":"Abstract. The University of California Santa Cruz Genome Browser website (https://genome.ucsc.edu) enters its 20th year of providing high-quality genomics data","container-title":"Nucleic Acids Research","DOI":"10.1093/nar/gkz1012","ISSN":"0305-1048","issue":"D1","journalAbbreviation":"Nucleic Acids Res","language":"en","note":"publisher: Oxford Academic","page":"D756-D761","source":"academic-oup-com.insb.bib.cnrs.fr","title":"UCSC Genome Browser enters 20th year","volume":"48","author":[{"family":"Lee","given":"Christopher M."},{"family":"Barber","given":"Galt P."},{"family":"Casper","given":"Jonathan"},{"family":"Clawson","given":"Hiram"},{"family":"Diekhans","given":"Mark"},{"family":"Gonzalez","given":"Jairo Navarro"},{"family":"Hinrichs","given":"Angie S."},{"family":"Lee","given":"Brian T."},{"family":"Nassar","given":"Luis R."},{"family":"Powell","given":"Conner C."},{"family":"Raney","given":"Brian J."},{"family":"Rosenbloom","given":"Kate R."},{"family":"Schmelter","given":"Daniel"},{"family":"Speir","given":"Matthew L."},{"family":"Zweig","given":"Ann S."},{"family":"Haussler","given":"David"},{"family":"Haeussler","given":"Maximilian"},{"family":"Kuhn","given":"Robert M."},{"family":"Kent","given":"W. James"}],"issued":{"date-parts":[["2020",1,8]]}}},{"id":5035,"uris":["http://zotero.org/groups/2472009/items/MNJLE5XE"],"uri":["http://zotero.org/groups/2472009/items/MNJLE5XE"],"itemData":{"id":5035,"type":"article-journal","abstract":"Methods for detecting nucleotide substitution rates that are faster or slower than expected under neutral drift are widely used to identify candidate functional elements in genomic sequences. However, most existing methods consider either reductions (conservation) or increases (acceleration) in rate but not both, or assume that selection acts uniformly across the branches of a phylogeny. Here we examine the more general problem of detecting departures from the neutral rate of substitution in either direction, possibly in a clade-specific manner. We consider four statistical, phylogenetic tests for addressing this problem: a likelihood ratio test, a score test, a test based on exact distributions of numbers of substitutions, and the genomic evolutionary rate profiling (GERP) test. All four tests have been implemented in a freely available program called phyloP. Based on extensive simulation experiments, these tests are remarkably similar in statistical power. With 36 mammalian species, they all appear to be capable of fairly good sensitivity with low false-positive rates in detecting strong selection at individual nucleotides, moderate selection in 3-bp elements, and weaker or clade-specific selection in longer elements. By applying phyloP to mammalian multiple alignments from the ENCODE project, we shed light on patterns of conservation/acceleration in known and predicted functional elements, approximate fractions of sites subject to constraint, and differences in clade-specific selection in the primate and glires clades. We also describe new “Conservation” tracks in the UCSC Genome Browser that display both phyloP and phastCons scores for genome-wide alignments of 44 vertebrate species.","container-title":"Genome Research","DOI":"10.1101/gr.097857.109","ISSN":"1088-9051, 1549-5469","issue":"1","journalAbbreviation":"Genome Res.","language":"en","note":"Company: Cold Spring Harbor Laboratory Press\nDistributor: Cold Spring Harbor Laboratory Press\nInstitution: Cold Spring Harbor Laboratory Press\nLabel: Cold Spring Harbor Laboratory Press\npublisher: Cold Spring Harbor Lab\nPMID: 19858363","page":"110-121","source":"genome-cshlp-org.insb.bib.cnrs.fr","title":"Detection of nonneutral substitution rates on mammalian phylogenies","volume":"20","author":[{"family":"Pollard","given":"Katherine S."},{"family":"Hubisz","given":"Melissa J."},{"family":"Rosenbloom","given":"Kate R."},{"family":"Siepel","given":"Adam"}],"issued":{"date-parts":[["2010",1,1]]}}}],"schema":"https://github.com/citation-style-language/schema/raw/master/csl-citation.json"} </w:instrText>
            </w:r>
            <w:r w:rsidRPr="00E70A8B">
              <w:rPr>
                <w:rFonts w:ascii="Arial" w:hAnsi="Arial" w:cs="Arial"/>
              </w:rPr>
              <w:fldChar w:fldCharType="separate"/>
            </w:r>
            <w:bookmarkStart w:id="5" w:name="__Fieldmark__65_2281253091"/>
            <w:bookmarkStart w:id="6" w:name="__Fieldmark__75_3451003990"/>
            <w:r w:rsidR="004A7EB4">
              <w:rPr>
                <w:rFonts w:ascii="Arial" w:hAnsi="Arial" w:cs="Arial"/>
                <w:sz w:val="18"/>
                <w:szCs w:val="18"/>
                <w:lang w:val="en-GB"/>
              </w:rPr>
              <w:t>[1,2]</w:t>
            </w:r>
            <w:r w:rsidRPr="00E70A8B">
              <w:rPr>
                <w:rFonts w:ascii="Arial" w:hAnsi="Arial" w:cs="Arial"/>
              </w:rPr>
              <w:fldChar w:fldCharType="end"/>
            </w:r>
            <w:bookmarkEnd w:id="5"/>
            <w:bookmarkEnd w:id="6"/>
          </w:p>
        </w:tc>
      </w:tr>
      <w:tr w:rsidR="00514A54" w:rsidRPr="007523EE" w14:paraId="24B80919" w14:textId="77777777">
        <w:tc>
          <w:tcPr>
            <w:tcW w:w="2382" w:type="dxa"/>
            <w:tcBorders>
              <w:top w:val="single" w:sz="6" w:space="0" w:color="000000"/>
              <w:bottom w:val="single" w:sz="6" w:space="0" w:color="000000"/>
            </w:tcBorders>
            <w:shd w:val="clear" w:color="auto" w:fill="auto"/>
          </w:tcPr>
          <w:p w14:paraId="07A5ECA8" w14:textId="77777777" w:rsidR="00514A54" w:rsidRPr="00E70A8B" w:rsidRDefault="00A80BB8">
            <w:pPr>
              <w:pStyle w:val="TableContents"/>
              <w:rPr>
                <w:rFonts w:ascii="Arial" w:hAnsi="Arial" w:cs="Arial"/>
                <w:sz w:val="18"/>
                <w:szCs w:val="18"/>
                <w:lang w:val="en-GB"/>
              </w:rPr>
            </w:pPr>
            <w:proofErr w:type="spellStart"/>
            <w:r w:rsidRPr="00E70A8B">
              <w:rPr>
                <w:rFonts w:ascii="Arial" w:hAnsi="Arial" w:cs="Arial"/>
                <w:color w:val="000000"/>
                <w:sz w:val="18"/>
                <w:szCs w:val="18"/>
                <w:lang w:val="en-GB"/>
              </w:rPr>
              <w:t>PhastCons</w:t>
            </w:r>
            <w:proofErr w:type="spellEnd"/>
            <w:r w:rsidRPr="00E70A8B">
              <w:rPr>
                <w:rFonts w:ascii="Arial" w:hAnsi="Arial" w:cs="Arial"/>
                <w:color w:val="000000"/>
                <w:sz w:val="18"/>
                <w:szCs w:val="18"/>
                <w:lang w:val="en-GB"/>
              </w:rPr>
              <w:t xml:space="preserve"> 100-way</w:t>
            </w:r>
          </w:p>
        </w:tc>
        <w:tc>
          <w:tcPr>
            <w:tcW w:w="3250" w:type="dxa"/>
            <w:tcBorders>
              <w:top w:val="single" w:sz="6" w:space="0" w:color="000000"/>
              <w:bottom w:val="single" w:sz="6" w:space="0" w:color="000000"/>
            </w:tcBorders>
            <w:shd w:val="clear" w:color="auto" w:fill="auto"/>
          </w:tcPr>
          <w:p w14:paraId="03749611" w14:textId="77777777" w:rsidR="00514A54" w:rsidRPr="00E70A8B" w:rsidRDefault="00A80BB8">
            <w:pPr>
              <w:pStyle w:val="TableContents"/>
              <w:rPr>
                <w:rFonts w:ascii="Arial" w:hAnsi="Arial" w:cs="Arial"/>
                <w:sz w:val="18"/>
                <w:szCs w:val="18"/>
                <w:lang w:val="en-GB"/>
              </w:rPr>
            </w:pPr>
            <w:proofErr w:type="spellStart"/>
            <w:r w:rsidRPr="00E70A8B">
              <w:rPr>
                <w:rFonts w:ascii="Arial" w:hAnsi="Arial" w:cs="Arial"/>
                <w:color w:val="000000"/>
                <w:sz w:val="18"/>
                <w:szCs w:val="18"/>
                <w:lang w:val="en-GB"/>
              </w:rPr>
              <w:t>PhastCons</w:t>
            </w:r>
            <w:proofErr w:type="spellEnd"/>
            <w:r w:rsidRPr="00E70A8B">
              <w:rPr>
                <w:rFonts w:ascii="Arial" w:hAnsi="Arial" w:cs="Arial"/>
                <w:color w:val="000000"/>
                <w:sz w:val="18"/>
                <w:szCs w:val="18"/>
                <w:lang w:val="en-GB"/>
              </w:rPr>
              <w:t xml:space="preserve"> score computed from 100 vertebrate genomes’ alignments</w:t>
            </w:r>
          </w:p>
        </w:tc>
        <w:tc>
          <w:tcPr>
            <w:tcW w:w="1983" w:type="dxa"/>
            <w:vMerge/>
            <w:tcBorders>
              <w:top w:val="single" w:sz="6" w:space="0" w:color="000000"/>
              <w:bottom w:val="single" w:sz="6" w:space="0" w:color="000000"/>
            </w:tcBorders>
            <w:shd w:val="clear" w:color="auto" w:fill="auto"/>
            <w:vAlign w:val="center"/>
          </w:tcPr>
          <w:p w14:paraId="2AADC406" w14:textId="77777777" w:rsidR="00514A54" w:rsidRPr="00E70A8B" w:rsidRDefault="00514A54">
            <w:pPr>
              <w:pStyle w:val="TableContents"/>
              <w:snapToGrid w:val="0"/>
              <w:jc w:val="center"/>
              <w:rPr>
                <w:rFonts w:ascii="Arial" w:hAnsi="Arial" w:cs="Arial"/>
                <w:color w:val="000000"/>
                <w:sz w:val="18"/>
                <w:szCs w:val="18"/>
                <w:lang w:val="en-GB"/>
              </w:rPr>
            </w:pPr>
          </w:p>
        </w:tc>
        <w:tc>
          <w:tcPr>
            <w:tcW w:w="1315" w:type="dxa"/>
            <w:tcBorders>
              <w:top w:val="single" w:sz="6" w:space="0" w:color="000000"/>
              <w:bottom w:val="single" w:sz="6" w:space="0" w:color="000000"/>
            </w:tcBorders>
            <w:shd w:val="clear" w:color="auto" w:fill="auto"/>
          </w:tcPr>
          <w:p w14:paraId="6745D658"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Continuous</w:t>
            </w:r>
          </w:p>
        </w:tc>
        <w:tc>
          <w:tcPr>
            <w:tcW w:w="1042" w:type="dxa"/>
            <w:tcBorders>
              <w:top w:val="single" w:sz="6" w:space="0" w:color="000000"/>
              <w:bottom w:val="single" w:sz="6" w:space="0" w:color="000000"/>
            </w:tcBorders>
            <w:shd w:val="clear" w:color="auto" w:fill="auto"/>
          </w:tcPr>
          <w:p w14:paraId="7D3CE8B3" w14:textId="41436D06" w:rsidR="00514A54" w:rsidRPr="005946E8" w:rsidRDefault="00A80BB8">
            <w:pPr>
              <w:pStyle w:val="TableContents"/>
              <w:rPr>
                <w:rFonts w:ascii="Arial" w:hAnsi="Arial" w:cs="Arial"/>
                <w:lang w:val="en-US"/>
              </w:rPr>
            </w:pPr>
            <w:r w:rsidRPr="00E70A8B">
              <w:rPr>
                <w:rFonts w:ascii="Arial" w:hAnsi="Arial" w:cs="Arial"/>
              </w:rPr>
              <w:fldChar w:fldCharType="begin"/>
            </w:r>
            <w:r w:rsidR="004A7EB4">
              <w:rPr>
                <w:rFonts w:ascii="Arial" w:hAnsi="Arial" w:cs="Arial"/>
                <w:lang w:val="en-US"/>
              </w:rPr>
              <w:instrText xml:space="preserve"> ADDIN ZOTERO_ITEM CSL_CITATION {"citationID":"XI86oCPJ","properties":{"formattedCitation":"[1,3]","plainCitation":"[1,3]","noteIndex":0},"citationItems":[{"id":5032,"uris":["http://zotero.org/users/6479495/items/DFSFSQVN"],"uri":["http://zotero.org/users/6479495/items/DFSFSQVN"],"itemData":{"id":5032,"type":"article-journal","abstract":"Abstract. The University of California Santa Cruz Genome Browser website (https://genome.ucsc.edu) enters its 20th year of providing high-quality genomics data","container-title":"Nucleic Acids Research","DOI":"10.1093/nar/gkz1012","ISSN":"0305-1048","issue":"D1","journalAbbreviation":"Nucleic Acids Res","language":"en","note":"publisher: Oxford Academic","page":"D756-D761","source":"academic-oup-com.insb.bib.cnrs.fr","title":"UCSC Genome Browser enters 20th year","volume":"48","author":[{"family":"Lee","given":"Christopher M."},{"family":"Barber","given":"Galt P."},{"family":"Casper","given":"Jonathan"},{"family":"Clawson","given":"Hiram"},{"family":"Diekhans","given":"Mark"},{"family":"Gonzalez","given":"Jairo Navarro"},{"family":"Hinrichs","given":"Angie S."},{"family":"Lee","given":"Brian T."},{"family":"Nassar","given":"Luis R."},{"family":"Powell","given":"Conner C."},{"family":"Raney","given":"Brian J."},{"family":"Rosenbloom","given":"Kate R."},{"family":"Schmelter","given":"Daniel"},{"family":"Speir","given":"Matthew L."},{"family":"Zweig","given":"Ann S."},{"family":"Haussler","given":"David"},{"family":"Haeussler","given":"Maximilian"},{"family":"Kuhn","given":"Robert M."},{"family":"Kent","given":"W. James"}],"issued":{"date-parts":[["2020",1,8]]}}},{"id":5039,"uris":["http://zotero.org/groups/2472009/items/EJM59WNC"],"uri":["http://zotero.org/groups/2472009/items/EJM59WNC"],"itemData":{"id":5039,"type":"article-journal","abstract":"We have conducted a comprehensive search for conserved elements in vertebrate genomes, using genome-wide multiple alignments of five vertebrate species (human, mouse, rat, chicken, and Fugu rubripes). Parallel searches have been performed with multiple alignments of four insect species (three species of Drosophila and Anopheles gambiae), two species of Caenorhabditis, and seven species of Saccharomyces. Conserved elements were identified with a computer program called phastCons, which is based on a two-state phylogenetic hidden Markov model (phylo-HMM). PhastCons works by fitting a phylo-HMM to the data by maximum likelihood, subject to constraints designed to calibrate the model across species groups, and then predicting conserved elements based on this model. The predicted elements cover roughly 3%–8% of the human genome (depending on the details of the calibration procedure) and substantially higher fractions of the more compact Drosophila melanogaster (37%–53%), Caenorhabditis elegans (18%–37%), and Saccharaomyces cerevisiae (47%–68%) genomes. From yeasts to vertebrates, in order of increasing genome size and general biological complexity, increasing fractions of conserved bases are found to lie outside of the exons of known protein-coding genes. In all groups, the most highly conserved elements (HCEs), by log-odds score, are hundreds or thousands of bases long. These elements share certain properties with ultraconserved elements, but they tend to be longer and less perfectly conserved, and they overlap genes of somewhat different functional categories. In vertebrates, HCEs are associated with the 3′ UTRs of regulatory genes, stable gene deserts, and megabase-sized regions rich in moderately conserved noncoding sequences. Noncoding HCEs also show strong statistical evidence of an enrichment for RNA secondary structure.","container-title":"Genome Research","DOI":"10.1101/gr.3715005","ISSN":"1088-9051","issue":"8","journalAbbreviation":"Genome Res","note":"PMID: 16024819\nPMCID: PMC1182216","page":"1034-1050","source":"PubMed Central","title":"Evolutionarily conserved elements in vertebrate, insect, worm, and yeast genomes","volume":"15","author":[{"family":"Siepel","given":"Adam"},{"family":"Bejerano","given":"Gill"},{"family":"Pedersen","given":"Jakob S."},{"family":"Hinrichs","given":"Angie S."},{"family":"Hou","given":"Minmei"},{"family":"Rosenbloom","given":"Kate"},{"family":"Clawson","given":"Hiram"},{"family":"Spieth","given":"John"},{"family":"Hillier","given":"LaDeana W."},{"family":"Richards","given":"Stephen"},{"family":"Weinstock","given":"George M."},{"family":"Wilson","given":"Richard K."},{"family":"Gibbs","given":"Richard A."},{"family":"Kent","given":"W. James"},{"family":"Miller","given":"Webb"},{"family":"Haussler","given":"David"}],"issued":{"date-parts":[["2005",8]]}}}],"schema":"https://github.com/citation-style-language/schema/raw/master/csl-citation.json"} </w:instrText>
            </w:r>
            <w:r w:rsidRPr="00E70A8B">
              <w:rPr>
                <w:rFonts w:ascii="Arial" w:hAnsi="Arial" w:cs="Arial"/>
              </w:rPr>
              <w:fldChar w:fldCharType="separate"/>
            </w:r>
            <w:bookmarkStart w:id="7" w:name="__Fieldmark__75_2281253091"/>
            <w:bookmarkStart w:id="8" w:name="__Fieldmark__85_3451003990"/>
            <w:r w:rsidR="004A7EB4">
              <w:rPr>
                <w:rFonts w:ascii="Arial" w:hAnsi="Arial" w:cs="Arial"/>
                <w:sz w:val="18"/>
                <w:szCs w:val="18"/>
                <w:lang w:val="en-US"/>
              </w:rPr>
              <w:t>[1,3]</w:t>
            </w:r>
            <w:r w:rsidRPr="00E70A8B">
              <w:rPr>
                <w:rFonts w:ascii="Arial" w:hAnsi="Arial" w:cs="Arial"/>
              </w:rPr>
              <w:fldChar w:fldCharType="end"/>
            </w:r>
            <w:bookmarkEnd w:id="7"/>
            <w:bookmarkEnd w:id="8"/>
          </w:p>
        </w:tc>
      </w:tr>
      <w:tr w:rsidR="00514A54" w:rsidRPr="007523EE" w14:paraId="705D3E9B" w14:textId="77777777">
        <w:tc>
          <w:tcPr>
            <w:tcW w:w="2382" w:type="dxa"/>
            <w:tcBorders>
              <w:top w:val="single" w:sz="6" w:space="0" w:color="000000"/>
              <w:bottom w:val="single" w:sz="6" w:space="0" w:color="000000"/>
            </w:tcBorders>
            <w:shd w:val="clear" w:color="auto" w:fill="auto"/>
          </w:tcPr>
          <w:p w14:paraId="4341D77A" w14:textId="77777777" w:rsidR="00514A54" w:rsidRPr="005946E8" w:rsidRDefault="00A80BB8">
            <w:pPr>
              <w:pStyle w:val="TableContents"/>
              <w:rPr>
                <w:rFonts w:ascii="Arial" w:hAnsi="Arial" w:cs="Arial"/>
                <w:sz w:val="18"/>
                <w:szCs w:val="18"/>
                <w:lang w:val="en-US"/>
              </w:rPr>
            </w:pPr>
            <w:proofErr w:type="spellStart"/>
            <w:r w:rsidRPr="005946E8">
              <w:rPr>
                <w:rFonts w:ascii="Arial" w:hAnsi="Arial" w:cs="Arial"/>
                <w:color w:val="000000"/>
                <w:sz w:val="18"/>
                <w:szCs w:val="18"/>
                <w:lang w:val="en-US"/>
              </w:rPr>
              <w:t>PhastCons</w:t>
            </w:r>
            <w:proofErr w:type="spellEnd"/>
            <w:r w:rsidRPr="005946E8">
              <w:rPr>
                <w:rFonts w:ascii="Arial" w:hAnsi="Arial" w:cs="Arial"/>
                <w:color w:val="000000"/>
                <w:sz w:val="18"/>
                <w:szCs w:val="18"/>
                <w:lang w:val="en-US"/>
              </w:rPr>
              <w:t xml:space="preserve"> 20-way</w:t>
            </w:r>
          </w:p>
        </w:tc>
        <w:tc>
          <w:tcPr>
            <w:tcW w:w="3250" w:type="dxa"/>
            <w:tcBorders>
              <w:top w:val="single" w:sz="6" w:space="0" w:color="000000"/>
              <w:bottom w:val="single" w:sz="6" w:space="0" w:color="000000"/>
            </w:tcBorders>
            <w:shd w:val="clear" w:color="auto" w:fill="auto"/>
          </w:tcPr>
          <w:p w14:paraId="4FF44387" w14:textId="77777777" w:rsidR="00514A54" w:rsidRPr="005946E8" w:rsidRDefault="00A80BB8">
            <w:pPr>
              <w:pStyle w:val="TableContents"/>
              <w:rPr>
                <w:rFonts w:ascii="Arial" w:hAnsi="Arial" w:cs="Arial"/>
                <w:sz w:val="18"/>
                <w:szCs w:val="18"/>
                <w:lang w:val="en-US"/>
              </w:rPr>
            </w:pPr>
            <w:proofErr w:type="spellStart"/>
            <w:r w:rsidRPr="005946E8">
              <w:rPr>
                <w:rFonts w:ascii="Arial" w:hAnsi="Arial" w:cs="Arial"/>
                <w:color w:val="000000"/>
                <w:sz w:val="18"/>
                <w:szCs w:val="18"/>
                <w:lang w:val="en-US"/>
              </w:rPr>
              <w:t>PhastCons</w:t>
            </w:r>
            <w:proofErr w:type="spellEnd"/>
            <w:r w:rsidRPr="005946E8">
              <w:rPr>
                <w:rFonts w:ascii="Arial" w:hAnsi="Arial" w:cs="Arial"/>
                <w:color w:val="000000"/>
                <w:sz w:val="18"/>
                <w:szCs w:val="18"/>
                <w:lang w:val="en-US"/>
              </w:rPr>
              <w:t xml:space="preserve"> score computed from 20 primate genomes’ alignments</w:t>
            </w:r>
          </w:p>
        </w:tc>
        <w:tc>
          <w:tcPr>
            <w:tcW w:w="1983" w:type="dxa"/>
            <w:vMerge/>
            <w:tcBorders>
              <w:top w:val="single" w:sz="6" w:space="0" w:color="000000"/>
              <w:bottom w:val="single" w:sz="6" w:space="0" w:color="000000"/>
            </w:tcBorders>
            <w:shd w:val="clear" w:color="auto" w:fill="auto"/>
            <w:vAlign w:val="center"/>
          </w:tcPr>
          <w:p w14:paraId="68CF7492" w14:textId="77777777" w:rsidR="00514A54" w:rsidRPr="005946E8" w:rsidRDefault="00514A54">
            <w:pPr>
              <w:pStyle w:val="TableContents"/>
              <w:snapToGrid w:val="0"/>
              <w:jc w:val="center"/>
              <w:rPr>
                <w:rFonts w:ascii="Arial" w:hAnsi="Arial" w:cs="Arial"/>
                <w:color w:val="000000"/>
                <w:sz w:val="18"/>
                <w:szCs w:val="18"/>
                <w:lang w:val="en-US"/>
              </w:rPr>
            </w:pPr>
          </w:p>
        </w:tc>
        <w:tc>
          <w:tcPr>
            <w:tcW w:w="1315" w:type="dxa"/>
            <w:tcBorders>
              <w:top w:val="single" w:sz="6" w:space="0" w:color="000000"/>
              <w:bottom w:val="single" w:sz="6" w:space="0" w:color="000000"/>
            </w:tcBorders>
            <w:shd w:val="clear" w:color="auto" w:fill="auto"/>
          </w:tcPr>
          <w:p w14:paraId="79B7FFC5" w14:textId="77777777" w:rsidR="00514A54" w:rsidRPr="005946E8" w:rsidRDefault="00A80BB8">
            <w:pPr>
              <w:pStyle w:val="TableContents"/>
              <w:rPr>
                <w:rFonts w:ascii="Arial" w:hAnsi="Arial" w:cs="Arial"/>
                <w:sz w:val="18"/>
                <w:szCs w:val="18"/>
                <w:lang w:val="en-US"/>
              </w:rPr>
            </w:pPr>
            <w:r w:rsidRPr="005946E8">
              <w:rPr>
                <w:rFonts w:ascii="Arial" w:hAnsi="Arial" w:cs="Arial"/>
                <w:color w:val="000000"/>
                <w:sz w:val="18"/>
                <w:szCs w:val="18"/>
                <w:lang w:val="en-US"/>
              </w:rPr>
              <w:t>Continuous</w:t>
            </w:r>
          </w:p>
        </w:tc>
        <w:tc>
          <w:tcPr>
            <w:tcW w:w="1042" w:type="dxa"/>
            <w:tcBorders>
              <w:top w:val="single" w:sz="6" w:space="0" w:color="000000"/>
              <w:bottom w:val="single" w:sz="6" w:space="0" w:color="000000"/>
            </w:tcBorders>
            <w:shd w:val="clear" w:color="auto" w:fill="auto"/>
          </w:tcPr>
          <w:p w14:paraId="22DC16A3" w14:textId="747D125E" w:rsidR="00514A54" w:rsidRPr="00E70A8B" w:rsidRDefault="00A80BB8">
            <w:pPr>
              <w:pStyle w:val="TableContents"/>
              <w:rPr>
                <w:rFonts w:ascii="Arial" w:hAnsi="Arial" w:cs="Arial"/>
                <w:lang w:val="en-US"/>
              </w:rPr>
            </w:pPr>
            <w:r w:rsidRPr="00E70A8B">
              <w:rPr>
                <w:rFonts w:ascii="Arial" w:hAnsi="Arial" w:cs="Arial"/>
              </w:rPr>
              <w:fldChar w:fldCharType="begin"/>
            </w:r>
            <w:r w:rsidR="004A7EB4">
              <w:rPr>
                <w:rFonts w:ascii="Arial" w:hAnsi="Arial" w:cs="Arial"/>
                <w:lang w:val="en-US"/>
              </w:rPr>
              <w:instrText xml:space="preserve"> ADDIN ZOTERO_ITEM CSL_CITATION {"citationID":"RBVUqU5c","properties":{"formattedCitation":"[1,3]","plainCitation":"[1,3]","noteIndex":0},"citationItems":[{"id":5032,"uris":["http://zotero.org/users/6479495/items/DFSFSQVN"],"uri":["http://zotero.org/users/6479495/items/DFSFSQVN"],"itemData":{"id":5032,"type":"article-journal","abstract":"Abstract. The University of California Santa Cruz Genome Browser website (https://genome.ucsc.edu) enters its 20th year of providing high-quality genomics data","container-title":"Nucleic Acids Research","DOI":"10.1093/nar/gkz1012","ISSN":"0305-1048","issue":"D1","journalAbbreviation":"Nucleic Acids Res","language":"en","note":"publisher: Oxford Academic","page":"D756-D761","source":"academic-oup-com.insb.bib.cnrs.fr","title":"UCSC Genome Browser enters 20th year","volume":"48","author":[{"family":"Lee","given":"Christopher M."},{"family":"Barber","given":"Galt P."},{"family":"Casper","given":"Jonathan"},{"family":"Clawson","given":"Hiram"},{"family":"Diekhans","given":"Mark"},{"family":"Gonzalez","given":"Jairo Navarro"},{"family":"Hinrichs","given":"Angie S."},{"family":"Lee","given":"Brian T."},{"family":"Nassar","given":"Luis R."},{"family":"Powell","given":"Conner C."},{"family":"Raney","given":"Brian J."},{"family":"Rosenbloom","given":"Kate R."},{"family":"Schmelter","given":"Daniel"},{"family":"Speir","given":"Matthew L."},{"family":"Zweig","given":"Ann S."},{"family":"Haussler","given":"David"},{"family":"Haeussler","given":"Maximilian"},{"family":"Kuhn","given":"Robert M."},{"family":"Kent","given":"W. James"}],"issued":{"date-parts":[["2020",1,8]]}}},{"id":5039,"uris":["http://zotero.org/groups/2472009/items/EJM59WNC"],"uri":["http://zotero.org/groups/2472009/items/EJM59WNC"],"itemData":{"id":5039,"type":"article-journal","abstract":"We have conducted a comprehensive search for conserved elements in vertebrate genomes, using genome-wide multiple alignments of five vertebrate species (human, mouse, rat, chicken, and Fugu rubripes). Parallel searches have been performed with multiple alignments of four insect species (three species of Drosophila and Anopheles gambiae), two species of Caenorhabditis, and seven species of Saccharomyces. Conserved elements were identified with a computer program called phastCons, which is based on a two-state phylogenetic hidden Markov model (phylo-HMM). PhastCons works by fitting a phylo-HMM to the data by maximum likelihood, subject to constraints designed to calibrate the model across species groups, and then predicting conserved elements based on this model. The predicted elements cover roughly 3%–8% of the human genome (depending on the details of the calibration procedure) and substantially higher fractions of the more compact Drosophila melanogaster (37%–53%), Caenorhabditis elegans (18%–37%), and Saccharaomyces cerevisiae (47%–68%) genomes. From yeasts to vertebrates, in order of increasing genome size and general biological complexity, increasing fractions of conserved bases are found to lie outside of the exons of known protein-coding genes. In all groups, the most highly conserved elements (HCEs), by log-odds score, are hundreds or thousands of bases long. These elements share certain properties with ultraconserved elements, but they tend to be longer and less perfectly conserved, and they overlap genes of somewhat different functional categories. In vertebrates, HCEs are associated with the 3′ UTRs of regulatory genes, stable gene deserts, and megabase-sized regions rich in moderately conserved noncoding sequences. Noncoding HCEs also show strong statistical evidence of an enrichment for RNA secondary structure.","container-title":"Genome Research","DOI":"10.1101/gr.3715005","ISSN":"1088-9051","issue":"8","journalAbbreviation":"Genome Res","note":"PMID: 16024819\nPMCID: PMC1182216","page":"1034-1050","source":"PubMed Central","title":"Evolutionarily conserved elements in vertebrate, insect, worm, and yeast genomes","volume":"15","author":[{"family":"Siepel","given":"Adam"},{"family":"Bejerano","given":"Gill"},{"family":"Pedersen","given":"Jakob S."},{"family":"Hinrichs","given":"Angie S."},{"family":"Hou","given":"Minmei"},{"family":"Rosenbloom","given":"Kate"},{"family":"Clawson","given":"Hiram"},{"family":"Spieth","given":"John"},{"family":"Hillier","given":"LaDeana W."},{"family":"Richards","given":"Stephen"},{"family":"Weinstock","given":"George M."},{"family":"Wilson","given":"Richard K."},{"family":"Gibbs","given":"Richard A."},{"family":"Kent","given":"W. James"},{"family":"Miller","given":"Webb"},{"family":"Haussler","given":"David"}],"issued":{"date-parts":[["2005",8]]}}}],"schema":"https://github.com/citation-style-language/schema/raw/master/csl-citation.json"} </w:instrText>
            </w:r>
            <w:r w:rsidRPr="00E70A8B">
              <w:rPr>
                <w:rFonts w:ascii="Arial" w:hAnsi="Arial" w:cs="Arial"/>
              </w:rPr>
              <w:fldChar w:fldCharType="separate"/>
            </w:r>
            <w:bookmarkStart w:id="9" w:name="__Fieldmark__85_2281253091"/>
            <w:bookmarkStart w:id="10" w:name="__Fieldmark__95_3451003990"/>
            <w:r w:rsidR="004A7EB4">
              <w:rPr>
                <w:rFonts w:ascii="Arial" w:hAnsi="Arial" w:cs="Arial"/>
                <w:sz w:val="18"/>
                <w:szCs w:val="18"/>
                <w:lang w:val="en-GB"/>
              </w:rPr>
              <w:t>[1,3]</w:t>
            </w:r>
            <w:r w:rsidRPr="00E70A8B">
              <w:rPr>
                <w:rFonts w:ascii="Arial" w:hAnsi="Arial" w:cs="Arial"/>
              </w:rPr>
              <w:fldChar w:fldCharType="end"/>
            </w:r>
            <w:bookmarkEnd w:id="9"/>
            <w:bookmarkEnd w:id="10"/>
          </w:p>
        </w:tc>
      </w:tr>
      <w:tr w:rsidR="00514A54" w:rsidRPr="00E70A8B" w14:paraId="1C579955" w14:textId="77777777">
        <w:tc>
          <w:tcPr>
            <w:tcW w:w="2382" w:type="dxa"/>
            <w:tcBorders>
              <w:top w:val="single" w:sz="6" w:space="0" w:color="000000"/>
              <w:bottom w:val="single" w:sz="6" w:space="0" w:color="000000"/>
            </w:tcBorders>
            <w:shd w:val="clear" w:color="auto" w:fill="auto"/>
          </w:tcPr>
          <w:p w14:paraId="4437C6E1"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CDTS</w:t>
            </w:r>
          </w:p>
        </w:tc>
        <w:tc>
          <w:tcPr>
            <w:tcW w:w="3250" w:type="dxa"/>
            <w:tcBorders>
              <w:top w:val="single" w:sz="6" w:space="0" w:color="000000"/>
              <w:bottom w:val="single" w:sz="6" w:space="0" w:color="000000"/>
            </w:tcBorders>
            <w:shd w:val="clear" w:color="auto" w:fill="auto"/>
          </w:tcPr>
          <w:p w14:paraId="2AD58845" w14:textId="77777777" w:rsidR="00514A54" w:rsidRPr="00E70A8B" w:rsidRDefault="00A80BB8">
            <w:pPr>
              <w:pStyle w:val="TableContents"/>
              <w:snapToGrid w:val="0"/>
              <w:rPr>
                <w:rFonts w:ascii="Arial" w:hAnsi="Arial" w:cs="Arial"/>
                <w:color w:val="000000"/>
                <w:sz w:val="18"/>
                <w:szCs w:val="18"/>
                <w:lang w:val="en-GB"/>
              </w:rPr>
            </w:pPr>
            <w:r w:rsidRPr="00E70A8B">
              <w:rPr>
                <w:rFonts w:ascii="Arial" w:hAnsi="Arial" w:cs="Arial"/>
                <w:color w:val="000000"/>
                <w:sz w:val="18"/>
                <w:szCs w:val="18"/>
                <w:lang w:val="en-GB"/>
              </w:rPr>
              <w:t>Context-dependent tolerance score representing the tolerance to genetic variation, evaluated at the population level.</w:t>
            </w:r>
          </w:p>
        </w:tc>
        <w:tc>
          <w:tcPr>
            <w:tcW w:w="1983" w:type="dxa"/>
            <w:vMerge/>
            <w:tcBorders>
              <w:top w:val="single" w:sz="6" w:space="0" w:color="000000"/>
              <w:bottom w:val="single" w:sz="6" w:space="0" w:color="000000"/>
            </w:tcBorders>
            <w:shd w:val="clear" w:color="auto" w:fill="auto"/>
            <w:vAlign w:val="center"/>
          </w:tcPr>
          <w:p w14:paraId="5CD9936F" w14:textId="77777777" w:rsidR="00514A54" w:rsidRPr="00E70A8B" w:rsidRDefault="00514A54">
            <w:pPr>
              <w:pStyle w:val="TableContents"/>
              <w:snapToGrid w:val="0"/>
              <w:jc w:val="center"/>
              <w:rPr>
                <w:rFonts w:ascii="Arial" w:hAnsi="Arial" w:cs="Arial"/>
                <w:color w:val="000000"/>
                <w:sz w:val="18"/>
                <w:szCs w:val="18"/>
                <w:lang w:val="en-GB"/>
              </w:rPr>
            </w:pPr>
          </w:p>
        </w:tc>
        <w:tc>
          <w:tcPr>
            <w:tcW w:w="1315" w:type="dxa"/>
            <w:tcBorders>
              <w:top w:val="single" w:sz="6" w:space="0" w:color="000000"/>
              <w:bottom w:val="single" w:sz="6" w:space="0" w:color="000000"/>
            </w:tcBorders>
            <w:shd w:val="clear" w:color="auto" w:fill="auto"/>
          </w:tcPr>
          <w:p w14:paraId="21F9F765"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Continuous</w:t>
            </w:r>
          </w:p>
        </w:tc>
        <w:tc>
          <w:tcPr>
            <w:tcW w:w="1042" w:type="dxa"/>
            <w:tcBorders>
              <w:top w:val="single" w:sz="6" w:space="0" w:color="000000"/>
              <w:bottom w:val="single" w:sz="6" w:space="0" w:color="000000"/>
            </w:tcBorders>
            <w:shd w:val="clear" w:color="auto" w:fill="auto"/>
          </w:tcPr>
          <w:p w14:paraId="0D94B104" w14:textId="2EDE298B" w:rsidR="00514A54" w:rsidRPr="00E70A8B" w:rsidRDefault="00A80BB8">
            <w:pPr>
              <w:pStyle w:val="TableContents"/>
              <w:rPr>
                <w:rFonts w:ascii="Arial" w:hAnsi="Arial" w:cs="Arial"/>
              </w:rPr>
            </w:pPr>
            <w:r w:rsidRPr="00E70A8B">
              <w:rPr>
                <w:rFonts w:ascii="Arial" w:hAnsi="Arial" w:cs="Arial"/>
              </w:rPr>
              <w:fldChar w:fldCharType="begin"/>
            </w:r>
            <w:r w:rsidR="004A7EB4">
              <w:rPr>
                <w:rFonts w:ascii="Arial" w:hAnsi="Arial" w:cs="Arial"/>
                <w:lang w:val="en-US"/>
              </w:rPr>
              <w:instrText xml:space="preserve"> ADDIN ZOTERO_ITEM CSL_CITATION {"citationID":"WEQJFvCI","properties":{"formattedCitation":"[4]","plainCitation":"[4]","noteIndex":0},"citationItems":[{"id":3325,"uris":["http://zotero.org/groups/2472009/items/KFTZP25Q"],"uri":["http://zotero.org/groups/2472009/items/KFTZP25Q"],"itemData":{"id":3325,"type":"article-journal","abstract":"Understanding the significance of genetic variants in the noncoding genome is emerging as the next challenge in human genomics. We used the power of 11,257 whole-genome sequences and 16,384 heptamers (7-nt motifs) to build a map of sequence constraint for the human species. This build differed substantially from traditional maps of interspecies conservation and identified regulatory elements among the most constrained regions of the genome. Using new Hi-C experimental data, we describe a strong pattern of coordination over 2 Mb where the most constrained regulatory elements associate with the most essential genes. Constrained regions of the noncoding genome are up to 52-fold enriched for known pathogenic variants as compared to unconstrained regions (21-fold when compared to the genome average). This map of sequence constraint across thousands of individuals is an asset to help interpret noncoding elements in the human genome, prioritize variants and reconsider gene units at a larger scale.","container-title":"Nat Genet","DOI":"10.1038/s41588-018-0062-7","ISSN":"1546-1718 (Electronic) 1061-4036 (Linking)","journalAbbreviation":"Nature genetics","title":"The human noncoding genome defined by genetic diversity","author":[{"family":"Iulio","given":"J.","non-dropping-particle":"di"},{"family":"Bartha","given":"I."},{"family":"Wong","given":"E. H. M."},{"family":"Yu","given":"H. C."},{"family":"Lavrenko","given":"V."},{"family":"Yang","given":"D."},{"family":"Jung","given":"I."},{"family":"Hicks","given":"M. A."},{"family":"Shah","given":"N."},{"family":"Kirkness","given":"E. F."},{"family":"Fabani","given":"M. M."},{"family":"Biggs","given":"W. H."},{"family":"Ren","given":"B."},{"family":"Venter","given":"J. C."},{"family":"Telenti","given":"A."}],"issued":{"date-parts":[["2018",2,26]]}}}],"schema":"https://github.com/citation-style-language/schema/raw/master/csl-citation.json"} </w:instrText>
            </w:r>
            <w:r w:rsidRPr="00E70A8B">
              <w:rPr>
                <w:rFonts w:ascii="Arial" w:hAnsi="Arial" w:cs="Arial"/>
              </w:rPr>
              <w:fldChar w:fldCharType="separate"/>
            </w:r>
            <w:bookmarkStart w:id="11" w:name="__Fieldmark__95_2281253091"/>
            <w:bookmarkStart w:id="12" w:name="__Fieldmark__103_3451003990"/>
            <w:r w:rsidR="004A7EB4">
              <w:rPr>
                <w:rFonts w:ascii="Arial" w:hAnsi="Arial" w:cs="Arial"/>
                <w:sz w:val="18"/>
                <w:szCs w:val="18"/>
                <w:lang w:val="en-GB"/>
              </w:rPr>
              <w:t>[4]</w:t>
            </w:r>
            <w:r w:rsidRPr="00E70A8B">
              <w:rPr>
                <w:rFonts w:ascii="Arial" w:hAnsi="Arial" w:cs="Arial"/>
              </w:rPr>
              <w:fldChar w:fldCharType="end"/>
            </w:r>
            <w:bookmarkEnd w:id="11"/>
            <w:bookmarkEnd w:id="12"/>
          </w:p>
        </w:tc>
      </w:tr>
      <w:tr w:rsidR="00514A54" w:rsidRPr="00E70A8B" w14:paraId="65726F40" w14:textId="77777777">
        <w:tc>
          <w:tcPr>
            <w:tcW w:w="2382" w:type="dxa"/>
            <w:tcBorders>
              <w:top w:val="single" w:sz="6" w:space="0" w:color="000000"/>
              <w:bottom w:val="single" w:sz="6" w:space="0" w:color="000000"/>
            </w:tcBorders>
            <w:shd w:val="clear" w:color="auto" w:fill="auto"/>
          </w:tcPr>
          <w:p w14:paraId="67A2122A"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GERP score</w:t>
            </w:r>
          </w:p>
        </w:tc>
        <w:tc>
          <w:tcPr>
            <w:tcW w:w="3250" w:type="dxa"/>
            <w:tcBorders>
              <w:top w:val="single" w:sz="6" w:space="0" w:color="000000"/>
              <w:bottom w:val="single" w:sz="6" w:space="0" w:color="000000"/>
            </w:tcBorders>
            <w:shd w:val="clear" w:color="auto" w:fill="auto"/>
          </w:tcPr>
          <w:p w14:paraId="4F9FCF9D"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 xml:space="preserve">GERP score </w:t>
            </w:r>
          </w:p>
        </w:tc>
        <w:tc>
          <w:tcPr>
            <w:tcW w:w="1983" w:type="dxa"/>
            <w:vMerge/>
            <w:tcBorders>
              <w:top w:val="single" w:sz="6" w:space="0" w:color="000000"/>
              <w:bottom w:val="single" w:sz="6" w:space="0" w:color="000000"/>
            </w:tcBorders>
            <w:shd w:val="clear" w:color="auto" w:fill="auto"/>
            <w:vAlign w:val="center"/>
          </w:tcPr>
          <w:p w14:paraId="40ECABA0" w14:textId="77777777" w:rsidR="00514A54" w:rsidRPr="00E70A8B" w:rsidRDefault="00514A54">
            <w:pPr>
              <w:pStyle w:val="TableContents"/>
              <w:snapToGrid w:val="0"/>
              <w:jc w:val="center"/>
              <w:rPr>
                <w:rFonts w:ascii="Arial" w:hAnsi="Arial" w:cs="Arial"/>
                <w:color w:val="000000"/>
                <w:sz w:val="18"/>
                <w:szCs w:val="18"/>
                <w:lang w:val="en-GB"/>
              </w:rPr>
            </w:pPr>
          </w:p>
        </w:tc>
        <w:tc>
          <w:tcPr>
            <w:tcW w:w="1315" w:type="dxa"/>
            <w:tcBorders>
              <w:top w:val="single" w:sz="6" w:space="0" w:color="000000"/>
              <w:bottom w:val="single" w:sz="6" w:space="0" w:color="000000"/>
            </w:tcBorders>
            <w:shd w:val="clear" w:color="auto" w:fill="auto"/>
          </w:tcPr>
          <w:p w14:paraId="5281010D"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Continuous</w:t>
            </w:r>
          </w:p>
        </w:tc>
        <w:tc>
          <w:tcPr>
            <w:tcW w:w="1042" w:type="dxa"/>
            <w:tcBorders>
              <w:top w:val="single" w:sz="6" w:space="0" w:color="000000"/>
              <w:bottom w:val="single" w:sz="6" w:space="0" w:color="000000"/>
            </w:tcBorders>
            <w:shd w:val="clear" w:color="auto" w:fill="auto"/>
          </w:tcPr>
          <w:p w14:paraId="3A122717" w14:textId="677CED43" w:rsidR="00514A54" w:rsidRPr="00E70A8B" w:rsidRDefault="00E55E86">
            <w:pPr>
              <w:pStyle w:val="TableContents"/>
              <w:rPr>
                <w:rFonts w:ascii="Arial" w:hAnsi="Arial" w:cs="Arial"/>
              </w:rPr>
            </w:pPr>
            <w:r>
              <w:rPr>
                <w:rFonts w:ascii="Arial" w:hAnsi="Arial" w:cs="Arial"/>
              </w:rPr>
              <w:fldChar w:fldCharType="begin"/>
            </w:r>
            <w:r w:rsidR="004A7EB4">
              <w:rPr>
                <w:rFonts w:ascii="Arial" w:hAnsi="Arial" w:cs="Arial"/>
              </w:rPr>
              <w:instrText xml:space="preserve"> ADDIN ZOTERO_ITEM CSL_CITATION {"citationID":"a2q48cb1t7v","properties":{"formattedCitation":"[5]","plainCitation":"[5]","noteIndex":0},"citationItems":[{"id":4514,"uris":["http://zotero.org/groups/2472009/items/LQ4XKSMF"],"uri":["http://zotero.org/groups/2472009/items/LQ4XKSMF"],"itemData":{"id":4514,"type":"article-journal","abstract":"Comparisons of orthologous genomic DNA sequences can be used to characterize regions that have been subject to purifying selection and are enriched for functional elements. We here present the results of such an analysis on an alignment of sequences from 29 mammalian species. The alignment captures </w:instrText>
            </w:r>
            <w:r w:rsidR="004A7EB4">
              <w:rPr>
                <w:rFonts w:ascii="Cambria Math" w:hAnsi="Cambria Math" w:cs="Cambria Math"/>
              </w:rPr>
              <w:instrText>∼</w:instrText>
            </w:r>
            <w:r w:rsidR="004A7EB4">
              <w:rPr>
                <w:rFonts w:ascii="Arial" w:hAnsi="Arial" w:cs="Arial"/>
              </w:rPr>
              <w:instrText xml:space="preserve">3.9 neutral substitutions per site and spans </w:instrText>
            </w:r>
            <w:r w:rsidR="004A7EB4">
              <w:rPr>
                <w:rFonts w:ascii="Cambria Math" w:hAnsi="Cambria Math" w:cs="Cambria Math"/>
              </w:rPr>
              <w:instrText>∼</w:instrText>
            </w:r>
            <w:r w:rsidR="004A7EB4">
              <w:rPr>
                <w:rFonts w:ascii="Arial" w:hAnsi="Arial" w:cs="Arial"/>
              </w:rPr>
              <w:instrText xml:space="preserve">1.9 Mbp of the human genome. We identify constrained elements from 3 bp to over 1 kbp in length, covering </w:instrText>
            </w:r>
            <w:r w:rsidR="004A7EB4">
              <w:rPr>
                <w:rFonts w:ascii="Cambria Math" w:hAnsi="Cambria Math" w:cs="Cambria Math"/>
              </w:rPr>
              <w:instrText>∼</w:instrText>
            </w:r>
            <w:r w:rsidR="004A7EB4">
              <w:rPr>
                <w:rFonts w:ascii="Arial" w:hAnsi="Arial" w:cs="Arial"/>
              </w:rPr>
              <w:instrText xml:space="preserve">5.5% of the human locus. Our estimate for the total amount of nonexonic constraint experienced by this locus is roughly twice that for exonic constraint. Constrained elements tend to cluster, and we identify large constrained regions that correspond well with known functional elements. While constraint density inversely correlates with mobile element density, we also show the presence of unambiguously constrained elements overlapping mammalian ancestral repeats. In addition, we describe a number of elements in this region that have undergone intense purifying selection throughout mammalian evolution, and we show that these important elements are more numerous than previously thought. These results were obtained with Genomic Evolutionary Rate Profiling (GERP), a statistically rigorous and biologically transparent framework for constrained element identification. GERP identifies regions at high resolution that exhibit nucleotide substitution deficits, and measures these deficits as “rejected substitutions.” Rejected substitutions reflect the intensity of past purifying selection and are used to rank and characterize constrained elements. We anticipate that GERP and the types of analyses it facilitates will provide further insights and improved annotation for the human genome as mammalian genome sequence data become richer.","container-title":"Genome Research","DOI":"10.1101/gr.3577405","ISSN":"1088-9051, 1549-5469","issue":"7","journalAbbreviation":"Genome Res.","language":"en","note":"Company: Cold Spring Harbor Laboratory Press\nDistributor: Cold Spring Harbor Laboratory Press\nInstitution: Cold Spring Harbor Laboratory Press\nLabel: Cold Spring Harbor Laboratory Press\npublisher: Cold Spring Harbor Lab\nPMID: 15965027","page":"901-913","source":"genome.cshlp.org","title":"Distribution and intensity of constraint in mammalian genomic sequence","volume":"15","author":[{"family":"Cooper","given":"Gregory M."},{"family":"Stone","given":"Eric A."},{"family":"Asimenos","given":"George"},{"family":"Green","given":"Eric D."},{"family":"Batzoglou","given":"Serafim"},{"family":"Sidow","given":"Arend"}],"issued":{"date-parts":[["2005",7,1]]}}}],"schema":"https://github.com/citation-style-language/schema/raw/master/csl-citation.json"} </w:instrText>
            </w:r>
            <w:r>
              <w:rPr>
                <w:rFonts w:ascii="Arial" w:hAnsi="Arial" w:cs="Arial"/>
              </w:rPr>
              <w:fldChar w:fldCharType="separate"/>
            </w:r>
            <w:r w:rsidR="004A7EB4">
              <w:rPr>
                <w:rFonts w:ascii="Arial" w:hAnsi="Arial" w:cs="Arial"/>
              </w:rPr>
              <w:t>[5]</w:t>
            </w:r>
            <w:r>
              <w:rPr>
                <w:rFonts w:ascii="Arial" w:hAnsi="Arial" w:cs="Arial"/>
              </w:rPr>
              <w:fldChar w:fldCharType="end"/>
            </w:r>
          </w:p>
        </w:tc>
      </w:tr>
      <w:tr w:rsidR="00514A54" w:rsidRPr="007523EE" w14:paraId="668DCBC6" w14:textId="77777777">
        <w:tc>
          <w:tcPr>
            <w:tcW w:w="2382" w:type="dxa"/>
            <w:tcBorders>
              <w:top w:val="single" w:sz="6" w:space="0" w:color="000000"/>
              <w:bottom w:val="single" w:sz="4" w:space="0" w:color="000000"/>
            </w:tcBorders>
            <w:shd w:val="clear" w:color="auto" w:fill="auto"/>
          </w:tcPr>
          <w:p w14:paraId="7222D88B"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GERP element</w:t>
            </w:r>
          </w:p>
        </w:tc>
        <w:tc>
          <w:tcPr>
            <w:tcW w:w="3250" w:type="dxa"/>
            <w:tcBorders>
              <w:top w:val="single" w:sz="6" w:space="0" w:color="000000"/>
              <w:bottom w:val="single" w:sz="4" w:space="0" w:color="000000"/>
            </w:tcBorders>
            <w:shd w:val="clear" w:color="auto" w:fill="auto"/>
          </w:tcPr>
          <w:p w14:paraId="3DDA34B9"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Regions identified as conserved element.</w:t>
            </w:r>
          </w:p>
        </w:tc>
        <w:tc>
          <w:tcPr>
            <w:tcW w:w="1983" w:type="dxa"/>
            <w:vMerge/>
            <w:tcBorders>
              <w:top w:val="single" w:sz="6" w:space="0" w:color="000000"/>
              <w:bottom w:val="single" w:sz="4" w:space="0" w:color="000000"/>
            </w:tcBorders>
            <w:shd w:val="clear" w:color="auto" w:fill="auto"/>
            <w:vAlign w:val="center"/>
          </w:tcPr>
          <w:p w14:paraId="77256A28" w14:textId="77777777" w:rsidR="00514A54" w:rsidRPr="00E70A8B" w:rsidRDefault="00514A54">
            <w:pPr>
              <w:pStyle w:val="TableContents"/>
              <w:snapToGrid w:val="0"/>
              <w:jc w:val="center"/>
              <w:rPr>
                <w:rFonts w:ascii="Arial" w:hAnsi="Arial" w:cs="Arial"/>
                <w:color w:val="000000"/>
                <w:sz w:val="18"/>
                <w:szCs w:val="18"/>
                <w:lang w:val="en-GB"/>
              </w:rPr>
            </w:pPr>
          </w:p>
        </w:tc>
        <w:tc>
          <w:tcPr>
            <w:tcW w:w="1315" w:type="dxa"/>
            <w:tcBorders>
              <w:top w:val="single" w:sz="6" w:space="0" w:color="000000"/>
              <w:bottom w:val="single" w:sz="4" w:space="0" w:color="000000"/>
            </w:tcBorders>
            <w:shd w:val="clear" w:color="auto" w:fill="auto"/>
          </w:tcPr>
          <w:p w14:paraId="71666F46"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Binary</w:t>
            </w:r>
          </w:p>
        </w:tc>
        <w:tc>
          <w:tcPr>
            <w:tcW w:w="1042" w:type="dxa"/>
            <w:tcBorders>
              <w:top w:val="single" w:sz="6" w:space="0" w:color="000000"/>
              <w:bottom w:val="single" w:sz="4" w:space="0" w:color="000000"/>
            </w:tcBorders>
            <w:shd w:val="clear" w:color="auto" w:fill="auto"/>
          </w:tcPr>
          <w:p w14:paraId="01C7BC41" w14:textId="0BBE838C" w:rsidR="00514A54" w:rsidRPr="00E70A8B" w:rsidRDefault="00A80BB8">
            <w:pPr>
              <w:pStyle w:val="TableContents"/>
              <w:rPr>
                <w:rFonts w:ascii="Arial" w:hAnsi="Arial" w:cs="Arial"/>
                <w:lang w:val="en-US"/>
              </w:rPr>
            </w:pPr>
            <w:r w:rsidRPr="00E70A8B">
              <w:rPr>
                <w:rFonts w:ascii="Arial" w:hAnsi="Arial" w:cs="Arial"/>
              </w:rPr>
              <w:fldChar w:fldCharType="begin"/>
            </w:r>
            <w:r w:rsidR="004A7EB4">
              <w:rPr>
                <w:rFonts w:ascii="Arial" w:hAnsi="Arial" w:cs="Arial"/>
              </w:rPr>
              <w:instrText xml:space="preserve"> ADDIN ZOTERO_ITEM CSL_CITATION {"citationID":"YiJMHcbN","properties":{"formattedCitation":"[5]","plainCitation":"[5]","noteIndex":0},"citationItems":[{"id":4514,"uris":["http://zotero.org/groups/2472009/items/LQ4XKSMF"],"uri":["http://zotero.org/groups/2472009/items/LQ4XKSMF"],"itemData":{"id":4514,"type":"article-journal","abstract":"Comparisons of orthologous genomic DNA sequences can be used to characterize regions that have been subject to purifying selection and are enriched for functional elements. We here present the results of such an analysis on an alignment of sequences from 29 mammalian species. The alignment captures </w:instrText>
            </w:r>
            <w:r w:rsidR="004A7EB4">
              <w:rPr>
                <w:rFonts w:ascii="Cambria Math" w:hAnsi="Cambria Math" w:cs="Cambria Math"/>
              </w:rPr>
              <w:instrText>∼</w:instrText>
            </w:r>
            <w:r w:rsidR="004A7EB4">
              <w:rPr>
                <w:rFonts w:ascii="Arial" w:hAnsi="Arial" w:cs="Arial"/>
              </w:rPr>
              <w:instrText xml:space="preserve">3.9 neutral substitutions per site and spans </w:instrText>
            </w:r>
            <w:r w:rsidR="004A7EB4">
              <w:rPr>
                <w:rFonts w:ascii="Cambria Math" w:hAnsi="Cambria Math" w:cs="Cambria Math"/>
              </w:rPr>
              <w:instrText>∼</w:instrText>
            </w:r>
            <w:r w:rsidR="004A7EB4">
              <w:rPr>
                <w:rFonts w:ascii="Arial" w:hAnsi="Arial" w:cs="Arial"/>
              </w:rPr>
              <w:instrText xml:space="preserve">1.9 Mbp of the human genome. We identify constrained elements from 3 bp to over 1 kbp in length, covering </w:instrText>
            </w:r>
            <w:r w:rsidR="004A7EB4">
              <w:rPr>
                <w:rFonts w:ascii="Cambria Math" w:hAnsi="Cambria Math" w:cs="Cambria Math"/>
              </w:rPr>
              <w:instrText>∼</w:instrText>
            </w:r>
            <w:r w:rsidR="004A7EB4">
              <w:rPr>
                <w:rFonts w:ascii="Arial" w:hAnsi="Arial" w:cs="Arial"/>
              </w:rPr>
              <w:instrText>5.5% of the human locus. Our estimate for the total amount of nonexonic constraint experienced by this locus is roughly twice that for exonic constraint. Constrained elements tend to cluster, and we identify large constrained regions that correspond well with known functional elements. While constraint density inversely correlates with mobile element density, we also show the presence of unambiguously constrained elements overlapping mammalian ancestral repeats. In addition, we describe a number of elements in this region that have undergone intense purifying selection throughout mammalian evolution, and we show that these important elements are more numerous than previously thought. These results were obtained with Genomic Evolutionary Rate Profiling (GE</w:instrText>
            </w:r>
            <w:r w:rsidR="004A7EB4" w:rsidRPr="00AC0AD9">
              <w:rPr>
                <w:rFonts w:ascii="Arial" w:hAnsi="Arial" w:cs="Arial"/>
                <w:lang w:val="en-US"/>
              </w:rPr>
              <w:instrText xml:space="preserve">RP), a statistically rigorous and biologically transparent framework for constrained element identification. GERP identifies regions at high resolution that exhibit nucleotide substitution deficits, and measures these deficits as “rejected substitutions.” Rejected substitutions reflect the intensity of past purifying selection and are used to rank and characterize constrained elements. We anticipate that GERP and the types of analyses it facilitates will provide further insights and improved annotation for the human genome as mammalian genome sequence data become richer.","container-title":"Genome Research","DOI":"10.1101/gr.3577405","ISSN":"1088-9051, 1549-5469","issue":"7","journalAbbreviation":"Genome Res.","language":"en","note":"Company: Cold Spring Harbor Laboratory Press\nDistributor: Cold Spring Harbor Laboratory Press\nInstitution: Cold Spring Harbor Laboratory Press\nLabel: Cold Spring Harbor Laboratory Press\npublisher: Cold Spring Harbor Lab\nPMID: 15965027","page":"901-913","source":"genome.cshlp.org","title":"Distribution and intensity of constraint in mammalian genomic sequence","volume":"15","author":[{"family":"Cooper","given":"Gregory M."},{"family":"Stone","given":"Eric A."},{"family":"Asimenos","given":"George"},{"family":"Green","given":"Eric D."},{"family":"Batzoglou","given":"Serafim"},{"family":"Sidow","given":"Arend"}],"issued":{"date-parts":[["2005",7,1]]}}}],"schema":"https://github.com/citation-style-language/schema/raw/master/csl-citation.json"} </w:instrText>
            </w:r>
            <w:r w:rsidRPr="00E70A8B">
              <w:rPr>
                <w:rFonts w:ascii="Arial" w:hAnsi="Arial" w:cs="Arial"/>
              </w:rPr>
              <w:fldChar w:fldCharType="separate"/>
            </w:r>
            <w:bookmarkStart w:id="13" w:name="__Fieldmark__115_2281253091"/>
            <w:bookmarkStart w:id="14" w:name="__Fieldmark__119_3451003990"/>
            <w:r w:rsidR="004A7EB4">
              <w:rPr>
                <w:rFonts w:ascii="Arial" w:hAnsi="Arial" w:cs="Arial"/>
                <w:sz w:val="18"/>
                <w:szCs w:val="18"/>
                <w:lang w:val="en-GB"/>
              </w:rPr>
              <w:t>[5]</w:t>
            </w:r>
            <w:r w:rsidRPr="00E70A8B">
              <w:rPr>
                <w:rFonts w:ascii="Arial" w:hAnsi="Arial" w:cs="Arial"/>
              </w:rPr>
              <w:fldChar w:fldCharType="end"/>
            </w:r>
            <w:bookmarkEnd w:id="13"/>
            <w:bookmarkEnd w:id="14"/>
          </w:p>
        </w:tc>
      </w:tr>
      <w:tr w:rsidR="00514A54" w:rsidRPr="007523EE" w14:paraId="074BFDF1" w14:textId="77777777">
        <w:tc>
          <w:tcPr>
            <w:tcW w:w="2382" w:type="dxa"/>
            <w:tcBorders>
              <w:top w:val="single" w:sz="4" w:space="0" w:color="000000"/>
              <w:bottom w:val="single" w:sz="6" w:space="0" w:color="000000"/>
            </w:tcBorders>
            <w:shd w:val="clear" w:color="auto" w:fill="auto"/>
          </w:tcPr>
          <w:p w14:paraId="68CF53AE"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DNase-sensitive cluster</w:t>
            </w:r>
          </w:p>
        </w:tc>
        <w:tc>
          <w:tcPr>
            <w:tcW w:w="3250" w:type="dxa"/>
            <w:tcBorders>
              <w:top w:val="single" w:sz="4" w:space="0" w:color="000000"/>
              <w:bottom w:val="single" w:sz="6" w:space="0" w:color="000000"/>
            </w:tcBorders>
            <w:shd w:val="clear" w:color="auto" w:fill="auto"/>
          </w:tcPr>
          <w:p w14:paraId="74CA2881" w14:textId="77777777" w:rsidR="00514A54" w:rsidRPr="00E70A8B" w:rsidRDefault="00A80BB8">
            <w:pPr>
              <w:pStyle w:val="TableContents"/>
              <w:snapToGrid w:val="0"/>
              <w:rPr>
                <w:rFonts w:ascii="Arial" w:hAnsi="Arial" w:cs="Arial"/>
                <w:color w:val="000000"/>
                <w:sz w:val="18"/>
                <w:szCs w:val="18"/>
                <w:lang w:val="en-GB"/>
              </w:rPr>
            </w:pPr>
            <w:r w:rsidRPr="00E70A8B">
              <w:rPr>
                <w:rFonts w:ascii="Arial" w:hAnsi="Arial" w:cs="Arial"/>
                <w:color w:val="000000"/>
                <w:sz w:val="18"/>
                <w:szCs w:val="18"/>
                <w:lang w:val="en-GB"/>
              </w:rPr>
              <w:t xml:space="preserve">Score associated to </w:t>
            </w:r>
            <w:proofErr w:type="spellStart"/>
            <w:r w:rsidRPr="00E70A8B">
              <w:rPr>
                <w:rFonts w:ascii="Arial" w:hAnsi="Arial" w:cs="Arial"/>
                <w:color w:val="000000"/>
                <w:sz w:val="18"/>
                <w:szCs w:val="18"/>
                <w:lang w:val="en-GB"/>
              </w:rPr>
              <w:t>DNaseI</w:t>
            </w:r>
            <w:proofErr w:type="spellEnd"/>
            <w:r w:rsidRPr="00E70A8B">
              <w:rPr>
                <w:rFonts w:ascii="Arial" w:hAnsi="Arial" w:cs="Arial"/>
                <w:color w:val="000000"/>
                <w:sz w:val="18"/>
                <w:szCs w:val="18"/>
                <w:lang w:val="en-GB"/>
              </w:rPr>
              <w:t xml:space="preserve"> Hypersensitivity Clusters in 125 cell types from ENCODE.</w:t>
            </w:r>
          </w:p>
        </w:tc>
        <w:tc>
          <w:tcPr>
            <w:tcW w:w="1983" w:type="dxa"/>
            <w:vMerge w:val="restart"/>
            <w:tcBorders>
              <w:top w:val="single" w:sz="4" w:space="0" w:color="000000"/>
              <w:bottom w:val="single" w:sz="6" w:space="0" w:color="000000"/>
            </w:tcBorders>
            <w:shd w:val="clear" w:color="auto" w:fill="auto"/>
            <w:vAlign w:val="center"/>
          </w:tcPr>
          <w:p w14:paraId="0A80C518" w14:textId="77777777" w:rsidR="00514A54" w:rsidRPr="00E70A8B" w:rsidRDefault="00A80BB8">
            <w:pPr>
              <w:pStyle w:val="TableContents"/>
              <w:jc w:val="center"/>
              <w:rPr>
                <w:rFonts w:ascii="Arial" w:hAnsi="Arial" w:cs="Arial"/>
                <w:sz w:val="18"/>
                <w:szCs w:val="18"/>
                <w:lang w:val="en-GB"/>
              </w:rPr>
            </w:pPr>
            <w:r w:rsidRPr="00E70A8B">
              <w:rPr>
                <w:rFonts w:ascii="Arial" w:hAnsi="Arial" w:cs="Arial"/>
                <w:color w:val="000000"/>
                <w:sz w:val="18"/>
                <w:szCs w:val="18"/>
                <w:lang w:val="en-GB"/>
              </w:rPr>
              <w:t>Biochemical evidence</w:t>
            </w:r>
          </w:p>
        </w:tc>
        <w:tc>
          <w:tcPr>
            <w:tcW w:w="1315" w:type="dxa"/>
            <w:tcBorders>
              <w:top w:val="single" w:sz="4" w:space="0" w:color="000000"/>
              <w:bottom w:val="single" w:sz="6" w:space="0" w:color="000000"/>
            </w:tcBorders>
            <w:shd w:val="clear" w:color="auto" w:fill="auto"/>
          </w:tcPr>
          <w:p w14:paraId="0915D04F"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Continuous</w:t>
            </w:r>
          </w:p>
        </w:tc>
        <w:tc>
          <w:tcPr>
            <w:tcW w:w="1042" w:type="dxa"/>
            <w:tcBorders>
              <w:top w:val="single" w:sz="4" w:space="0" w:color="000000"/>
              <w:bottom w:val="single" w:sz="6" w:space="0" w:color="000000"/>
            </w:tcBorders>
            <w:shd w:val="clear" w:color="auto" w:fill="auto"/>
          </w:tcPr>
          <w:p w14:paraId="24E52F15" w14:textId="29628941" w:rsidR="00514A54" w:rsidRPr="00E70A8B" w:rsidRDefault="00A80BB8">
            <w:pPr>
              <w:pStyle w:val="TableContents"/>
              <w:rPr>
                <w:rFonts w:ascii="Arial" w:hAnsi="Arial" w:cs="Arial"/>
                <w:lang w:val="en-US"/>
              </w:rPr>
            </w:pPr>
            <w:r w:rsidRPr="00E70A8B">
              <w:rPr>
                <w:rFonts w:ascii="Arial" w:hAnsi="Arial" w:cs="Arial"/>
              </w:rPr>
              <w:fldChar w:fldCharType="begin"/>
            </w:r>
            <w:r w:rsidR="004A7EB4">
              <w:rPr>
                <w:rFonts w:ascii="Arial" w:hAnsi="Arial" w:cs="Arial"/>
                <w:lang w:val="en-US"/>
              </w:rPr>
              <w:instrText xml:space="preserve"> ADDIN ZOTERO_ITEM CSL_CITATION {"citationID":"qBFEc2Pt","properties":{"formattedCitation":"[6]","plainCitation":"[6]","noteIndex":0},"citationItems":[{"id":2904,"uris":["http://zotero.org/groups/2472009/items/KXL7JFZS"],"uri":["http://zotero.org/groups/2472009/items/KXL7JFZS"],"itemData":{"id":2904,"type":"article-journal","abstract":"DNase I hypersensitive sites (DHSs) are markers of regulatory DNA and have underpinned the discovery of all classes of cis-regulatory elements including enhancers, promoters, insulators, silencers and locus control regions. Here we present the first extensive map of human DHSs identified through genome-wide profiling in 125 diverse cell and tissue types. We identify approximately 2.9 million DHSs that encompass virtually all known experimentally validated cis-regulatory sequences and expose a vast trove of novel elements, most with highly cell-selective regulation. Annotating these elements using ENCODE data reveals novel relationships between chromatin accessibility, transcription, DNA methylation and regulatory factor occupancy patterns. We connect approximately 580,000 distal DHSs with their target promoters, revealing systematic pairing of different classes of distal DHSs and specific promoter types. Patterning of chromatin accessibility at many regulatory regions is organized with dozens to hundreds of co-activated elements, and the transcellular DNase I sensitivity pattern at a given region can predict cell-type-specific functional behaviours. The DHS landscape shows signatures of recent functional evolutionary constraint. However, the DHS compartment in pluripotent and immortalized cells exhibits higher mutation rates than that in highly differentiated cells, exposing an unexpected link between chromatin accessibility, proliferative potential and patterns of human variation.","container-title":"Nature","DOI":"10.1038/nature11232","ISSN":"1476-4687 (Electronic) 0028-0836 (Linking)","issue":"7414","journalAbbreviation":"Nature","page":"75-82","title":"The accessible chromatin landscape of the human genome","volume":"489","author":[{"family":"Thurman","given":"R. E."},{"family":"Rynes","given":"E."},{"family":"Humbert","given":"R."},{"family":"Vierstra","given":"J."},{"family":"Maurano","given":"M. T."},{"family":"Haugen","given":"E."},{"family":"Sheffield","given":"N. C."},{"family":"Stergachis","given":"A. B."},{"family":"Wang","given":"H."},{"family":"Vernot","given":"B."},{"family":"Garg","given":"K."},{"family":"John","given":"S."},{"family":"Sandstrom","given":"R."},{"family":"Bates","given":"D."},{"family":"Boatman","given":"L."},{"family":"Canfield","given":"T. K."},{"family":"Diegel","given":"M."},{"family":"Dunn","given":"D."},{"family":"Ebersol","given":"A. K."},{"family":"Frum","given":"T."},{"family":"Giste","given":"E."},{"family":"Johnson","given":"A. K."},{"family":"Johnson","given":"E. M."},{"family":"Kutyavin","given":"T."},{"family":"Lajoie","given":"B."},{"family":"Lee","given":"B. K."},{"family":"Lee","given":"K."},{"family":"London","given":"D."},{"family":"Lotakis","given":"D."},{"family":"Neph","given":"S."},{"family":"Neri","given":"F."},{"family":"Nguyen","given":"E. D."},{"family":"Qu","given":"H."},{"family":"Reynolds","given":"A. P."},{"family":"Roach","given":"V."},{"family":"Safi","given":"A."},{"family":"Sanchez","given":"M. E."},{"family":"Sanyal","given":"A."},{"family":"Shafer","given":"A."},{"family":"Simon","given":"J. M."},{"family":"Song","given":"L."},{"family":"Vong","given":"S."},{"family":"Weaver","given":"M."},{"family":"Yan","given":"Y."},{"family":"Zhang","given":"Z."},{"family":"Zhang","given":"Z."},{"family":"Lenhard","given":"B."},{"family":"Tewari","given":"M."},{"family":"Dorschner","given":"M. O."},{"family":"Hansen","given":"R. S."},{"family":"Navas","given":"P. A."},{"family":"Stamatoyannopoulos","given":"G."},{"family":"Iyer","given":"V. R."},{"family":"Lieb","given":"J. D."},{"family":"Sunyaev","given":"S. R."},{"family":"Akey","given":"J. M."},{"family":"Sabo","given":"P. J."},{"family":"Kaul","given":"R."},{"family":"Furey","given":"T. S."},{"family":"Dekker","given":"J."},{"family":"Crawford","given":"G. E."},{"family":"Stamatoyannopoulos","given":"J. A."}],"issued":{"date-parts":[["2012",9,6]]}}}],"schema":"https://github.com/citation-style-language/schema/raw/master/csl-citation.json"} </w:instrText>
            </w:r>
            <w:r w:rsidRPr="00E70A8B">
              <w:rPr>
                <w:rFonts w:ascii="Arial" w:hAnsi="Arial" w:cs="Arial"/>
              </w:rPr>
              <w:fldChar w:fldCharType="separate"/>
            </w:r>
            <w:bookmarkStart w:id="15" w:name="__Fieldmark__126_2281253091"/>
            <w:bookmarkStart w:id="16" w:name="__Fieldmark__130_3451003990"/>
            <w:r w:rsidR="004A7EB4">
              <w:rPr>
                <w:rFonts w:ascii="Arial" w:hAnsi="Arial" w:cs="Arial"/>
                <w:sz w:val="18"/>
                <w:szCs w:val="18"/>
                <w:lang w:val="en-GB"/>
              </w:rPr>
              <w:t>[6]</w:t>
            </w:r>
            <w:r w:rsidRPr="00E70A8B">
              <w:rPr>
                <w:rFonts w:ascii="Arial" w:hAnsi="Arial" w:cs="Arial"/>
              </w:rPr>
              <w:fldChar w:fldCharType="end"/>
            </w:r>
            <w:bookmarkEnd w:id="15"/>
            <w:bookmarkEnd w:id="16"/>
          </w:p>
        </w:tc>
      </w:tr>
      <w:tr w:rsidR="00514A54" w:rsidRPr="00E70A8B" w14:paraId="2D64ABA5" w14:textId="77777777">
        <w:tc>
          <w:tcPr>
            <w:tcW w:w="2382" w:type="dxa"/>
            <w:tcBorders>
              <w:top w:val="single" w:sz="6" w:space="0" w:color="000000"/>
              <w:bottom w:val="single" w:sz="6" w:space="0" w:color="000000"/>
            </w:tcBorders>
            <w:shd w:val="clear" w:color="auto" w:fill="auto"/>
          </w:tcPr>
          <w:p w14:paraId="0959BAB4"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Promoter</w:t>
            </w:r>
          </w:p>
        </w:tc>
        <w:tc>
          <w:tcPr>
            <w:tcW w:w="3250" w:type="dxa"/>
            <w:vMerge w:val="restart"/>
            <w:tcBorders>
              <w:top w:val="single" w:sz="6" w:space="0" w:color="000000"/>
              <w:bottom w:val="single" w:sz="6" w:space="0" w:color="000000"/>
            </w:tcBorders>
            <w:shd w:val="clear" w:color="auto" w:fill="auto"/>
          </w:tcPr>
          <w:p w14:paraId="525C4F0D" w14:textId="77777777" w:rsidR="00514A54" w:rsidRPr="00E70A8B" w:rsidRDefault="00A80BB8">
            <w:pPr>
              <w:pStyle w:val="TableContents"/>
              <w:snapToGrid w:val="0"/>
              <w:rPr>
                <w:rFonts w:ascii="Arial" w:hAnsi="Arial" w:cs="Arial"/>
                <w:sz w:val="18"/>
                <w:szCs w:val="18"/>
                <w:lang w:val="en-GB"/>
              </w:rPr>
            </w:pPr>
            <w:r w:rsidRPr="00E70A8B">
              <w:rPr>
                <w:rFonts w:ascii="Arial" w:hAnsi="Arial" w:cs="Arial"/>
                <w:color w:val="000000"/>
                <w:sz w:val="18"/>
                <w:szCs w:val="18"/>
                <w:lang w:val="en-GB"/>
              </w:rPr>
              <w:t>Number of the considered state at given location across 98 cell types from Roadmap Epigenomics.</w:t>
            </w:r>
          </w:p>
        </w:tc>
        <w:tc>
          <w:tcPr>
            <w:tcW w:w="1983" w:type="dxa"/>
            <w:vMerge/>
            <w:tcBorders>
              <w:top w:val="single" w:sz="6" w:space="0" w:color="000000"/>
              <w:bottom w:val="single" w:sz="6" w:space="0" w:color="000000"/>
            </w:tcBorders>
            <w:shd w:val="clear" w:color="auto" w:fill="auto"/>
            <w:vAlign w:val="center"/>
          </w:tcPr>
          <w:p w14:paraId="3A518063" w14:textId="77777777" w:rsidR="00514A54" w:rsidRPr="00E70A8B" w:rsidRDefault="00514A54">
            <w:pPr>
              <w:pStyle w:val="TableContents"/>
              <w:snapToGrid w:val="0"/>
              <w:jc w:val="center"/>
              <w:rPr>
                <w:rFonts w:ascii="Arial" w:hAnsi="Arial" w:cs="Arial"/>
                <w:color w:val="000000"/>
                <w:sz w:val="18"/>
                <w:szCs w:val="18"/>
                <w:lang w:val="en-GB"/>
              </w:rPr>
            </w:pPr>
          </w:p>
        </w:tc>
        <w:tc>
          <w:tcPr>
            <w:tcW w:w="1315" w:type="dxa"/>
            <w:tcBorders>
              <w:top w:val="single" w:sz="6" w:space="0" w:color="000000"/>
              <w:bottom w:val="single" w:sz="6" w:space="0" w:color="000000"/>
            </w:tcBorders>
            <w:shd w:val="clear" w:color="auto" w:fill="auto"/>
          </w:tcPr>
          <w:p w14:paraId="63B7278F"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Discrete</w:t>
            </w:r>
          </w:p>
        </w:tc>
        <w:tc>
          <w:tcPr>
            <w:tcW w:w="1042" w:type="dxa"/>
            <w:tcBorders>
              <w:top w:val="single" w:sz="6" w:space="0" w:color="000000"/>
              <w:bottom w:val="single" w:sz="6" w:space="0" w:color="000000"/>
            </w:tcBorders>
            <w:shd w:val="clear" w:color="auto" w:fill="auto"/>
          </w:tcPr>
          <w:p w14:paraId="047591BD" w14:textId="0A56A17D" w:rsidR="00514A54" w:rsidRPr="00E70A8B" w:rsidRDefault="00A80BB8">
            <w:pPr>
              <w:pStyle w:val="TableContents"/>
              <w:rPr>
                <w:rFonts w:ascii="Arial" w:hAnsi="Arial" w:cs="Arial"/>
              </w:rPr>
            </w:pPr>
            <w:r w:rsidRPr="00E70A8B">
              <w:rPr>
                <w:rFonts w:ascii="Arial" w:hAnsi="Arial" w:cs="Arial"/>
              </w:rPr>
              <w:fldChar w:fldCharType="begin"/>
            </w:r>
            <w:r w:rsidR="004A7EB4">
              <w:rPr>
                <w:rFonts w:ascii="Arial" w:hAnsi="Arial" w:cs="Arial"/>
                <w:lang w:val="en-US"/>
              </w:rPr>
              <w:instrText xml:space="preserve"> ADDIN ZOTERO_ITEM CSL_CITATION {"citationID":"gOhoBF6Z","properties":{"formattedCitation":"[7]","plainCitation":"[7]","noteIndex":0},"citationItems":[{"id":4530,"uris":["http://zotero.org/groups/2472009/items/TS46GUF3"],"uri":["http://zotero.org/groups/2472009/items/TS46GUF3"],"itemData":{"id":4530,"type":"article-journal","abstract":"This study describes the integrative analysis of 111 reference human epigenomes, profiled for histone modification patterns, DNA accessibility, DNA methylation and RNA expression; the results annotate candidate regulatory elements in diverse tissues and cell types, their candidate regulators, and the set of human traits for which they show genetic variant enrichment, providing a resource for interpreting the molecular basis of human disease.","container-title":"Nature","DOI":"10.1038/nature14248","ISSN":"1476-4687","issue":"7539","journalAbbreviation":"Nature","language":"en","note":"number: 7539\npublisher: Nature Publishing Group","page":"317-330","source":"www.nature.com","title":"Integrative analysis of 111 reference human epigenomes","volume":"518","author":[{"family":"Kundaje","given":"Anshul"},{"family":"Meuleman","given":"Wouter"},{"family":"Ernst","given":"Jason"},{"family":"Bilenky","given":"Misha"},{"family":"Yen","given":"Angela"},{"family":"Heravi-Moussavi","given":"Alireza"},{"family":"Kheradpour","given":"Pouya"},{"family":"Zhang","given":"Zhizhuo"},{"family":"Wang","given":"Jianrong"},{"family":"Ziller","given":"Michael J."},{"family":"Amin","given":"Viren"},{"family":"Whitaker","given":"John W."},{"family":"Schultz","given":"Matthew D."},{"family":"Ward","given":"Lucas D."},{"family":"Sarkar","given":"Abhishek"},{"family":"Quon","given":"Gerald"},{"family":"Sandstrom","given":"Richard S."},{"family":"Eaton","given":"Matthew L."},{"family":"Wu","given":"Yi-Chieh"},{"family":"Pfenning","given":"Andreas R."},{"family":"Wang","given":"Xinchen"},{"family":"Claussnitzer","given":"Melina"},{"family":"Liu","given":"Yaping"},{"family":"Coarfa","given":"Cristian"},{"family":"Harris","given":"R. Alan"},{"family":"Shoresh","given":"Noam"},{"family":"Epstein","given":"Charles B."},{"family":"Gjoneska","given":"Elizabeta"},{"family":"Leung","given":"Danny"},{"family":"Xie","given":"Wei"},{"family":"Hawkins","given":"R. David"},{"family":"Lister","given":"Ryan"},{"family":"Hong","given":"Chibo"},{"family":"Gascard","given":"Philippe"},{"family":"Mungall","given":"Andrew J."},{"family":"Moore","given":"Richard"},{"family":"Chuah","given":"Eric"},{"family":"Tam","given":"Angela"},{"family":"Canfield","given":"Theresa K."},{"family":"Hansen","given":"R. Scott"},{"family":"Kaul","given":"Rajinder"},{"family":"Sabo","given":"Peter J."},{"family":"Bansal","given":"Mukul S."},{"family":"Carles","given":"Annaick"},{"family":"Dixon","given":"Jesse R."},{"family":"Farh","given":"Kai-How"},{"family":"Feizi","given":"Soheil"},{"family":"Karlic","given":"Rosa"},{"family":"Kim","given":"Ah-Ram"},{"family":"Kulkarni","given":"Ashwinikumar"},{"family":"Li","given":"Daofeng"},{"family":"Lowdon","given":"Rebecca"},{"family":"Elliott","given":"GiNell"},{"family":"Mercer","given":"Tim R."},{"family":"Neph","given":"Shane J."},{"family":"Onuchic","given":"Vitor"},{"family":"Polak","given":"Paz"},{"family":"Rajagopal","given":"Nisha"},{"family":"Ray","given":"Pradipta"},{"family":"Sallari","given":"Richard C."},{"family":"Siebenthall","given":"Kyle T."},{"family":"Sinnott-Armstrong","given":"Nicholas A."},{"family":"Stevens","given":"Michael"},{"family":"Thurman","given":"Robert E."},{"family":"Wu","given":"Jie"},{"family":"Zhang","given":"Bo"},{"family":"Zhou","given":"Xin"},{"family":"Beaudet","given":"Arthur E."},{"family":"Boyer","given":"Laurie A."},{"family":"Jager","given":"Philip L. De"},{"family":"Farnham","given":"Peggy J."},{"family":"Fisher","given":"Susan J."},{"family":"Haussler","given":"David"},{"family":"Jones","given":"Steven J. M."},{"family":"Li","given":"Wei"},{"family":"Marra","given":"Marco A."},{"family":"McManus","given":"Michael T."},{"family":"Sunyaev","given":"Shamil"},{"family":"Thomson","given":"James A."},{"family":"Tlsty","given":"Thea D."},{"family":"Tsai","given":"Li-Huei"},{"family":"Wang","given":"Wei"},{"family":"Waterland","given":"Robert A."},{"family":"Zhang","given":"Michael Q."},{"family":"Chadwick","given":"Lisa H."},{"family":"Bernstein","given":"Bradley E."},{"family":"Costello","given":"Joseph F."},{"family":"Ecker","given":"Joseph R."},{"family":"Hirst","given":"Martin"},{"family":"Meissner","given":"Alexander"},{"family":"Milosavljevic","given":"Aleksandar"},{"family":"Ren","given":"Bing"},{"family":"Stamatoyannopoulos","given":"John A."},{"family":"Wang","given":"Ting"},{"family":"Kellis","given":"Manolis"}],"issued":{"date-parts":[["2015",2]]}}}],"schema":"https://github.com/citation-style-language/schema/raw/master/csl-citation.json"} </w:instrText>
            </w:r>
            <w:r w:rsidRPr="00E70A8B">
              <w:rPr>
                <w:rFonts w:ascii="Arial" w:hAnsi="Arial" w:cs="Arial"/>
              </w:rPr>
              <w:fldChar w:fldCharType="separate"/>
            </w:r>
            <w:bookmarkStart w:id="17" w:name="__Fieldmark__136_2281253091"/>
            <w:bookmarkStart w:id="18" w:name="__Fieldmark__138_3451003990"/>
            <w:r w:rsidR="004A7EB4">
              <w:rPr>
                <w:rFonts w:ascii="Arial" w:hAnsi="Arial" w:cs="Arial"/>
                <w:sz w:val="18"/>
                <w:szCs w:val="18"/>
                <w:lang w:val="en-GB"/>
              </w:rPr>
              <w:t>[7]</w:t>
            </w:r>
            <w:r w:rsidRPr="00E70A8B">
              <w:rPr>
                <w:rFonts w:ascii="Arial" w:hAnsi="Arial" w:cs="Arial"/>
              </w:rPr>
              <w:fldChar w:fldCharType="end"/>
            </w:r>
            <w:bookmarkEnd w:id="17"/>
            <w:bookmarkEnd w:id="18"/>
          </w:p>
        </w:tc>
      </w:tr>
      <w:tr w:rsidR="00514A54" w:rsidRPr="00E70A8B" w14:paraId="4D48E738" w14:textId="77777777">
        <w:tc>
          <w:tcPr>
            <w:tcW w:w="2382" w:type="dxa"/>
            <w:tcBorders>
              <w:top w:val="single" w:sz="6" w:space="0" w:color="000000"/>
              <w:bottom w:val="single" w:sz="6" w:space="0" w:color="000000"/>
            </w:tcBorders>
            <w:shd w:val="clear" w:color="auto" w:fill="auto"/>
          </w:tcPr>
          <w:p w14:paraId="0A19A453"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Transcribed</w:t>
            </w:r>
          </w:p>
        </w:tc>
        <w:tc>
          <w:tcPr>
            <w:tcW w:w="3250" w:type="dxa"/>
            <w:vMerge/>
            <w:tcBorders>
              <w:top w:val="single" w:sz="6" w:space="0" w:color="000000"/>
              <w:bottom w:val="single" w:sz="6" w:space="0" w:color="000000"/>
            </w:tcBorders>
            <w:shd w:val="clear" w:color="auto" w:fill="auto"/>
          </w:tcPr>
          <w:p w14:paraId="14C1AD4A" w14:textId="77777777" w:rsidR="00514A54" w:rsidRPr="00E70A8B" w:rsidRDefault="00514A54">
            <w:pPr>
              <w:pStyle w:val="TableContents"/>
              <w:snapToGrid w:val="0"/>
              <w:rPr>
                <w:rFonts w:ascii="Arial" w:hAnsi="Arial" w:cs="Arial"/>
                <w:color w:val="000000"/>
                <w:sz w:val="18"/>
                <w:szCs w:val="18"/>
                <w:lang w:val="en-GB"/>
              </w:rPr>
            </w:pPr>
          </w:p>
        </w:tc>
        <w:tc>
          <w:tcPr>
            <w:tcW w:w="1983" w:type="dxa"/>
            <w:vMerge/>
            <w:tcBorders>
              <w:top w:val="single" w:sz="6" w:space="0" w:color="000000"/>
              <w:bottom w:val="single" w:sz="6" w:space="0" w:color="000000"/>
            </w:tcBorders>
            <w:shd w:val="clear" w:color="auto" w:fill="auto"/>
            <w:vAlign w:val="center"/>
          </w:tcPr>
          <w:p w14:paraId="6521BF01" w14:textId="77777777" w:rsidR="00514A54" w:rsidRPr="00E70A8B" w:rsidRDefault="00514A54">
            <w:pPr>
              <w:pStyle w:val="TableContents"/>
              <w:snapToGrid w:val="0"/>
              <w:jc w:val="center"/>
              <w:rPr>
                <w:rFonts w:ascii="Arial" w:hAnsi="Arial" w:cs="Arial"/>
                <w:color w:val="000000"/>
                <w:sz w:val="18"/>
                <w:szCs w:val="18"/>
                <w:lang w:val="en-GB"/>
              </w:rPr>
            </w:pPr>
          </w:p>
        </w:tc>
        <w:tc>
          <w:tcPr>
            <w:tcW w:w="1315" w:type="dxa"/>
            <w:tcBorders>
              <w:top w:val="single" w:sz="6" w:space="0" w:color="000000"/>
              <w:bottom w:val="single" w:sz="6" w:space="0" w:color="000000"/>
            </w:tcBorders>
            <w:shd w:val="clear" w:color="auto" w:fill="auto"/>
          </w:tcPr>
          <w:p w14:paraId="5AA9825F"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Discrete</w:t>
            </w:r>
          </w:p>
        </w:tc>
        <w:tc>
          <w:tcPr>
            <w:tcW w:w="1042" w:type="dxa"/>
            <w:tcBorders>
              <w:top w:val="single" w:sz="6" w:space="0" w:color="000000"/>
              <w:bottom w:val="single" w:sz="6" w:space="0" w:color="000000"/>
            </w:tcBorders>
            <w:shd w:val="clear" w:color="auto" w:fill="auto"/>
          </w:tcPr>
          <w:p w14:paraId="33FB5DC4" w14:textId="0CD0D3C5" w:rsidR="00514A54" w:rsidRPr="00E70A8B" w:rsidRDefault="00A80BB8">
            <w:pPr>
              <w:pStyle w:val="TableContents"/>
              <w:rPr>
                <w:rFonts w:ascii="Arial" w:hAnsi="Arial" w:cs="Arial"/>
              </w:rPr>
            </w:pPr>
            <w:r w:rsidRPr="00E70A8B">
              <w:rPr>
                <w:rFonts w:ascii="Arial" w:hAnsi="Arial" w:cs="Arial"/>
              </w:rPr>
              <w:fldChar w:fldCharType="begin"/>
            </w:r>
            <w:r w:rsidR="004A7EB4">
              <w:rPr>
                <w:rFonts w:ascii="Arial" w:hAnsi="Arial" w:cs="Arial"/>
              </w:rPr>
              <w:instrText xml:space="preserve"> ADDIN ZOTERO_ITEM CSL_CITATION {"citationID":"F54BGkjK","properties":{"formattedCitation":"[7]","plainCitation":"[7]","noteIndex":0},"citationItems":[{"id":4530,"uris":["http://zotero.org/groups/2472009/items/TS46GUF3"],"uri":["http://zotero.org/groups/2472009/items/TS46GUF3"],"itemData":{"id":4530,"type":"article-journal","abstract":"This study describes the integrative analysis of 111 reference human epigenomes, profiled for histone modification patterns, DNA accessibility, DNA methylation and RNA expression; the results annotate candidate regulatory elements in diverse tissues and cell types, their candidate regulators, and the set of human traits for which they show genetic variant enrichment, providing a resource for interpreting the molecular basis of human disease.","container-title":"Nature","DOI":"10.1038/nature14248","ISSN":"1476-4687","issue":"7539","journalAbbreviation":"Nature","language":"en","note":"number: 7539\npublisher: Nature Publishing Group","page":"317-330","source":"www.nature.com","title":"Integrative analysis of 111 reference human epigenomes","volume":"518","author":[{"family":"Kundaje","given":"Anshul"},{"family":"Meuleman","given":"Wouter"},{"family":"Ernst","given":"Jason"},{"family":"Bilenky","given":"Misha"},{"family":"Yen","given":"Angela"},{"family":"Heravi-Moussavi","given":"Alireza"},{"family":"Kheradpour","given":"Pouya"},{"family":"Zhang","given":"Zhizhuo"},{"family":"Wang","given":"Jianrong"},{"family":"Ziller","given":"Michael J."},{"family":"Amin","given":"Viren"},{"family":"Whitaker","given":"John W."},{"family":"Schultz","given":"Matthew D."},{"family":"Ward","given":"Lucas D."},{"family":"Sarkar","given":"Abhishek"},{"family":"Quon","given":"Gerald"},{"family":"Sandstrom","given":"Richard S."},{"family":"Eaton","given":"Matthew L."},{"family":"Wu","given":"Yi-Chieh"},{"family":"Pfenning","given":"Andreas R."},{"family":"Wang","given":"Xinchen"},{"family":"Claussnitzer","given":"Melina"},{"family":"Liu","given":"Yaping"},{"family":"Coarfa","given":"Cristian"},{"family":"Harris","given":"R. Alan"},{"family":"Shoresh","given":"Noam"},{"family":"Epstein","given":"Charles B."},{"family":"Gjoneska","given":"Elizabeta"},{"family":"Leung","given":"Danny"},{"family":"Xie","given":"Wei"},{"family":"Hawkins","given":"R. David"},{"family":"Lister","given":"Ryan"},{"family":"Hong","given":"Chibo"},{"family":"Gascard","given":"Philippe"},{"family":"Mungall","given":"Andrew J."},{"family":"Moore","given":"Richard"},{"family":"Chuah","given":"Eric"},{"family":"Tam","given":"Angela"},{"family":"Canfield","given":"Theresa K."},{"family":"Hansen","given":"R. Scott"},{"family":"Kaul","given":"Rajinder"},{"family":"Sabo","given":"Peter J."},{"family":"Bansal","given":"Mukul S."},{"family":"Carles","given":"Annaick"},{"family":"Dixon","given":"Jesse R."},{"family":"Farh","given":"Kai-How"},{"family":"Feizi","given":"Soheil"},{"family":"Karlic","given":"Rosa"},{"family":"Kim","given":"Ah-Ram"},{"family":"Kulkarni","given":"Ashwinikumar"},{"family":"Li","given":"Daofeng"},{"family":"Lowdon","given":"Rebecca"},{"family":"Elliott","given":"GiNell"},{"family":"Mercer","given":"Tim R."},{"family":"Neph","given":"Shane J."},{"family":"Onuchic","given":"Vitor"},{"family":"Polak","given":"Paz"},{"family":"Rajagopal","given":"Nisha"},{"family":"Ray","given":"Pradipta"},{"family":"Sallari","given":"Richard C."},{"family":"Siebenthall","given":"Kyle T."},{"family":"Sinnott-Armstrong","given":"Nicholas A."},{"family":"Stevens","given":"Michael"},{"family":"Thurman","given":"Robert E."},{"family":"Wu","given":"Jie"},{"family":"Zhang","given":"Bo"},{"family":"Zhou","given":"Xin"},{"family":"Beaudet","given":"Arthur E."},{"family":"Boyer","given":"Laurie A."},{"family":"Jager","given":"Philip L. De"},{"family":"Farnham","given":"Peggy J."},{"family":"Fisher","given":"Susan J."},{"family":"Haussler","given":"David"},{"family":"Jones","given":"Steven J. M."},{"family":"Li","given":"Wei"},{"family":"Marra","given":"Marco A."},{"family":"McManus","given":"Michael T."},{"family":"Sunyaev","given":"Shamil"},{"family":"Thomson","given":"James A."},{"family":"Tlsty","given":"Thea D."},{"family":"Tsai","given":"Li-Huei"},{"family":"Wang","given":"Wei"},{"family":"Waterland","given":"Robert A."},{"family":"Zhang","given":"Michael Q."},{"family":"Chadwick","given":"Lisa H."},{"family":"Bernstein","given":"Bradley E."},{"family":"Costello","given":"Joseph F."},{"family":"Ecker","given":"Joseph R."},{"family":"Hirst","given":"Martin"},{"family":"Meissner","given":"Alexander"},{"family":"Milosavljevic","given":"Aleksandar"},{"family":"Ren","given":"Bing"},{"family":"Stamatoyannopoulos","given":"John A."},{"family":"Wang","given":"Ting"},{"family":"Kellis","given":"Manolis"}],"issued":{"date-parts":[["2015",2]]}}}],"schema":"https://github.com/citation-style-language/schema/raw/master/csl-citation.json"} </w:instrText>
            </w:r>
            <w:r w:rsidRPr="00E70A8B">
              <w:rPr>
                <w:rFonts w:ascii="Arial" w:hAnsi="Arial" w:cs="Arial"/>
              </w:rPr>
              <w:fldChar w:fldCharType="separate"/>
            </w:r>
            <w:bookmarkStart w:id="19" w:name="__Fieldmark__145_2281253091"/>
            <w:bookmarkStart w:id="20" w:name="__Fieldmark__145_3451003990"/>
            <w:r w:rsidR="004A7EB4">
              <w:rPr>
                <w:rFonts w:ascii="Arial" w:hAnsi="Arial" w:cs="Arial"/>
                <w:sz w:val="18"/>
                <w:szCs w:val="18"/>
                <w:lang w:val="en-GB"/>
              </w:rPr>
              <w:t>[7]</w:t>
            </w:r>
            <w:r w:rsidRPr="00E70A8B">
              <w:rPr>
                <w:rFonts w:ascii="Arial" w:hAnsi="Arial" w:cs="Arial"/>
              </w:rPr>
              <w:fldChar w:fldCharType="end"/>
            </w:r>
            <w:bookmarkEnd w:id="19"/>
            <w:bookmarkEnd w:id="20"/>
          </w:p>
        </w:tc>
      </w:tr>
      <w:tr w:rsidR="00514A54" w:rsidRPr="00E70A8B" w14:paraId="14AE070F" w14:textId="77777777">
        <w:tc>
          <w:tcPr>
            <w:tcW w:w="2382" w:type="dxa"/>
            <w:tcBorders>
              <w:top w:val="single" w:sz="6" w:space="0" w:color="000000"/>
              <w:bottom w:val="single" w:sz="6" w:space="0" w:color="000000"/>
            </w:tcBorders>
            <w:shd w:val="clear" w:color="auto" w:fill="auto"/>
          </w:tcPr>
          <w:p w14:paraId="00DB1FF9"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Enhancer</w:t>
            </w:r>
          </w:p>
        </w:tc>
        <w:tc>
          <w:tcPr>
            <w:tcW w:w="3250" w:type="dxa"/>
            <w:vMerge/>
            <w:tcBorders>
              <w:top w:val="single" w:sz="6" w:space="0" w:color="000000"/>
              <w:bottom w:val="single" w:sz="6" w:space="0" w:color="000000"/>
            </w:tcBorders>
            <w:shd w:val="clear" w:color="auto" w:fill="auto"/>
          </w:tcPr>
          <w:p w14:paraId="716631A7" w14:textId="77777777" w:rsidR="00514A54" w:rsidRPr="00E70A8B" w:rsidRDefault="00514A54">
            <w:pPr>
              <w:pStyle w:val="TableContents"/>
              <w:snapToGrid w:val="0"/>
              <w:rPr>
                <w:rFonts w:ascii="Arial" w:hAnsi="Arial" w:cs="Arial"/>
                <w:color w:val="000000"/>
                <w:sz w:val="18"/>
                <w:szCs w:val="18"/>
                <w:lang w:val="en-GB"/>
              </w:rPr>
            </w:pPr>
          </w:p>
        </w:tc>
        <w:tc>
          <w:tcPr>
            <w:tcW w:w="1983" w:type="dxa"/>
            <w:vMerge/>
            <w:tcBorders>
              <w:top w:val="single" w:sz="6" w:space="0" w:color="000000"/>
              <w:bottom w:val="single" w:sz="6" w:space="0" w:color="000000"/>
            </w:tcBorders>
            <w:shd w:val="clear" w:color="auto" w:fill="auto"/>
            <w:vAlign w:val="center"/>
          </w:tcPr>
          <w:p w14:paraId="788BB539" w14:textId="77777777" w:rsidR="00514A54" w:rsidRPr="00E70A8B" w:rsidRDefault="00514A54">
            <w:pPr>
              <w:pStyle w:val="TableContents"/>
              <w:snapToGrid w:val="0"/>
              <w:jc w:val="center"/>
              <w:rPr>
                <w:rFonts w:ascii="Arial" w:hAnsi="Arial" w:cs="Arial"/>
                <w:color w:val="000000"/>
                <w:sz w:val="18"/>
                <w:szCs w:val="18"/>
                <w:lang w:val="en-GB"/>
              </w:rPr>
            </w:pPr>
          </w:p>
        </w:tc>
        <w:tc>
          <w:tcPr>
            <w:tcW w:w="1315" w:type="dxa"/>
            <w:tcBorders>
              <w:top w:val="single" w:sz="6" w:space="0" w:color="000000"/>
              <w:bottom w:val="single" w:sz="6" w:space="0" w:color="000000"/>
            </w:tcBorders>
            <w:shd w:val="clear" w:color="auto" w:fill="auto"/>
          </w:tcPr>
          <w:p w14:paraId="22B4441E"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Discrete</w:t>
            </w:r>
          </w:p>
        </w:tc>
        <w:tc>
          <w:tcPr>
            <w:tcW w:w="1042" w:type="dxa"/>
            <w:tcBorders>
              <w:top w:val="single" w:sz="6" w:space="0" w:color="000000"/>
              <w:bottom w:val="single" w:sz="6" w:space="0" w:color="000000"/>
            </w:tcBorders>
            <w:shd w:val="clear" w:color="auto" w:fill="auto"/>
          </w:tcPr>
          <w:p w14:paraId="78A608D7" w14:textId="4D962FA2" w:rsidR="00514A54" w:rsidRPr="00E70A8B" w:rsidRDefault="00A80BB8">
            <w:pPr>
              <w:pStyle w:val="TableContents"/>
              <w:rPr>
                <w:rFonts w:ascii="Arial" w:hAnsi="Arial" w:cs="Arial"/>
              </w:rPr>
            </w:pPr>
            <w:r w:rsidRPr="00E70A8B">
              <w:rPr>
                <w:rFonts w:ascii="Arial" w:hAnsi="Arial" w:cs="Arial"/>
              </w:rPr>
              <w:fldChar w:fldCharType="begin"/>
            </w:r>
            <w:r w:rsidR="004A7EB4">
              <w:rPr>
                <w:rFonts w:ascii="Arial" w:hAnsi="Arial" w:cs="Arial"/>
              </w:rPr>
              <w:instrText xml:space="preserve"> ADDIN ZOTERO_ITEM CSL_CITATION {"citationID":"lLmJDlqI","properties":{"formattedCitation":"[7]","plainCitation":"[7]","noteIndex":0},"citationItems":[{"id":4530,"uris":["http://zotero.org/groups/2472009/items/TS46GUF3"],"uri":["http://zotero.org/groups/2472009/items/TS46GUF3"],"itemData":{"id":4530,"type":"article-journal","abstract":"This study describes the integrative analysis of 111 reference human epigenomes, profiled for histone modification patterns, DNA accessibility, DNA methylation and RNA expression; the results annotate candidate regulatory elements in diverse tissues and cell types, their candidate regulators, and the set of human traits for which they show genetic variant enrichment, providing a resource for interpreting the molecular basis of human disease.","container-title":"Nature","DOI":"10.1038/nature14248","ISSN":"1476-4687","issue":"7539","journalAbbreviation":"Nature","language":"en","note":"number: 7539\npublisher: Nature Publishing Group","page":"317-330","source":"www.nature.com","title":"Integrative analysis of 111 reference human epigenomes","volume":"518","author":[{"family":"Kundaje","given":"Anshul"},{"family":"Meuleman","given":"Wouter"},{"family":"Ernst","given":"Jason"},{"family":"Bilenky","given":"Misha"},{"family":"Yen","given":"Angela"},{"family":"Heravi-Moussavi","given":"Alireza"},{"family":"Kheradpour","given":"Pouya"},{"family":"Zhang","given":"Zhizhuo"},{"family":"Wang","given":"Jianrong"},{"family":"Ziller","given":"Michael J."},{"family":"Amin","given":"Viren"},{"family":"Whitaker","given":"John W."},{"family":"Schultz","given":"Matthew D."},{"family":"Ward","given":"Lucas D."},{"family":"Sarkar","given":"Abhishek"},{"family":"Quon","given":"Gerald"},{"family":"Sandstrom","given":"Richard S."},{"family":"Eaton","given":"Matthew L."},{"family":"Wu","given":"Yi-Chieh"},{"family":"Pfenning","given":"Andreas R."},{"family":"Wang","given":"Xinchen"},{"family":"Claussnitzer","given":"Melina"},{"family":"Liu","given":"Yaping"},{"family":"Coarfa","given":"Cristian"},{"family":"Harris","given":"R. Alan"},{"family":"Shoresh","given":"Noam"},{"family":"Epstein","given":"Charles B."},{"family":"Gjoneska","given":"Elizabeta"},{"family":"Leung","given":"Danny"},{"family":"Xie","given":"Wei"},{"family":"Hawkins","given":"R. David"},{"family":"Lister","given":"Ryan"},{"family":"Hong","given":"Chibo"},{"family":"Gascard","given":"Philippe"},{"family":"Mungall","given":"Andrew J."},{"family":"Moore","given":"Richard"},{"family":"Chuah","given":"Eric"},{"family":"Tam","given":"Angela"},{"family":"Canfield","given":"Theresa K."},{"family":"Hansen","given":"R. Scott"},{"family":"Kaul","given":"Rajinder"},{"family":"Sabo","given":"Peter J."},{"family":"Bansal","given":"Mukul S."},{"family":"Carles","given":"Annaick"},{"family":"Dixon","given":"Jesse R."},{"family":"Farh","given":"Kai-How"},{"family":"Feizi","given":"Soheil"},{"family":"Karlic","given":"Rosa"},{"family":"Kim","given":"Ah-Ram"},{"family":"Kulkarni","given":"Ashwinikumar"},{"family":"Li","given":"Daofeng"},{"family":"Lowdon","given":"Rebecca"},{"family":"Elliott","given":"GiNell"},{"family":"Mercer","given":"Tim R."},{"family":"Neph","given":"Shane J."},{"family":"Onuchic","given":"Vitor"},{"family":"Polak","given":"Paz"},{"family":"Rajagopal","given":"Nisha"},{"family":"Ray","given":"Pradipta"},{"family":"Sallari","given":"Richard C."},{"family":"Siebenthall","given":"Kyle T."},{"family":"Sinnott-Armstrong","given":"Nicholas A."},{"family":"Stevens","given":"Michael"},{"family":"Thurman","given":"Robert E."},{"family":"Wu","given":"Jie"},{"family":"Zhang","given":"Bo"},{"family":"Zhou","given":"Xin"},{"family":"Beaudet","given":"Arthur E."},{"family":"Boyer","given":"Laurie A."},{"family":"Jager","given":"Philip L. De"},{"family":"Farnham","given":"Peggy J."},{"family":"Fisher","given":"Susan J."},{"family":"Haussler","given":"David"},{"family":"Jones","given":"Steven J. M."},{"family":"Li","given":"Wei"},{"family":"Marra","given":"Marco A."},{"family":"McManus","given":"Michael T."},{"family":"Sunyaev","given":"Shamil"},{"family":"Thomson","given":"James A."},{"family":"Tlsty","given":"Thea D."},{"family":"Tsai","given":"Li-Huei"},{"family":"Wang","given":"Wei"},{"family":"Waterland","given":"Robert A."},{"family":"Zhang","given":"Michael Q."},{"family":"Chadwick","given":"Lisa H."},{"family":"Bernstein","given":"Bradley E."},{"family":"Costello","given":"Joseph F."},{"family":"Ecker","given":"Joseph R."},{"family":"Hirst","given":"Martin"},{"family":"Meissner","given":"Alexander"},{"family":"Milosavljevic","given":"Aleksandar"},{"family":"Ren","given":"Bing"},{"family":"Stamatoyannopoulos","given":"John A."},{"family":"Wang","given":"Ting"},{"family":"Kellis","given":"Manolis"}],"issued":{"date-parts":[["2015",2]]}}}],"schema":"https://github.com/citation-style-language/schema/raw/master/csl-citation.json"} </w:instrText>
            </w:r>
            <w:r w:rsidRPr="00E70A8B">
              <w:rPr>
                <w:rFonts w:ascii="Arial" w:hAnsi="Arial" w:cs="Arial"/>
              </w:rPr>
              <w:fldChar w:fldCharType="separate"/>
            </w:r>
            <w:bookmarkStart w:id="21" w:name="__Fieldmark__154_2281253091"/>
            <w:bookmarkStart w:id="22" w:name="__Fieldmark__152_3451003990"/>
            <w:r w:rsidR="004A7EB4">
              <w:rPr>
                <w:rFonts w:ascii="Arial" w:hAnsi="Arial" w:cs="Arial"/>
                <w:sz w:val="18"/>
                <w:szCs w:val="18"/>
                <w:lang w:val="en-GB"/>
              </w:rPr>
              <w:t>[7]</w:t>
            </w:r>
            <w:r w:rsidRPr="00E70A8B">
              <w:rPr>
                <w:rFonts w:ascii="Arial" w:hAnsi="Arial" w:cs="Arial"/>
              </w:rPr>
              <w:fldChar w:fldCharType="end"/>
            </w:r>
            <w:bookmarkEnd w:id="21"/>
            <w:bookmarkEnd w:id="22"/>
          </w:p>
        </w:tc>
      </w:tr>
      <w:tr w:rsidR="00514A54" w:rsidRPr="00E70A8B" w14:paraId="79339233" w14:textId="77777777">
        <w:tc>
          <w:tcPr>
            <w:tcW w:w="2382" w:type="dxa"/>
            <w:tcBorders>
              <w:top w:val="single" w:sz="6" w:space="0" w:color="000000"/>
              <w:bottom w:val="single" w:sz="6" w:space="0" w:color="000000"/>
            </w:tcBorders>
            <w:shd w:val="clear" w:color="auto" w:fill="auto"/>
          </w:tcPr>
          <w:p w14:paraId="7351941A"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ZNF Genes &amp; repeats</w:t>
            </w:r>
          </w:p>
        </w:tc>
        <w:tc>
          <w:tcPr>
            <w:tcW w:w="3250" w:type="dxa"/>
            <w:vMerge/>
            <w:tcBorders>
              <w:top w:val="single" w:sz="6" w:space="0" w:color="000000"/>
              <w:bottom w:val="single" w:sz="6" w:space="0" w:color="000000"/>
            </w:tcBorders>
            <w:shd w:val="clear" w:color="auto" w:fill="auto"/>
          </w:tcPr>
          <w:p w14:paraId="1BAB987E" w14:textId="77777777" w:rsidR="00514A54" w:rsidRPr="00E70A8B" w:rsidRDefault="00514A54">
            <w:pPr>
              <w:pStyle w:val="TableContents"/>
              <w:snapToGrid w:val="0"/>
              <w:rPr>
                <w:rFonts w:ascii="Arial" w:hAnsi="Arial" w:cs="Arial"/>
                <w:color w:val="000000"/>
                <w:sz w:val="18"/>
                <w:szCs w:val="18"/>
                <w:lang w:val="en-GB"/>
              </w:rPr>
            </w:pPr>
          </w:p>
        </w:tc>
        <w:tc>
          <w:tcPr>
            <w:tcW w:w="1983" w:type="dxa"/>
            <w:vMerge/>
            <w:tcBorders>
              <w:top w:val="single" w:sz="6" w:space="0" w:color="000000"/>
              <w:bottom w:val="single" w:sz="6" w:space="0" w:color="000000"/>
            </w:tcBorders>
            <w:shd w:val="clear" w:color="auto" w:fill="auto"/>
            <w:vAlign w:val="center"/>
          </w:tcPr>
          <w:p w14:paraId="2105D4BF" w14:textId="77777777" w:rsidR="00514A54" w:rsidRPr="00E70A8B" w:rsidRDefault="00514A54">
            <w:pPr>
              <w:pStyle w:val="TableContents"/>
              <w:snapToGrid w:val="0"/>
              <w:jc w:val="center"/>
              <w:rPr>
                <w:rFonts w:ascii="Arial" w:hAnsi="Arial" w:cs="Arial"/>
                <w:color w:val="000000"/>
                <w:sz w:val="18"/>
                <w:szCs w:val="18"/>
                <w:lang w:val="en-GB"/>
              </w:rPr>
            </w:pPr>
          </w:p>
        </w:tc>
        <w:tc>
          <w:tcPr>
            <w:tcW w:w="1315" w:type="dxa"/>
            <w:tcBorders>
              <w:top w:val="single" w:sz="6" w:space="0" w:color="000000"/>
              <w:bottom w:val="single" w:sz="6" w:space="0" w:color="000000"/>
            </w:tcBorders>
            <w:shd w:val="clear" w:color="auto" w:fill="auto"/>
          </w:tcPr>
          <w:p w14:paraId="77BF54FC"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Discrete</w:t>
            </w:r>
          </w:p>
        </w:tc>
        <w:tc>
          <w:tcPr>
            <w:tcW w:w="1042" w:type="dxa"/>
            <w:tcBorders>
              <w:top w:val="single" w:sz="6" w:space="0" w:color="000000"/>
              <w:bottom w:val="single" w:sz="6" w:space="0" w:color="000000"/>
            </w:tcBorders>
            <w:shd w:val="clear" w:color="auto" w:fill="auto"/>
          </w:tcPr>
          <w:p w14:paraId="022C5132" w14:textId="7A752481" w:rsidR="00514A54" w:rsidRPr="00E70A8B" w:rsidRDefault="00A80BB8">
            <w:pPr>
              <w:pStyle w:val="TableContents"/>
              <w:rPr>
                <w:rFonts w:ascii="Arial" w:hAnsi="Arial" w:cs="Arial"/>
              </w:rPr>
            </w:pPr>
            <w:r w:rsidRPr="00E70A8B">
              <w:rPr>
                <w:rFonts w:ascii="Arial" w:hAnsi="Arial" w:cs="Arial"/>
              </w:rPr>
              <w:fldChar w:fldCharType="begin"/>
            </w:r>
            <w:r w:rsidR="004A7EB4">
              <w:rPr>
                <w:rFonts w:ascii="Arial" w:hAnsi="Arial" w:cs="Arial"/>
              </w:rPr>
              <w:instrText xml:space="preserve"> ADDIN ZOTERO_ITEM CSL_CITATION {"citationID":"g5cBpB0P","properties":{"formattedCitation":"[7]","plainCitation":"[7]","noteIndex":0},"citationItems":[{"id":4530,"uris":["http://zotero.org/groups/2472009/items/TS46GUF3"],"uri":["http://zotero.org/groups/2472009/items/TS46GUF3"],"itemData":{"id":4530,"type":"article-journal","abstract":"This study describes the integrative analysis of 111 reference human epigenomes, profiled for histone modification patterns, DNA accessibility, DNA methylation and RNA expression; the results annotate candidate regulatory elements in diverse tissues and cell types, their candidate regulators, and the set of human traits for which they show genetic variant enrichment, providing a resource for interpreting the molecular basis of human disease.","container-title":"Nature","DOI":"10.1038/nature14248","ISSN":"1476-4687","issue":"7539","journalAbbreviation":"Nature","language":"en","note":"number: 7539\npublisher: Nature Publishing Group","page":"317-330","source":"www.nature.com","title":"Integrative analysis of 111 reference human epigenomes","volume":"518","author":[{"family":"Kundaje","given":"Anshul"},{"family":"Meuleman","given":"Wouter"},{"family":"Ernst","given":"Jason"},{"family":"Bilenky","given":"Misha"},{"family":"Yen","given":"Angela"},{"family":"Heravi-Moussavi","given":"Alireza"},{"family":"Kheradpour","given":"Pouya"},{"family":"Zhang","given":"Zhizhuo"},{"family":"Wang","given":"Jianrong"},{"family":"Ziller","given":"Michael J."},{"family":"Amin","given":"Viren"},{"family":"Whitaker","given":"John W."},{"family":"Schultz","given":"Matthew D."},{"family":"Ward","given":"Lucas D."},{"family":"Sarkar","given":"Abhishek"},{"family":"Quon","given":"Gerald"},{"family":"Sandstrom","given":"Richard S."},{"family":"Eaton","given":"Matthew L."},{"family":"Wu","given":"Yi-Chieh"},{"family":"Pfenning","given":"Andreas R."},{"family":"Wang","given":"Xinchen"},{"family":"Claussnitzer","given":"Melina"},{"family":"Liu","given":"Yaping"},{"family":"Coarfa","given":"Cristian"},{"family":"Harris","given":"R. Alan"},{"family":"Shoresh","given":"Noam"},{"family":"Epstein","given":"Charles B."},{"family":"Gjoneska","given":"Elizabeta"},{"family":"Leung","given":"Danny"},{"family":"Xie","given":"Wei"},{"family":"Hawkins","given":"R. David"},{"family":"Lister","given":"Ryan"},{"family":"Hong","given":"Chibo"},{"family":"Gascard","given":"Philippe"},{"family":"Mungall","given":"Andrew J."},{"family":"Moore","given":"Richard"},{"family":"Chuah","given":"Eric"},{"family":"Tam","given":"Angela"},{"family":"Canfield","given":"Theresa K."},{"family":"Hansen","given":"R. Scott"},{"family":"Kaul","given":"Rajinder"},{"family":"Sabo","given":"Peter J."},{"family":"Bansal","given":"Mukul S."},{"family":"Carles","given":"Annaick"},{"family":"Dixon","given":"Jesse R."},{"family":"Farh","given":"Kai-How"},{"family":"Feizi","given":"Soheil"},{"family":"Karlic","given":"Rosa"},{"family":"Kim","given":"Ah-Ram"},{"family":"Kulkarni","given":"Ashwinikumar"},{"family":"Li","given":"Daofeng"},{"family":"Lowdon","given":"Rebecca"},{"family":"Elliott","given":"GiNell"},{"family":"Mercer","given":"Tim R."},{"family":"Neph","given":"Shane J."},{"family":"Onuchic","given":"Vitor"},{"family":"Polak","given":"Paz"},{"family":"Rajagopal","given":"Nisha"},{"family":"Ray","given":"Pradipta"},{"family":"Sallari","given":"Richard C."},{"family":"Siebenthall","given":"Kyle T."},{"family":"Sinnott-Armstrong","given":"Nicholas A."},{"family":"Stevens","given":"Michael"},{"family":"Thurman","given":"Robert E."},{"family":"Wu","given":"Jie"},{"family":"Zhang","given":"Bo"},{"family":"Zhou","given":"Xin"},{"family":"Beaudet","given":"Arthur E."},{"family":"Boyer","given":"Laurie A."},{"family":"Jager","given":"Philip L. De"},{"family":"Farnham","given":"Peggy J."},{"family":"Fisher","given":"Susan J."},{"family":"Haussler","given":"David"},{"family":"Jones","given":"Steven J. M."},{"family":"Li","given":"Wei"},{"family":"Marra","given":"Marco A."},{"family":"McManus","given":"Michael T."},{"family":"Sunyaev","given":"Shamil"},{"family":"Thomson","given":"James A."},{"family":"Tlsty","given":"Thea D."},{"family":"Tsai","given":"Li-Huei"},{"family":"Wang","given":"Wei"},{"family":"Waterland","given":"Robert A."},{"family":"Zhang","given":"Michael Q."},{"family":"Chadwick","given":"Lisa H."},{"family":"Bernstein","given":"Bradley E."},{"family":"Costello","given":"Joseph F."},{"family":"Ecker","given":"Joseph R."},{"family":"Hirst","given":"Martin"},{"family":"Meissner","given":"Alexander"},{"family":"Milosavljevic","given":"Aleksandar"},{"family":"Ren","given":"Bing"},{"family":"Stamatoyannopoulos","given":"John A."},{"family":"Wang","given":"Ting"},{"family":"Kellis","given":"Manolis"}],"issued":{"date-parts":[["2015",2]]}}}],"schema":"https://github.com/citation-style-language/schema/raw/master/csl-citation.json"} </w:instrText>
            </w:r>
            <w:r w:rsidRPr="00E70A8B">
              <w:rPr>
                <w:rFonts w:ascii="Arial" w:hAnsi="Arial" w:cs="Arial"/>
              </w:rPr>
              <w:fldChar w:fldCharType="separate"/>
            </w:r>
            <w:bookmarkStart w:id="23" w:name="__Fieldmark__163_2281253091"/>
            <w:bookmarkStart w:id="24" w:name="__Fieldmark__159_3451003990"/>
            <w:r w:rsidR="004A7EB4">
              <w:rPr>
                <w:rFonts w:ascii="Arial" w:hAnsi="Arial" w:cs="Arial"/>
                <w:sz w:val="18"/>
                <w:szCs w:val="18"/>
                <w:lang w:val="en-GB"/>
              </w:rPr>
              <w:t>[7]</w:t>
            </w:r>
            <w:r w:rsidRPr="00E70A8B">
              <w:rPr>
                <w:rFonts w:ascii="Arial" w:hAnsi="Arial" w:cs="Arial"/>
              </w:rPr>
              <w:fldChar w:fldCharType="end"/>
            </w:r>
            <w:bookmarkEnd w:id="23"/>
            <w:bookmarkEnd w:id="24"/>
          </w:p>
        </w:tc>
      </w:tr>
      <w:tr w:rsidR="00514A54" w:rsidRPr="00E70A8B" w14:paraId="38054A46" w14:textId="77777777">
        <w:tc>
          <w:tcPr>
            <w:tcW w:w="2382" w:type="dxa"/>
            <w:tcBorders>
              <w:top w:val="single" w:sz="6" w:space="0" w:color="000000"/>
              <w:bottom w:val="single" w:sz="6" w:space="0" w:color="000000"/>
            </w:tcBorders>
            <w:shd w:val="clear" w:color="auto" w:fill="auto"/>
          </w:tcPr>
          <w:p w14:paraId="4A7CA0B8"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Heterochromatin</w:t>
            </w:r>
          </w:p>
        </w:tc>
        <w:tc>
          <w:tcPr>
            <w:tcW w:w="3250" w:type="dxa"/>
            <w:vMerge/>
            <w:tcBorders>
              <w:top w:val="single" w:sz="6" w:space="0" w:color="000000"/>
              <w:bottom w:val="single" w:sz="6" w:space="0" w:color="000000"/>
            </w:tcBorders>
            <w:shd w:val="clear" w:color="auto" w:fill="auto"/>
          </w:tcPr>
          <w:p w14:paraId="2A2E9CDE" w14:textId="77777777" w:rsidR="00514A54" w:rsidRPr="00E70A8B" w:rsidRDefault="00514A54">
            <w:pPr>
              <w:pStyle w:val="TableContents"/>
              <w:snapToGrid w:val="0"/>
              <w:rPr>
                <w:rFonts w:ascii="Arial" w:hAnsi="Arial" w:cs="Arial"/>
                <w:color w:val="000000"/>
                <w:sz w:val="18"/>
                <w:szCs w:val="18"/>
                <w:lang w:val="en-GB"/>
              </w:rPr>
            </w:pPr>
          </w:p>
        </w:tc>
        <w:tc>
          <w:tcPr>
            <w:tcW w:w="1983" w:type="dxa"/>
            <w:vMerge/>
            <w:tcBorders>
              <w:top w:val="single" w:sz="6" w:space="0" w:color="000000"/>
              <w:bottom w:val="single" w:sz="6" w:space="0" w:color="000000"/>
            </w:tcBorders>
            <w:shd w:val="clear" w:color="auto" w:fill="auto"/>
            <w:vAlign w:val="center"/>
          </w:tcPr>
          <w:p w14:paraId="5944CB4F" w14:textId="77777777" w:rsidR="00514A54" w:rsidRPr="00E70A8B" w:rsidRDefault="00514A54">
            <w:pPr>
              <w:pStyle w:val="TableContents"/>
              <w:snapToGrid w:val="0"/>
              <w:jc w:val="center"/>
              <w:rPr>
                <w:rFonts w:ascii="Arial" w:hAnsi="Arial" w:cs="Arial"/>
                <w:color w:val="000000"/>
                <w:sz w:val="18"/>
                <w:szCs w:val="18"/>
                <w:lang w:val="en-GB"/>
              </w:rPr>
            </w:pPr>
          </w:p>
        </w:tc>
        <w:tc>
          <w:tcPr>
            <w:tcW w:w="1315" w:type="dxa"/>
            <w:tcBorders>
              <w:top w:val="single" w:sz="6" w:space="0" w:color="000000"/>
              <w:bottom w:val="single" w:sz="6" w:space="0" w:color="000000"/>
            </w:tcBorders>
            <w:shd w:val="clear" w:color="auto" w:fill="auto"/>
          </w:tcPr>
          <w:p w14:paraId="3F388DA9"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Discrete</w:t>
            </w:r>
          </w:p>
        </w:tc>
        <w:tc>
          <w:tcPr>
            <w:tcW w:w="1042" w:type="dxa"/>
            <w:tcBorders>
              <w:top w:val="single" w:sz="6" w:space="0" w:color="000000"/>
              <w:bottom w:val="single" w:sz="6" w:space="0" w:color="000000"/>
            </w:tcBorders>
            <w:shd w:val="clear" w:color="auto" w:fill="auto"/>
          </w:tcPr>
          <w:p w14:paraId="779F5ED0" w14:textId="0A1A2E96" w:rsidR="00514A54" w:rsidRPr="00E70A8B" w:rsidRDefault="00A80BB8">
            <w:pPr>
              <w:pStyle w:val="TableContents"/>
              <w:rPr>
                <w:rFonts w:ascii="Arial" w:hAnsi="Arial" w:cs="Arial"/>
              </w:rPr>
            </w:pPr>
            <w:r w:rsidRPr="00E70A8B">
              <w:rPr>
                <w:rFonts w:ascii="Arial" w:hAnsi="Arial" w:cs="Arial"/>
              </w:rPr>
              <w:fldChar w:fldCharType="begin"/>
            </w:r>
            <w:r w:rsidR="004A7EB4">
              <w:rPr>
                <w:rFonts w:ascii="Arial" w:hAnsi="Arial" w:cs="Arial"/>
              </w:rPr>
              <w:instrText xml:space="preserve"> ADDIN ZOTERO_ITEM CSL_CITATION {"citationID":"uBDMdD5S","properties":{"formattedCitation":"[7]","plainCitation":"[7]","noteIndex":0},"citationItems":[{"id":4530,"uris":["http://zotero.org/groups/2472009/items/TS46GUF3"],"uri":["http://zotero.org/groups/2472009/items/TS46GUF3"],"itemData":{"id":4530,"type":"article-journal","abstract":"This study describes the integrative analysis of 111 reference human epigenomes, profiled for histone modification patterns, DNA accessibility, DNA methylation and RNA expression; the results annotate candidate regulatory elements in diverse tissues and cell types, their candidate regulators, and the set of human traits for which they show genetic variant enrichment, providing a resource for interpreting the molecular basis of human disease.","container-title":"Nature","DOI":"10.1038/nature14248","ISSN":"1476-4687","issue":"7539","journalAbbreviation":"Nature","language":"en","note":"number: 7539\npublisher: Nature Publishing Group","page":"317-330","source":"www.nature.com","title":"Integrative analysis of 111 reference human epigenomes","volume":"518","author":[{"family":"Kundaje","given":"Anshul"},{"family":"Meuleman","given":"Wouter"},{"family":"Ernst","given":"Jason"},{"family":"Bilenky","given":"Misha"},{"family":"Yen","given":"Angela"},{"family":"Heravi-Moussavi","given":"Alireza"},{"family":"Kheradpour","given":"Pouya"},{"family":"Zhang","given":"Zhizhuo"},{"family":"Wang","given":"Jianrong"},{"family":"Ziller","given":"Michael J."},{"family":"Amin","given":"Viren"},{"family":"Whitaker","given":"John W."},{"family":"Schultz","given":"Matthew D."},{"family":"Ward","given":"Lucas D."},{"family":"Sarkar","given":"Abhishek"},{"family":"Quon","given":"Gerald"},{"family":"Sandstrom","given":"Richard S."},{"family":"Eaton","given":"Matthew L."},{"family":"Wu","given":"Yi-Chieh"},{"family":"Pfenning","given":"Andreas R."},{"family":"Wang","given":"Xinchen"},{"family":"Claussnitzer","given":"Melina"},{"family":"Liu","given":"Yaping"},{"family":"Coarfa","given":"Cristian"},{"family":"Harris","given":"R. Alan"},{"family":"Shoresh","given":"Noam"},{"family":"Epstein","given":"Charles B."},{"family":"Gjoneska","given":"Elizabeta"},{"family":"Leung","given":"Danny"},{"family":"Xie","given":"Wei"},{"family":"Hawkins","given":"R. David"},{"family":"Lister","given":"Ryan"},{"family":"Hong","given":"Chibo"},{"family":"Gascard","given":"Philippe"},{"family":"Mungall","given":"Andrew J."},{"family":"Moore","given":"Richard"},{"family":"Chuah","given":"Eric"},{"family":"Tam","given":"Angela"},{"family":"Canfield","given":"Theresa K."},{"family":"Hansen","given":"R. Scott"},{"family":"Kaul","given":"Rajinder"},{"family":"Sabo","given":"Peter J."},{"family":"Bansal","given":"Mukul S."},{"family":"Carles","given":"Annaick"},{"family":"Dixon","given":"Jesse R."},{"family":"Farh","given":"Kai-How"},{"family":"Feizi","given":"Soheil"},{"family":"Karlic","given":"Rosa"},{"family":"Kim","given":"Ah-Ram"},{"family":"Kulkarni","given":"Ashwinikumar"},{"family":"Li","given":"Daofeng"},{"family":"Lowdon","given":"Rebecca"},{"family":"Elliott","given":"GiNell"},{"family":"Mercer","given":"Tim R."},{"family":"Neph","given":"Shane J."},{"family":"Onuchic","given":"Vitor"},{"family":"Polak","given":"Paz"},{"family":"Rajagopal","given":"Nisha"},{"family":"Ray","given":"Pradipta"},{"family":"Sallari","given":"Richard C."},{"family":"Siebenthall","given":"Kyle T."},{"family":"Sinnott-Armstrong","given":"Nicholas A."},{"family":"Stevens","given":"Michael"},{"family":"Thurman","given":"Robert E."},{"family":"Wu","given":"Jie"},{"family":"Zhang","given":"Bo"},{"family":"Zhou","given":"Xin"},{"family":"Beaudet","given":"Arthur E."},{"family":"Boyer","given":"Laurie A."},{"family":"Jager","given":"Philip L. De"},{"family":"Farnham","given":"Peggy J."},{"family":"Fisher","given":"Susan J."},{"family":"Haussler","given":"David"},{"family":"Jones","given":"Steven J. M."},{"family":"Li","given":"Wei"},{"family":"Marra","given":"Marco A."},{"family":"McManus","given":"Michael T."},{"family":"Sunyaev","given":"Shamil"},{"family":"Thomson","given":"James A."},{"family":"Tlsty","given":"Thea D."},{"family":"Tsai","given":"Li-Huei"},{"family":"Wang","given":"Wei"},{"family":"Waterland","given":"Robert A."},{"family":"Zhang","given":"Michael Q."},{"family":"Chadwick","given":"Lisa H."},{"family":"Bernstein","given":"Bradley E."},{"family":"Costello","given":"Joseph F."},{"family":"Ecker","given":"Joseph R."},{"family":"Hirst","given":"Martin"},{"family":"Meissner","given":"Alexander"},{"family":"Milosavljevic","given":"Aleksandar"},{"family":"Ren","given":"Bing"},{"family":"Stamatoyannopoulos","given":"John A."},{"family":"Wang","given":"Ting"},{"family":"Kellis","given":"Manolis"}],"issued":{"date-parts":[["2015",2]]}}}],"schema":"https://github.com/citation-style-language/schema/raw/master/csl-citation.json"} </w:instrText>
            </w:r>
            <w:r w:rsidRPr="00E70A8B">
              <w:rPr>
                <w:rFonts w:ascii="Arial" w:hAnsi="Arial" w:cs="Arial"/>
              </w:rPr>
              <w:fldChar w:fldCharType="separate"/>
            </w:r>
            <w:bookmarkStart w:id="25" w:name="__Fieldmark__172_2281253091"/>
            <w:bookmarkStart w:id="26" w:name="__Fieldmark__166_3451003990"/>
            <w:r w:rsidR="004A7EB4">
              <w:rPr>
                <w:rFonts w:ascii="Arial" w:hAnsi="Arial" w:cs="Arial"/>
                <w:sz w:val="18"/>
                <w:szCs w:val="18"/>
                <w:lang w:val="en-GB"/>
              </w:rPr>
              <w:t>[7]</w:t>
            </w:r>
            <w:r w:rsidRPr="00E70A8B">
              <w:rPr>
                <w:rFonts w:ascii="Arial" w:hAnsi="Arial" w:cs="Arial"/>
              </w:rPr>
              <w:fldChar w:fldCharType="end"/>
            </w:r>
            <w:bookmarkEnd w:id="25"/>
            <w:bookmarkEnd w:id="26"/>
          </w:p>
        </w:tc>
      </w:tr>
      <w:tr w:rsidR="00514A54" w:rsidRPr="00E70A8B" w14:paraId="579E440F" w14:textId="77777777">
        <w:tc>
          <w:tcPr>
            <w:tcW w:w="2382" w:type="dxa"/>
            <w:tcBorders>
              <w:top w:val="single" w:sz="6" w:space="0" w:color="000000"/>
              <w:bottom w:val="single" w:sz="6" w:space="0" w:color="000000"/>
            </w:tcBorders>
            <w:shd w:val="clear" w:color="auto" w:fill="auto"/>
          </w:tcPr>
          <w:p w14:paraId="3DFF2AE2"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Repressed</w:t>
            </w:r>
          </w:p>
        </w:tc>
        <w:tc>
          <w:tcPr>
            <w:tcW w:w="3250" w:type="dxa"/>
            <w:vMerge/>
            <w:tcBorders>
              <w:top w:val="single" w:sz="6" w:space="0" w:color="000000"/>
              <w:bottom w:val="single" w:sz="6" w:space="0" w:color="000000"/>
            </w:tcBorders>
            <w:shd w:val="clear" w:color="auto" w:fill="auto"/>
          </w:tcPr>
          <w:p w14:paraId="011CF693" w14:textId="77777777" w:rsidR="00514A54" w:rsidRPr="00E70A8B" w:rsidRDefault="00514A54">
            <w:pPr>
              <w:pStyle w:val="TableContents"/>
              <w:snapToGrid w:val="0"/>
              <w:rPr>
                <w:rFonts w:ascii="Arial" w:hAnsi="Arial" w:cs="Arial"/>
                <w:color w:val="000000"/>
                <w:sz w:val="18"/>
                <w:szCs w:val="18"/>
                <w:lang w:val="en-GB"/>
              </w:rPr>
            </w:pPr>
          </w:p>
        </w:tc>
        <w:tc>
          <w:tcPr>
            <w:tcW w:w="1983" w:type="dxa"/>
            <w:vMerge/>
            <w:tcBorders>
              <w:top w:val="single" w:sz="6" w:space="0" w:color="000000"/>
              <w:bottom w:val="single" w:sz="6" w:space="0" w:color="000000"/>
            </w:tcBorders>
            <w:shd w:val="clear" w:color="auto" w:fill="auto"/>
            <w:vAlign w:val="center"/>
          </w:tcPr>
          <w:p w14:paraId="4F2C0A0B" w14:textId="77777777" w:rsidR="00514A54" w:rsidRPr="00E70A8B" w:rsidRDefault="00514A54">
            <w:pPr>
              <w:pStyle w:val="TableContents"/>
              <w:snapToGrid w:val="0"/>
              <w:jc w:val="center"/>
              <w:rPr>
                <w:rFonts w:ascii="Arial" w:hAnsi="Arial" w:cs="Arial"/>
                <w:color w:val="000000"/>
                <w:sz w:val="18"/>
                <w:szCs w:val="18"/>
                <w:lang w:val="en-GB"/>
              </w:rPr>
            </w:pPr>
          </w:p>
        </w:tc>
        <w:tc>
          <w:tcPr>
            <w:tcW w:w="1315" w:type="dxa"/>
            <w:tcBorders>
              <w:top w:val="single" w:sz="6" w:space="0" w:color="000000"/>
              <w:bottom w:val="single" w:sz="6" w:space="0" w:color="000000"/>
            </w:tcBorders>
            <w:shd w:val="clear" w:color="auto" w:fill="auto"/>
          </w:tcPr>
          <w:p w14:paraId="678A1B04"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Discrete</w:t>
            </w:r>
          </w:p>
        </w:tc>
        <w:tc>
          <w:tcPr>
            <w:tcW w:w="1042" w:type="dxa"/>
            <w:tcBorders>
              <w:top w:val="single" w:sz="6" w:space="0" w:color="000000"/>
              <w:bottom w:val="single" w:sz="6" w:space="0" w:color="000000"/>
            </w:tcBorders>
            <w:shd w:val="clear" w:color="auto" w:fill="auto"/>
          </w:tcPr>
          <w:p w14:paraId="383B57A6" w14:textId="523DBB7A" w:rsidR="00514A54" w:rsidRPr="00E70A8B" w:rsidRDefault="00A80BB8">
            <w:pPr>
              <w:pStyle w:val="TableContents"/>
              <w:rPr>
                <w:rFonts w:ascii="Arial" w:hAnsi="Arial" w:cs="Arial"/>
              </w:rPr>
            </w:pPr>
            <w:r w:rsidRPr="00E70A8B">
              <w:rPr>
                <w:rFonts w:ascii="Arial" w:hAnsi="Arial" w:cs="Arial"/>
              </w:rPr>
              <w:fldChar w:fldCharType="begin"/>
            </w:r>
            <w:r w:rsidR="004A7EB4">
              <w:rPr>
                <w:rFonts w:ascii="Arial" w:hAnsi="Arial" w:cs="Arial"/>
              </w:rPr>
              <w:instrText xml:space="preserve"> ADDIN ZOTERO_ITEM CSL_CITATION {"citationID":"A7HbQ2tG","properties":{"formattedCitation":"[7]","plainCitation":"[7]","noteIndex":0},"citationItems":[{"id":4530,"uris":["http://zotero.org/groups/2472009/items/TS46GUF3"],"uri":["http://zotero.org/groups/2472009/items/TS46GUF3"],"itemData":{"id":4530,"type":"article-journal","abstract":"This study describes the integrative analysis of 111 reference human epigenomes, profiled for histone modification patterns, DNA accessibility, DNA methylation and RNA expression; the results annotate candidate regulatory elements in diverse tissues and cell types, their candidate regulators, and the set of human traits for which they show genetic variant enrichment, providing a resource for interpreting the molecular basis of human disease.","container-title":"Nature","DOI":"10.1038/nature14248","ISSN":"1476-4687","issue":"7539","journalAbbreviation":"Nature","language":"en","note":"number: 7539\npublisher: Nature Publishing Group","page":"317-330","source":"www.nature.com","title":"Integrative analysis of 111 reference human epigenomes","volume":"518","author":[{"family":"Kundaje","given":"Anshul"},{"family":"Meuleman","given":"Wouter"},{"family":"Ernst","given":"Jason"},{"family":"Bilenky","given":"Misha"},{"family":"Yen","given":"Angela"},{"family":"Heravi-Moussavi","given":"Alireza"},{"family":"Kheradpour","given":"Pouya"},{"family":"Zhang","given":"Zhizhuo"},{"family":"Wang","given":"Jianrong"},{"family":"Ziller","given":"Michael J."},{"family":"Amin","given":"Viren"},{"family":"Whitaker","given":"John W."},{"family":"Schultz","given":"Matthew D."},{"family":"Ward","given":"Lucas D."},{"family":"Sarkar","given":"Abhishek"},{"family":"Quon","given":"Gerald"},{"family":"Sandstrom","given":"Richard S."},{"family":"Eaton","given":"Matthew L."},{"family":"Wu","given":"Yi-Chieh"},{"family":"Pfenning","given":"Andreas R."},{"family":"Wang","given":"Xinchen"},{"family":"Claussnitzer","given":"Melina"},{"family":"Liu","given":"Yaping"},{"family":"Coarfa","given":"Cristian"},{"family":"Harris","given":"R. Alan"},{"family":"Shoresh","given":"Noam"},{"family":"Epstein","given":"Charles B."},{"family":"Gjoneska","given":"Elizabeta"},{"family":"Leung","given":"Danny"},{"family":"Xie","given":"Wei"},{"family":"Hawkins","given":"R. David"},{"family":"Lister","given":"Ryan"},{"family":"Hong","given":"Chibo"},{"family":"Gascard","given":"Philippe"},{"family":"Mungall","given":"Andrew J."},{"family":"Moore","given":"Richard"},{"family":"Chuah","given":"Eric"},{"family":"Tam","given":"Angela"},{"family":"Canfield","given":"Theresa K."},{"family":"Hansen","given":"R. Scott"},{"family":"Kaul","given":"Rajinder"},{"family":"Sabo","given":"Peter J."},{"family":"Bansal","given":"Mukul S."},{"family":"Carles","given":"Annaick"},{"family":"Dixon","given":"Jesse R."},{"family":"Farh","given":"Kai-How"},{"family":"Feizi","given":"Soheil"},{"family":"Karlic","given":"Rosa"},{"family":"Kim","given":"Ah-Ram"},{"family":"Kulkarni","given":"Ashwinikumar"},{"family":"Li","given":"Daofeng"},{"family":"Lowdon","given":"Rebecca"},{"family":"Elliott","given":"GiNell"},{"family":"Mercer","given":"Tim R."},{"family":"Neph","given":"Shane J."},{"family":"Onuchic","given":"Vitor"},{"family":"Polak","given":"Paz"},{"family":"Rajagopal","given":"Nisha"},{"family":"Ray","given":"Pradipta"},{"family":"Sallari","given":"Richard C."},{"family":"Siebenthall","given":"Kyle T."},{"family":"Sinnott-Armstrong","given":"Nicholas A."},{"family":"Stevens","given":"Michael"},{"family":"Thurman","given":"Robert E."},{"family":"Wu","given":"Jie"},{"family":"Zhang","given":"Bo"},{"family":"Zhou","given":"Xin"},{"family":"Beaudet","given":"Arthur E."},{"family":"Boyer","given":"Laurie A."},{"family":"Jager","given":"Philip L. De"},{"family":"Farnham","given":"Peggy J."},{"family":"Fisher","given":"Susan J."},{"family":"Haussler","given":"David"},{"family":"Jones","given":"Steven J. M."},{"family":"Li","given":"Wei"},{"family":"Marra","given":"Marco A."},{"family":"McManus","given":"Michael T."},{"family":"Sunyaev","given":"Shamil"},{"family":"Thomson","given":"James A."},{"family":"Tlsty","given":"Thea D."},{"family":"Tsai","given":"Li-Huei"},{"family":"Wang","given":"Wei"},{"family":"Waterland","given":"Robert A."},{"family":"Zhang","given":"Michael Q."},{"family":"Chadwick","given":"Lisa H."},{"family":"Bernstein","given":"Bradley E."},{"family":"Costello","given":"Joseph F."},{"family":"Ecker","given":"Joseph R."},{"family":"Hirst","given":"Martin"},{"family":"Meissner","given":"Alexander"},{"family":"Milosavljevic","given":"Aleksandar"},{"family":"Ren","given":"Bing"},{"family":"Stamatoyannopoulos","given":"John A."},{"family":"Wang","given":"Ting"},{"family":"Kellis","given":"Manolis"}],"issued":{"date-parts":[["2015",2]]}}}],"schema":"https://github.com/citation-style-language/schema/raw/master/csl-citation.json"} </w:instrText>
            </w:r>
            <w:r w:rsidRPr="00E70A8B">
              <w:rPr>
                <w:rFonts w:ascii="Arial" w:hAnsi="Arial" w:cs="Arial"/>
              </w:rPr>
              <w:fldChar w:fldCharType="separate"/>
            </w:r>
            <w:bookmarkStart w:id="27" w:name="__Fieldmark__181_2281253091"/>
            <w:bookmarkStart w:id="28" w:name="__Fieldmark__173_3451003990"/>
            <w:r w:rsidR="004A7EB4">
              <w:rPr>
                <w:rFonts w:ascii="Arial" w:hAnsi="Arial" w:cs="Arial"/>
                <w:sz w:val="18"/>
                <w:szCs w:val="18"/>
                <w:lang w:val="en-GB"/>
              </w:rPr>
              <w:t>[7]</w:t>
            </w:r>
            <w:r w:rsidRPr="00E70A8B">
              <w:rPr>
                <w:rFonts w:ascii="Arial" w:hAnsi="Arial" w:cs="Arial"/>
              </w:rPr>
              <w:fldChar w:fldCharType="end"/>
            </w:r>
            <w:bookmarkEnd w:id="27"/>
            <w:bookmarkEnd w:id="28"/>
          </w:p>
        </w:tc>
      </w:tr>
      <w:tr w:rsidR="00514A54" w:rsidRPr="007523EE" w14:paraId="7C8195D8" w14:textId="77777777">
        <w:tc>
          <w:tcPr>
            <w:tcW w:w="2382" w:type="dxa"/>
            <w:tcBorders>
              <w:top w:val="single" w:sz="6" w:space="0" w:color="000000"/>
              <w:bottom w:val="single" w:sz="6" w:space="0" w:color="000000"/>
            </w:tcBorders>
            <w:shd w:val="clear" w:color="auto" w:fill="auto"/>
          </w:tcPr>
          <w:p w14:paraId="6DA5DB99"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Quiescent</w:t>
            </w:r>
          </w:p>
        </w:tc>
        <w:tc>
          <w:tcPr>
            <w:tcW w:w="3250" w:type="dxa"/>
            <w:vMerge/>
            <w:tcBorders>
              <w:top w:val="single" w:sz="6" w:space="0" w:color="000000"/>
              <w:bottom w:val="single" w:sz="6" w:space="0" w:color="000000"/>
            </w:tcBorders>
            <w:shd w:val="clear" w:color="auto" w:fill="auto"/>
          </w:tcPr>
          <w:p w14:paraId="0EE668DB" w14:textId="77777777" w:rsidR="00514A54" w:rsidRPr="00E70A8B" w:rsidRDefault="00514A54">
            <w:pPr>
              <w:pStyle w:val="TableContents"/>
              <w:snapToGrid w:val="0"/>
              <w:rPr>
                <w:rFonts w:ascii="Arial" w:hAnsi="Arial" w:cs="Arial"/>
                <w:color w:val="000000"/>
                <w:sz w:val="18"/>
                <w:szCs w:val="18"/>
                <w:lang w:val="en-GB"/>
              </w:rPr>
            </w:pPr>
          </w:p>
        </w:tc>
        <w:tc>
          <w:tcPr>
            <w:tcW w:w="1983" w:type="dxa"/>
            <w:vMerge/>
            <w:tcBorders>
              <w:top w:val="single" w:sz="6" w:space="0" w:color="000000"/>
              <w:bottom w:val="single" w:sz="6" w:space="0" w:color="000000"/>
            </w:tcBorders>
            <w:shd w:val="clear" w:color="auto" w:fill="auto"/>
            <w:vAlign w:val="center"/>
          </w:tcPr>
          <w:p w14:paraId="38515F2B" w14:textId="77777777" w:rsidR="00514A54" w:rsidRPr="00E70A8B" w:rsidRDefault="00514A54">
            <w:pPr>
              <w:pStyle w:val="TableContents"/>
              <w:snapToGrid w:val="0"/>
              <w:jc w:val="center"/>
              <w:rPr>
                <w:rFonts w:ascii="Arial" w:hAnsi="Arial" w:cs="Arial"/>
                <w:color w:val="000000"/>
                <w:sz w:val="18"/>
                <w:szCs w:val="18"/>
                <w:lang w:val="en-GB"/>
              </w:rPr>
            </w:pPr>
          </w:p>
        </w:tc>
        <w:tc>
          <w:tcPr>
            <w:tcW w:w="1315" w:type="dxa"/>
            <w:tcBorders>
              <w:top w:val="single" w:sz="6" w:space="0" w:color="000000"/>
              <w:bottom w:val="single" w:sz="6" w:space="0" w:color="000000"/>
            </w:tcBorders>
            <w:shd w:val="clear" w:color="auto" w:fill="auto"/>
          </w:tcPr>
          <w:p w14:paraId="24BCC4A6"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Continuous</w:t>
            </w:r>
          </w:p>
        </w:tc>
        <w:tc>
          <w:tcPr>
            <w:tcW w:w="1042" w:type="dxa"/>
            <w:tcBorders>
              <w:top w:val="single" w:sz="6" w:space="0" w:color="000000"/>
              <w:bottom w:val="single" w:sz="6" w:space="0" w:color="000000"/>
            </w:tcBorders>
            <w:shd w:val="clear" w:color="auto" w:fill="auto"/>
          </w:tcPr>
          <w:p w14:paraId="78D0C77A" w14:textId="1A363BD8" w:rsidR="00514A54" w:rsidRPr="00E70A8B" w:rsidRDefault="00A80BB8">
            <w:pPr>
              <w:pStyle w:val="TableContents"/>
              <w:rPr>
                <w:rFonts w:ascii="Arial" w:hAnsi="Arial" w:cs="Arial"/>
                <w:lang w:val="en-US"/>
              </w:rPr>
            </w:pPr>
            <w:r w:rsidRPr="00E70A8B">
              <w:rPr>
                <w:rFonts w:ascii="Arial" w:hAnsi="Arial" w:cs="Arial"/>
              </w:rPr>
              <w:fldChar w:fldCharType="begin"/>
            </w:r>
            <w:r w:rsidR="004A7EB4">
              <w:rPr>
                <w:rFonts w:ascii="Arial" w:hAnsi="Arial" w:cs="Arial"/>
              </w:rPr>
              <w:instrText xml:space="preserve"> ADDIN ZOTERO_ITEM CSL_CITATION {"citationID":"n1jmjv74","properties":{"formattedCitation":"[7]","plainCitation":"[7]","noteIndex":0},"citationItems":[{"id":4530,"uris":["http://zotero.org/groups/2472009/items/TS46GUF3"],"uri":["http://zotero.org/groups/2472009/items/TS46GUF3"],"itemData":{"id":4530,"type":"article-journal","abstract":"This study describes the integrative analysis of 111 reference human epigenomes, profiled for histone modification patterns, DNA accessibility, DNA methylation and RNA expression; the results annotate candidate regulatory elements in diverse tissues and cell types, their candidate regulators, and the set of human traits for which they show genetic variant enrichment, providing a resource for interpreting the molecular basis of human disease.","container-title":"Nature","DOI":"10.1038/nature14248","ISSN":"1476-4687","issue":"7539","journalAbbreviation":"Nature","language":"en","note":"number: 7539\npublisher: Nature Publishing Group","page":"317-330","source":"www.nature.com","title":"Integrative analysis of 111 reference human epigenomes","volume":"518","author":[{"family":"Kundaje","given":"Anshul"},{"family":"Meuleman","given":"Wouter"},{"family":"Ernst","given":"Jason"},{"family":"Bilenky","given":"Misha"},{"family":"Yen","given":"Angela"},{"family":"Heravi-Moussavi","given":"Alireza"},{"family":"Kheradpour","given":"Pouya"},{"family":"Zhang","given":"Zhizhuo"},{"family":"Wang","given":"Jianrong"},{"family":"Ziller","given":"Michael J."},{"family":"Amin","given":"Viren"},{"family":"Whitaker","given":"John W."},{"family":"Schultz","given":"Matthew D."},{"family":"Ward","given":"Lucas D."},{"family":"Sarkar","given":"Abhishek"},{"family":"Quon","given":"Gerald"},{"family":"Sandstrom","given":"Richard S."},{"family":"Eaton","given":"Matthew L."},{"family":"Wu","given":"Yi-Chieh"},{"family":"Pfenning","given":"Andreas R."},{"family":"Wang","given":"Xinchen"},{"family":"Claussnitzer","given":"Melina"},{"family":"Liu","given":"Yaping"},{"family":"Coarfa","given":"Cristian"},{"family":"Harris","given":"R. Alan"},{"family":"Shoresh","given":"Noam"},{"family":"Epstein","given":"Charles B."},{"family":"Gjoneska","given":"Elizabeta"},{"family":"Leung","given":"Danny"},{"family":"Xie","given":"Wei"},{"family":"Hawkins","given":"R. David"},{"family":"Lister","given":"Ryan"},{"family":"Hong","given":"Chibo"},{"family":"Gascard","given":"Philippe"},{"family":"Mungall","given":"Andrew J."},{"family":"Moore","given":"Richard"},{"family":"Chuah","given":"Eric"},{"family":"Tam","given":"Angela"},{"family":"Canfield","given":"Theresa K."},{"family":"Hansen","given":"R. Scott"},{"family":"Kaul","given":"Rajinder"},{"family":"Sabo","given":"Peter J."},{"family":"Bansal","given":"Mukul S."},{"family":"Carles","given":"Annaick"},{"family":"Dixon","given":"Jesse R."},{"family":"Farh","given":"Kai-How"},{"family":"Feizi","given":"Soheil"},{"family":"Karlic","given":"Rosa"},{"family":"Kim","given":"Ah-Ram"},{"family":"Kulkarni","given":"Ashwinikumar"},{"family":"Li","given":"Daofeng"},{"family":"Lowdon","given":"Rebecca"},{"family":"Elliott","given":"GiNell"},{"family":"Mercer","given":"Tim R."},{"family":"Neph","given":"Shane J."},{"family":"Onuchic","given":"Vitor"},{"family":"Polak","given":"Paz"},{"family":"Rajagopal","given":"Nisha"},{"family":"Ray","given":"Pradipta"},{"family":"Sallari","given":"Richard C."},{"fa</w:instrText>
            </w:r>
            <w:r w:rsidR="004A7EB4" w:rsidRPr="00AC0AD9">
              <w:rPr>
                <w:rFonts w:ascii="Arial" w:hAnsi="Arial" w:cs="Arial"/>
                <w:lang w:val="en-US"/>
              </w:rPr>
              <w:instrText xml:space="preserve">mily":"Siebenthall","given":"Kyle T."},{"family":"Sinnott-Armstrong","given":"Nicholas A."},{"family":"Stevens","given":"Michael"},{"family":"Thurman","given":"Robert E."},{"family":"Wu","given":"Jie"},{"family":"Zhang","given":"Bo"},{"family":"Zhou","given":"Xin"},{"family":"Beaudet","given":"Arthur E."},{"family":"Boyer","given":"Laurie A."},{"family":"Jager","given":"Philip L. De"},{"family":"Farnham","given":"Peggy J."},{"family":"Fisher","given":"Susan J."},{"family":"Haussler","given":"David"},{"family":"Jones","given":"Steven J. M."},{"family":"Li","given":"Wei"},{"family":"Marra","given":"Marco A."},{"family":"McManus","given":"Michael T."},{"family":"Sunyaev","given":"Shamil"},{"family":"Thomson","given":"James A."},{"family":"Tlsty","given":"Thea D."},{"family":"Tsai","given":"Li-Huei"},{"family":"Wang","given":"Wei"},{"family":"Waterland","given":"Robert A."},{"family":"Zhang","given":"Michael Q."},{"family":"Chadwick","given":"Lisa H."},{"family":"Bernstein","given":"Bradley E."},{"family":"Costello","given":"Joseph F."},{"family":"Ecker","given":"Joseph R."},{"family":"Hirst","given":"Martin"},{"family":"Meissner","given":"Alexander"},{"family":"Milosavljevic","given":"Aleksandar"},{"family":"Ren","given":"Bing"},{"family":"Stamatoyannopoulos","given":"John A."},{"family":"Wang","given":"Ting"},{"family":"Kellis","given":"Manolis"}],"issued":{"date-parts":[["2015",2]]}}}],"schema":"https://github.com/citation-style-language/schema/raw/master/csl-citation.json"} </w:instrText>
            </w:r>
            <w:r w:rsidRPr="00E70A8B">
              <w:rPr>
                <w:rFonts w:ascii="Arial" w:hAnsi="Arial" w:cs="Arial"/>
              </w:rPr>
              <w:fldChar w:fldCharType="separate"/>
            </w:r>
            <w:bookmarkStart w:id="29" w:name="__Fieldmark__190_2281253091"/>
            <w:bookmarkStart w:id="30" w:name="__Fieldmark__180_3451003990"/>
            <w:r w:rsidR="004A7EB4">
              <w:rPr>
                <w:rFonts w:ascii="Arial" w:hAnsi="Arial" w:cs="Arial"/>
                <w:sz w:val="18"/>
                <w:szCs w:val="18"/>
                <w:lang w:val="en-GB"/>
              </w:rPr>
              <w:t>[7]</w:t>
            </w:r>
            <w:r w:rsidRPr="00E70A8B">
              <w:rPr>
                <w:rFonts w:ascii="Arial" w:hAnsi="Arial" w:cs="Arial"/>
              </w:rPr>
              <w:fldChar w:fldCharType="end"/>
            </w:r>
            <w:bookmarkEnd w:id="29"/>
            <w:bookmarkEnd w:id="30"/>
          </w:p>
        </w:tc>
      </w:tr>
      <w:tr w:rsidR="00514A54" w:rsidRPr="00E70A8B" w14:paraId="07E5F24E" w14:textId="77777777">
        <w:tc>
          <w:tcPr>
            <w:tcW w:w="2382" w:type="dxa"/>
            <w:tcBorders>
              <w:top w:val="single" w:sz="6" w:space="0" w:color="000000"/>
              <w:bottom w:val="single" w:sz="6" w:space="0" w:color="000000"/>
            </w:tcBorders>
            <w:shd w:val="clear" w:color="auto" w:fill="auto"/>
          </w:tcPr>
          <w:p w14:paraId="125E697F"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H3K4me1 fold-change</w:t>
            </w:r>
          </w:p>
        </w:tc>
        <w:tc>
          <w:tcPr>
            <w:tcW w:w="3250" w:type="dxa"/>
            <w:vMerge w:val="restart"/>
            <w:tcBorders>
              <w:top w:val="single" w:sz="6" w:space="0" w:color="000000"/>
              <w:bottom w:val="single" w:sz="6" w:space="0" w:color="000000"/>
            </w:tcBorders>
            <w:shd w:val="clear" w:color="auto" w:fill="auto"/>
          </w:tcPr>
          <w:p w14:paraId="4B01E183" w14:textId="77777777" w:rsidR="00514A54" w:rsidRPr="00E70A8B" w:rsidRDefault="00A80BB8">
            <w:pPr>
              <w:pStyle w:val="TableContents"/>
              <w:snapToGrid w:val="0"/>
              <w:rPr>
                <w:rFonts w:ascii="Arial" w:hAnsi="Arial" w:cs="Arial"/>
                <w:sz w:val="18"/>
                <w:szCs w:val="18"/>
                <w:lang w:val="en-GB"/>
              </w:rPr>
            </w:pPr>
            <w:r w:rsidRPr="00E70A8B">
              <w:rPr>
                <w:rFonts w:ascii="Arial" w:hAnsi="Arial" w:cs="Arial"/>
                <w:color w:val="000000"/>
                <w:sz w:val="18"/>
                <w:szCs w:val="18"/>
                <w:lang w:val="en-GB"/>
              </w:rPr>
              <w:t>Median of Fold Change value per position for the considered histone mark across 98 cell types from Roadmap Epigenomics.</w:t>
            </w:r>
          </w:p>
        </w:tc>
        <w:tc>
          <w:tcPr>
            <w:tcW w:w="1983" w:type="dxa"/>
            <w:vMerge/>
            <w:tcBorders>
              <w:top w:val="single" w:sz="6" w:space="0" w:color="000000"/>
              <w:bottom w:val="single" w:sz="6" w:space="0" w:color="000000"/>
            </w:tcBorders>
            <w:shd w:val="clear" w:color="auto" w:fill="auto"/>
            <w:vAlign w:val="center"/>
          </w:tcPr>
          <w:p w14:paraId="22353728" w14:textId="77777777" w:rsidR="00514A54" w:rsidRPr="00E70A8B" w:rsidRDefault="00514A54">
            <w:pPr>
              <w:pStyle w:val="TableContents"/>
              <w:snapToGrid w:val="0"/>
              <w:jc w:val="center"/>
              <w:rPr>
                <w:rFonts w:ascii="Arial" w:hAnsi="Arial" w:cs="Arial"/>
                <w:color w:val="000000"/>
                <w:sz w:val="18"/>
                <w:szCs w:val="18"/>
                <w:lang w:val="en-GB"/>
              </w:rPr>
            </w:pPr>
          </w:p>
        </w:tc>
        <w:tc>
          <w:tcPr>
            <w:tcW w:w="1315" w:type="dxa"/>
            <w:tcBorders>
              <w:top w:val="single" w:sz="6" w:space="0" w:color="000000"/>
              <w:bottom w:val="single" w:sz="6" w:space="0" w:color="000000"/>
            </w:tcBorders>
            <w:shd w:val="clear" w:color="auto" w:fill="auto"/>
          </w:tcPr>
          <w:p w14:paraId="6E91C7D4"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Continuous</w:t>
            </w:r>
          </w:p>
        </w:tc>
        <w:tc>
          <w:tcPr>
            <w:tcW w:w="1042" w:type="dxa"/>
            <w:tcBorders>
              <w:top w:val="single" w:sz="6" w:space="0" w:color="000000"/>
              <w:bottom w:val="single" w:sz="6" w:space="0" w:color="000000"/>
            </w:tcBorders>
            <w:shd w:val="clear" w:color="auto" w:fill="auto"/>
          </w:tcPr>
          <w:p w14:paraId="69AC0919" w14:textId="0946BE9F" w:rsidR="00514A54" w:rsidRPr="00E70A8B" w:rsidRDefault="00A80BB8">
            <w:pPr>
              <w:pStyle w:val="TableContents"/>
              <w:rPr>
                <w:rFonts w:ascii="Arial" w:hAnsi="Arial" w:cs="Arial"/>
              </w:rPr>
            </w:pPr>
            <w:r w:rsidRPr="00E70A8B">
              <w:rPr>
                <w:rFonts w:ascii="Arial" w:hAnsi="Arial" w:cs="Arial"/>
              </w:rPr>
              <w:fldChar w:fldCharType="begin"/>
            </w:r>
            <w:r w:rsidR="004A7EB4">
              <w:rPr>
                <w:rFonts w:ascii="Arial" w:hAnsi="Arial" w:cs="Arial"/>
                <w:lang w:val="en-US"/>
              </w:rPr>
              <w:instrText xml:space="preserve"> ADDIN ZOTERO_ITEM CSL_CITATION {"citationID":"nNfgNofw","properties":{"formattedCitation":"[7]","plainCitation":"[7]","noteIndex":0},"citationItems":[{"id":4530,"uris":["http://zotero.org/groups/2472009/items/TS46GUF3"],"uri":["http://zotero.org/groups/2472009/items/TS46GUF3"],"itemData":{"id":4530,"type":"article-journal","abstract":"This study describes the integrative analysis of 111 reference human epigenomes, profiled for histone modification patterns, DNA accessibility, DNA methylation and RNA expression; the results annotate candidate regulatory elements in diverse tissues and cell types, their candidate regulators, and the set of human traits for which they show genetic variant enrichment, providing a resource for interpreting the molecular basis of human disease.","container-title":"Nature","DOI":"10.1038/nature14248","ISSN":"1476-4687","issue":"7539","journalAbbreviation":"Nature","language":"en","note":"number: 7539\npublisher: Nature Publishing Group","page":"317-330","source":"www.nature.com","title":"Integrative analysis of 111 reference human epigenomes","volume":"518","author":[{"family":"Kundaje","given":"Anshul"},{"family":"Meuleman","given":"Wouter"},{"family":"Ernst","given":"Jason"},{"family":"Bilenky","given":"Misha"},{"family":"Yen","given":"Angela"},{"family":"Heravi-Moussavi","given":"Alireza"},{"family":"Kheradpour","given":"Pouya"},{"family":"Zhang","given":"Zhizhuo"},{"family":"Wang","given":"Jianrong"},{"family":"Ziller","given":"Michael J."},{"family":"Amin","given":"Viren"},{"family":"Whitaker","given":"John W."},{"family":"Schultz","given":"Matthew D."},{"family":"Ward","given":"Lucas D."},{"family":"Sarkar","given":"Abhishek"},{"family":"Quon","given":"Gerald"},{"family":"Sandstrom","given":"Richard S."},{"family":"Eaton","given":"Matthew L."},{"family":"Wu","given":"Yi-Chieh"},{"family":"Pfenning","given":"Andreas R."},{"family":"Wang","given":"Xinchen"},{"family":"Claussnitzer","given":"Melina"},{"family":"Liu","given":"Yaping"},{"family":"Coarfa","given":"Cristian"},{"family":"Harris","given":"R. Alan"},{"family":"Shoresh","given":"Noam"},{"family":"Epstein","given":"Charles B."},{"family":"Gjoneska","given":"Elizabeta"},{"family":"Leung","given":"Danny"},{"family":"Xie","given":"Wei"},{"family":"Hawkins","given":"R. David"},{"family":"Lister","given":"Ryan"},{"family":"Hong","given":"Chibo"},{"family":"Gascard","given":"Philippe"},{"family":"Mungall","given":"Andrew J."},{"family":"Moore","given":"Richard"},{"family":"Chuah","given":"Eric"},{"family":"Tam","given":"Angela"},{"family":"Canfield","given":"Theresa K."},{"family":"Hansen","given":"R. Scott"},{"family":"Kaul","given":"Rajinder"},{"family":"Sabo","given":"Peter J."},{"family":"Bansal","given":"Mukul S."},{"family":"Carles","given":"Annaick"},{"family":"Dixon","given":"Jesse R."},{"family":"Farh","given":"Kai-How"},{"family":"Feizi","given":"Soheil"},{"family":"Karlic","given":"Rosa"},{"family":"Kim","given":"Ah-Ram"},{"family":"Kulkarni","given":"Ashwinikumar"},{"family":"Li","given":"Daofeng"},{"family":"Lowdon","given":"Rebecca"},{"family":"Elliott","given":"GiNell"},{"family":"Mercer","given":"Tim R."},{"family":"Neph","given":"Shane J."},{"family":"Onuchic","given":"Vitor"},{"family":"Polak","given":"Paz"},{"family":"Rajagopal","given":"Nisha"},{"family":"Ray","given":"Pradipta"},{"family":"Sallari","given":"Richard C."},{"family":"Siebenthall","given":"Kyle T."},{"family":"Sinnott-Armstrong","given":"Nicholas A."},{"family":"Stevens","given":"Michael"},{"family":"Thurman","given":"Robert E."},{"family":"Wu","given":"Jie"},{"family":"Zhang","given":"Bo"},{"family":"Zhou","given":"Xin"},{"family":"Beaudet","given":"Arthur E."},{"family":"Boyer","given":"Laurie A."},{"family":"Jager","given":"Philip L. De"},{"family":"Farnham","given":"Peggy J."},{"family":"Fisher","given":"Susan J."},{"family":"Haussler","given":"David"},{"family":"Jones","given":"Steven J. M."},{"family":"Li","given":"Wei"},{"family":"Marra","given":"Marco A."},{"family":"McManus","given":"Michael T."},{"family":"Sunyaev","given":"Shamil"},{"family":"Thomson","given":"James A."},{"family":"Tlsty","given":"Thea D."},{"family":"Tsai","given":"Li-Huei"},{"family":"Wang","given":"Wei"},{"family":"Waterland","given":"Robert A."},{"family":"Zhang","given":"Michael Q."},{"family":"Chadwick","given":"Lisa H."},{"family":"Bernstein","given":"Bradley E."},{"family":"Costello","given":"Joseph F."},{"family":"Ecker","given":"Joseph R."},{"family":"Hirst","given":"Martin"},{"family":"Meissner","given":"Alexander"},{"family":"Milosavljevic","given":"Aleksandar"},{"family":"Ren","given":"Bing"},{"family":"Stamatoyannopoulos","given":"John A."},{"family":"Wang","given":"Ting"},{"family":"Kellis","given":"Manolis"}],"issued":{"date-parts":[["2015",2]]}}}],"schema":"https://github.com/citation-style-language/schema/raw/master/csl-citation.json"} </w:instrText>
            </w:r>
            <w:r w:rsidRPr="00E70A8B">
              <w:rPr>
                <w:rFonts w:ascii="Arial" w:hAnsi="Arial" w:cs="Arial"/>
              </w:rPr>
              <w:fldChar w:fldCharType="separate"/>
            </w:r>
            <w:bookmarkStart w:id="31" w:name="__Fieldmark__200_2281253091"/>
            <w:bookmarkStart w:id="32" w:name="__Fieldmark__188_3451003990"/>
            <w:r w:rsidR="004A7EB4">
              <w:rPr>
                <w:rFonts w:ascii="Arial" w:hAnsi="Arial" w:cs="Arial"/>
                <w:sz w:val="18"/>
                <w:szCs w:val="18"/>
                <w:lang w:val="en-GB"/>
              </w:rPr>
              <w:t>[7]</w:t>
            </w:r>
            <w:r w:rsidRPr="00E70A8B">
              <w:rPr>
                <w:rFonts w:ascii="Arial" w:hAnsi="Arial" w:cs="Arial"/>
              </w:rPr>
              <w:fldChar w:fldCharType="end"/>
            </w:r>
            <w:bookmarkEnd w:id="31"/>
            <w:bookmarkEnd w:id="32"/>
          </w:p>
        </w:tc>
      </w:tr>
      <w:tr w:rsidR="00514A54" w:rsidRPr="00E70A8B" w14:paraId="573D9E74" w14:textId="77777777">
        <w:tc>
          <w:tcPr>
            <w:tcW w:w="2382" w:type="dxa"/>
            <w:tcBorders>
              <w:top w:val="single" w:sz="6" w:space="0" w:color="000000"/>
              <w:bottom w:val="single" w:sz="6" w:space="0" w:color="000000"/>
            </w:tcBorders>
            <w:shd w:val="clear" w:color="auto" w:fill="auto"/>
          </w:tcPr>
          <w:p w14:paraId="1B8D553B"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H3K4me3 fold-change</w:t>
            </w:r>
          </w:p>
        </w:tc>
        <w:tc>
          <w:tcPr>
            <w:tcW w:w="3250" w:type="dxa"/>
            <w:vMerge/>
            <w:tcBorders>
              <w:top w:val="single" w:sz="6" w:space="0" w:color="000000"/>
              <w:bottom w:val="single" w:sz="6" w:space="0" w:color="000000"/>
            </w:tcBorders>
            <w:shd w:val="clear" w:color="auto" w:fill="auto"/>
          </w:tcPr>
          <w:p w14:paraId="180B896F" w14:textId="77777777" w:rsidR="00514A54" w:rsidRPr="00E70A8B" w:rsidRDefault="00514A54">
            <w:pPr>
              <w:pStyle w:val="TableContents"/>
              <w:snapToGrid w:val="0"/>
              <w:rPr>
                <w:rFonts w:ascii="Arial" w:hAnsi="Arial" w:cs="Arial"/>
                <w:color w:val="000000"/>
                <w:sz w:val="18"/>
                <w:szCs w:val="18"/>
                <w:lang w:val="en-GB"/>
              </w:rPr>
            </w:pPr>
          </w:p>
        </w:tc>
        <w:tc>
          <w:tcPr>
            <w:tcW w:w="1983" w:type="dxa"/>
            <w:vMerge/>
            <w:tcBorders>
              <w:top w:val="single" w:sz="6" w:space="0" w:color="000000"/>
              <w:bottom w:val="single" w:sz="6" w:space="0" w:color="000000"/>
            </w:tcBorders>
            <w:shd w:val="clear" w:color="auto" w:fill="auto"/>
            <w:vAlign w:val="center"/>
          </w:tcPr>
          <w:p w14:paraId="0DA4285E" w14:textId="77777777" w:rsidR="00514A54" w:rsidRPr="00E70A8B" w:rsidRDefault="00514A54">
            <w:pPr>
              <w:pStyle w:val="TableContents"/>
              <w:snapToGrid w:val="0"/>
              <w:jc w:val="center"/>
              <w:rPr>
                <w:rFonts w:ascii="Arial" w:hAnsi="Arial" w:cs="Arial"/>
                <w:color w:val="000000"/>
                <w:sz w:val="18"/>
                <w:szCs w:val="18"/>
                <w:lang w:val="en-GB"/>
              </w:rPr>
            </w:pPr>
          </w:p>
        </w:tc>
        <w:tc>
          <w:tcPr>
            <w:tcW w:w="1315" w:type="dxa"/>
            <w:tcBorders>
              <w:top w:val="single" w:sz="6" w:space="0" w:color="000000"/>
              <w:bottom w:val="single" w:sz="6" w:space="0" w:color="000000"/>
            </w:tcBorders>
            <w:shd w:val="clear" w:color="auto" w:fill="auto"/>
          </w:tcPr>
          <w:p w14:paraId="6DAD44BC"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Continuous</w:t>
            </w:r>
          </w:p>
        </w:tc>
        <w:tc>
          <w:tcPr>
            <w:tcW w:w="1042" w:type="dxa"/>
            <w:tcBorders>
              <w:top w:val="single" w:sz="6" w:space="0" w:color="000000"/>
              <w:bottom w:val="single" w:sz="6" w:space="0" w:color="000000"/>
            </w:tcBorders>
            <w:shd w:val="clear" w:color="auto" w:fill="auto"/>
          </w:tcPr>
          <w:p w14:paraId="2B32CF0B" w14:textId="0D70D14C" w:rsidR="00514A54" w:rsidRPr="00E70A8B" w:rsidRDefault="00A80BB8">
            <w:pPr>
              <w:pStyle w:val="TableContents"/>
              <w:rPr>
                <w:rFonts w:ascii="Arial" w:hAnsi="Arial" w:cs="Arial"/>
              </w:rPr>
            </w:pPr>
            <w:r w:rsidRPr="00E70A8B">
              <w:rPr>
                <w:rFonts w:ascii="Arial" w:hAnsi="Arial" w:cs="Arial"/>
              </w:rPr>
              <w:fldChar w:fldCharType="begin"/>
            </w:r>
            <w:r w:rsidR="004A7EB4">
              <w:rPr>
                <w:rFonts w:ascii="Arial" w:hAnsi="Arial" w:cs="Arial"/>
              </w:rPr>
              <w:instrText xml:space="preserve"> ADDIN ZOTERO_ITEM CSL_CITATION {"citationID":"SuYLcAen","properties":{"formattedCitation":"[7]","plainCitation":"[7]","noteIndex":0},"citationItems":[{"id":4530,"uris":["http://zotero.org/groups/2472009/items/TS46GUF3"],"uri":["http://zotero.org/groups/2472009/items/TS46GUF3"],"itemData":{"id":4530,"type":"article-journal","abstract":"This study describes the integrative analysis of 111 reference human epigenomes, profiled for histone modification patterns, DNA accessibility, DNA methylation and RNA expression; the results annotate candidate regulatory elements in diverse tissues and cell types, their candidate regulators, and the set of human traits for which they show genetic variant enrichment, providing a resource for interpreting the molecular basis of human disease.","container-title":"Nature","DOI":"10.1038/nature14248","ISSN":"1476-4687","issue":"7539","journalAbbreviation":"Nature","language":"en","note":"number: 7539\npublisher: Nature Publishing Group","page":"317-330","source":"www.nature.com","title":"Integrative analysis of 111 reference human epigenomes","volume":"518","author":[{"family":"Kundaje","given":"Anshul"},{"family":"Meuleman","given":"Wouter"},{"family":"Ernst","given":"Jason"},{"family":"Bilenky","given":"Misha"},{"family":"Yen","given":"Angela"},{"family":"Heravi-Moussavi","given":"Alireza"},{"family":"Kheradpour","given":"Pouya"},{"family":"Zhang","given":"Zhizhuo"},{"family":"Wang","given":"Jianrong"},{"family":"Ziller","given":"Michael J."},{"family":"Amin","given":"Viren"},{"family":"Whitaker","given":"John W."},{"family":"Schultz","given":"Matthew D."},{"family":"Ward","given":"Lucas D."},{"family":"Sarkar","given":"Abhishek"},{"family":"Quon","given":"Gerald"},{"family":"Sandstrom","given":"Richard S."},{"family":"Eaton","given":"Matthew L."},{"family":"Wu","given":"Yi-Chieh"},{"family":"Pfenning","given":"Andreas R."},{"family":"Wang","given":"Xinchen"},{"family":"Claussnitzer","given":"Melina"},{"family":"Liu","given":"Yaping"},{"family":"Coarfa","given":"Cristian"},{"family":"Harris","given":"R. Alan"},{"family":"Shoresh","given":"Noam"},{"family":"Epstein","given":"Charles B."},{"family":"Gjoneska","given":"Elizabeta"},{"family":"Leung","given":"Danny"},{"family":"Xie","given":"Wei"},{"family":"Hawkins","given":"R. David"},{"family":"Lister","given":"Ryan"},{"family":"Hong","given":"Chibo"},{"family":"Gascard","given":"Philippe"},{"family":"Mungall","given":"Andrew J."},{"family":"Moore","given":"Richard"},{"family":"Chuah","given":"Eric"},{"family":"Tam","given":"Angela"},{"family":"Canfield","given":"Theresa K."},{"family":"Hansen","given":"R. Scott"},{"family":"Kaul","given":"Rajinder"},{"family":"Sabo","given":"Peter J."},{"family":"Bansal","given":"Mukul S."},{"family":"Carles","given":"Annaick"},{"family":"Dixon","given":"Jesse R."},{"family":"Farh","given":"Kai-How"},{"family":"Feizi","given":"Soheil"},{"family":"Karlic","given":"Rosa"},{"family":"Kim","given":"Ah-Ram"},{"family":"Kulkarni","given":"Ashwinikumar"},{"family":"Li","given":"Daofeng"},{"family":"Lowdon","given":"Rebecca"},{"family":"Elliott","given":"GiNell"},{"family":"Mercer","given":"Tim R."},{"family":"Neph","given":"Shane J."},{"family":"Onuchic","given":"Vitor"},{"family":"Polak","given":"Paz"},{"family":"Rajagopal","given":"Nisha"},{"family":"Ray","given":"Pradipta"},{"family":"Sallari","given":"Richard C."},{"family":"Siebenthall","given":"Kyle T."},{"family":"Sinnott-Armstrong","given":"Nicholas A."},{"family":"Stevens","given":"Michael"},{"family":"Thurman","given":"Robert E."},{"family":"Wu","given":"Jie"},{"family":"Zhang","given":"Bo"},{"family":"Zhou","given":"Xin"},{"family":"Beaudet","given":"Arthur E."},{"family":"Boyer","given":"Laurie A."},{"family":"Jager","given":"Philip L. De"},{"family":"Farnham","given":"Peggy J."},{"family":"Fisher","given":"Susan J."},{"family":"Haussler","given":"David"},{"family":"Jones","given":"Steven J. M."},{"family":"Li","given":"Wei"},{"family":"Marra","given":"Marco A."},{"family":"McManus","given":"Michael T."},{"family":"Sunyaev","given":"Shamil"},{"family":"Thomson","given":"James A."},{"family":"Tlsty","given":"Thea D."},{"family":"Tsai","given":"Li-Huei"},{"family":"Wang","given":"Wei"},{"family":"Waterland","given":"Robert A."},{"family":"Zhang","given":"Michael Q."},{"family":"Chadwick","given":"Lisa H."},{"family":"Bernstein","given":"Bradley E."},{"family":"Costello","given":"Joseph F."},{"family":"Ecker","given":"Joseph R."},{"family":"Hirst","given":"Martin"},{"family":"Meissner","given":"Alexander"},{"family":"Milosavljevic","given":"Aleksandar"},{"family":"Ren","given":"Bing"},{"family":"Stamatoyannopoulos","given":"John A."},{"family":"Wang","given":"Ting"},{"family":"Kellis","given":"Manolis"}],"issued":{"date-parts":[["2015",2]]}}}],"schema":"https://github.com/citation-style-language/schema/raw/master/csl-citation.json"} </w:instrText>
            </w:r>
            <w:r w:rsidRPr="00E70A8B">
              <w:rPr>
                <w:rFonts w:ascii="Arial" w:hAnsi="Arial" w:cs="Arial"/>
              </w:rPr>
              <w:fldChar w:fldCharType="separate"/>
            </w:r>
            <w:bookmarkStart w:id="33" w:name="__Fieldmark__209_2281253091"/>
            <w:bookmarkStart w:id="34" w:name="__Fieldmark__195_3451003990"/>
            <w:r w:rsidR="004A7EB4">
              <w:rPr>
                <w:rFonts w:ascii="Arial" w:hAnsi="Arial" w:cs="Arial"/>
                <w:sz w:val="18"/>
                <w:szCs w:val="18"/>
                <w:lang w:val="en-GB"/>
              </w:rPr>
              <w:t>[7]</w:t>
            </w:r>
            <w:r w:rsidRPr="00E70A8B">
              <w:rPr>
                <w:rFonts w:ascii="Arial" w:hAnsi="Arial" w:cs="Arial"/>
              </w:rPr>
              <w:fldChar w:fldCharType="end"/>
            </w:r>
            <w:bookmarkEnd w:id="33"/>
            <w:bookmarkEnd w:id="34"/>
          </w:p>
        </w:tc>
      </w:tr>
      <w:tr w:rsidR="00514A54" w:rsidRPr="007523EE" w14:paraId="0095856A" w14:textId="77777777">
        <w:tc>
          <w:tcPr>
            <w:tcW w:w="2382" w:type="dxa"/>
            <w:tcBorders>
              <w:top w:val="single" w:sz="6" w:space="0" w:color="000000"/>
              <w:bottom w:val="single" w:sz="6" w:space="0" w:color="000000"/>
            </w:tcBorders>
            <w:shd w:val="clear" w:color="auto" w:fill="auto"/>
          </w:tcPr>
          <w:p w14:paraId="71F4B097"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H3K27ac fold-change</w:t>
            </w:r>
          </w:p>
        </w:tc>
        <w:tc>
          <w:tcPr>
            <w:tcW w:w="3250" w:type="dxa"/>
            <w:vMerge/>
            <w:tcBorders>
              <w:top w:val="single" w:sz="6" w:space="0" w:color="000000"/>
              <w:bottom w:val="single" w:sz="6" w:space="0" w:color="000000"/>
            </w:tcBorders>
            <w:shd w:val="clear" w:color="auto" w:fill="auto"/>
          </w:tcPr>
          <w:p w14:paraId="532772A3" w14:textId="77777777" w:rsidR="00514A54" w:rsidRPr="00E70A8B" w:rsidRDefault="00514A54">
            <w:pPr>
              <w:pStyle w:val="TableContents"/>
              <w:snapToGrid w:val="0"/>
              <w:rPr>
                <w:rFonts w:ascii="Arial" w:hAnsi="Arial" w:cs="Arial"/>
                <w:color w:val="000000"/>
                <w:sz w:val="18"/>
                <w:szCs w:val="18"/>
                <w:lang w:val="en-GB"/>
              </w:rPr>
            </w:pPr>
          </w:p>
        </w:tc>
        <w:tc>
          <w:tcPr>
            <w:tcW w:w="1983" w:type="dxa"/>
            <w:vMerge/>
            <w:tcBorders>
              <w:top w:val="single" w:sz="6" w:space="0" w:color="000000"/>
              <w:bottom w:val="single" w:sz="6" w:space="0" w:color="000000"/>
            </w:tcBorders>
            <w:shd w:val="clear" w:color="auto" w:fill="auto"/>
            <w:vAlign w:val="center"/>
          </w:tcPr>
          <w:p w14:paraId="2B65B2B4" w14:textId="77777777" w:rsidR="00514A54" w:rsidRPr="00E70A8B" w:rsidRDefault="00514A54">
            <w:pPr>
              <w:pStyle w:val="TableContents"/>
              <w:snapToGrid w:val="0"/>
              <w:jc w:val="center"/>
              <w:rPr>
                <w:rFonts w:ascii="Arial" w:hAnsi="Arial" w:cs="Arial"/>
                <w:color w:val="000000"/>
                <w:sz w:val="18"/>
                <w:szCs w:val="18"/>
                <w:lang w:val="en-GB"/>
              </w:rPr>
            </w:pPr>
          </w:p>
        </w:tc>
        <w:tc>
          <w:tcPr>
            <w:tcW w:w="1315" w:type="dxa"/>
            <w:tcBorders>
              <w:top w:val="single" w:sz="6" w:space="0" w:color="000000"/>
              <w:bottom w:val="single" w:sz="6" w:space="0" w:color="000000"/>
            </w:tcBorders>
            <w:shd w:val="clear" w:color="auto" w:fill="auto"/>
          </w:tcPr>
          <w:p w14:paraId="778574E9"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Continuous</w:t>
            </w:r>
          </w:p>
        </w:tc>
        <w:tc>
          <w:tcPr>
            <w:tcW w:w="1042" w:type="dxa"/>
            <w:tcBorders>
              <w:top w:val="single" w:sz="6" w:space="0" w:color="000000"/>
              <w:bottom w:val="single" w:sz="6" w:space="0" w:color="000000"/>
            </w:tcBorders>
            <w:shd w:val="clear" w:color="auto" w:fill="auto"/>
          </w:tcPr>
          <w:p w14:paraId="55E30076" w14:textId="07F3B5C1" w:rsidR="00514A54" w:rsidRPr="005946E8" w:rsidRDefault="00A80BB8">
            <w:pPr>
              <w:pStyle w:val="TableContents"/>
              <w:rPr>
                <w:rFonts w:ascii="Arial" w:hAnsi="Arial" w:cs="Arial"/>
                <w:lang w:val="en-US"/>
              </w:rPr>
            </w:pPr>
            <w:r w:rsidRPr="00E70A8B">
              <w:rPr>
                <w:rFonts w:ascii="Arial" w:hAnsi="Arial" w:cs="Arial"/>
              </w:rPr>
              <w:fldChar w:fldCharType="begin"/>
            </w:r>
            <w:r w:rsidR="004A7EB4">
              <w:rPr>
                <w:rFonts w:ascii="Arial" w:hAnsi="Arial" w:cs="Arial"/>
              </w:rPr>
              <w:instrText xml:space="preserve"> ADDIN ZOTERO_ITEM CSL_CITATION {"citationID":"CyDgkBmr","properties":{"formattedCitation":"[7]","plainCitation":"[7]","noteIndex":0},"citationItems":[{"id":4530,"uris":["http://zotero.org/groups/2472009/items/TS46GUF3"],"uri":["http://zotero.org/groups/2472009/items/TS46GUF3"],"itemData":{"id":4530,"type":"article-journal","abstract":"This study describes the integrative analysis of 111 reference human epigenomes, profiled for histone modification patterns, DNA accessibility, DNA methylation and RNA expression; the results annotate candidate regulatory elements in diverse tissues and cell types, their candidate regulators, and the set of human traits for which they show genetic variant enrichment, providing a resource for interpreting the molecular basis of human disease.","container-title":"Nature","DOI":"10.1038/nature14248","ISSN":"1476-4687","issue":"7539","journalAbbreviation":"Nature","language":"en","note":"number: 7539\npublisher: Nature Publishing Group","page":"317-330","source":"www.nature.com","title":"Integrative analysis of 111 reference human epigenomes","volume":"518","author":[{"family":"Kundaje","given":"Anshul"},{"family":"Meuleman","given":"Wouter"},{"family":"Ernst","given":"Jason"},{"family":"Bilenky","given":"Misha"},{"family":"Yen","given":"Angela"},{"family":"Heravi-Moussavi","given":"Alireza"},{"family":"Kheradpour","given":"Pouya"},{"family":"Zhang","given":"Zhizhuo"},{"family":"Wang","given":"Jianrong"},{"family":"Ziller","given":"Michael J."},{"family":"Amin","given":"Viren"},{"family":"Whitaker","given":"John W."},{"family":"Schultz","given":"Matthew D."},{"family":"Ward","given":"Lucas D."},{"family":"Sarkar","given":"Abhishek"},{"family":"Quon","given":"Gerald"},{"family":"Sandstrom","given":"Richard S."},{"family":"Eaton","given":"Matthew L."},{"family":"Wu","given":"Yi-Chieh"},{"family":"Pfenning","given":"Andreas R."},{"family":"Wang","given":"Xinchen"},{"family":"Claussnitzer","given":"Melina"},{"family":"Liu","given":"Yaping"},{"family":"Coarfa","given":"Cristian"},{"family":"Harris","given":"R. Alan"},{"family":"Shoresh","given":"Noam"},{"family":"Epstein","given":"Charles B."},{"family":"Gjoneska","given":"Elizabeta"},{"family":"Leung","given":"Danny"},{"family":"Xie","given":"Wei"},{"family":"Hawkins","given":"R. David"},{"family":"Lister","given":"Ryan"},{"family":"Hong","given":"Chibo"},{"family":"Gascard","given":"Philippe"},{"family":"Mungall","given":"Andrew J."},{"family":"Moore","given":"Richard"},{"family":"Chuah","given":"Eric"},{"family":"Tam","given":"Angela"},{"family":"Canfield","given":"Theresa K."},{"family":"Hansen","given":"R. Scott"},{"family":"Kaul","given":"Rajinder"},{"family":"Sabo","given":"Peter J."},{"family":"Bansal","given":"Mukul S."},{"family":"Carles","given":"Annaick"},{"family":"Dixon","given":"Jesse R."},{"family":"Farh","given":"Kai-How"},{"family":"Feizi","given":"Soheil"},{"family":"Karlic","given":"Rosa"},{"family":"Kim","given":"Ah-Ram"},{"family":"Kulkarni","given":"Ashwinikumar"},{"family":"Li","given":"Daofeng"},{"family":"Lowdon","given":"Rebecca"},{"family":"Elliott","given":"GiNell"},{"family":"Mercer","given":"Tim R."},{"family":"Neph","given":"Shane J."},{"family":"Onuchic","given":"Vitor"},{"family":"Polak","given":"Paz"},{"family":"Rajagopal","given":"Nisha"},{"family":"Ray","given":"Pradipta"},{"family":"Sallari","given":"Richard C."},{"fa</w:instrText>
            </w:r>
            <w:r w:rsidR="004A7EB4" w:rsidRPr="00AC0AD9">
              <w:rPr>
                <w:rFonts w:ascii="Arial" w:hAnsi="Arial" w:cs="Arial"/>
                <w:lang w:val="en-US"/>
              </w:rPr>
              <w:instrText xml:space="preserve">mily":"Siebenthall","given":"Kyle T."},{"family":"Sinnott-Armstrong","given":"Nicholas A."},{"family":"Stevens","given":"Michael"},{"family":"Thurman","given":"Robert E."},{"family":"Wu","given":"Jie"},{"family":"Zhang","given":"Bo"},{"family":"Zhou","given":"Xin"},{"family":"Beaudet","given":"Arthur E."},{"family":"Boyer","given":"Laurie A."},{"family":"Jager","given":"Philip L. De"},{"family":"Farnham","given":"Peggy J."},{"family":"Fisher","given":"Susan J."},{"family":"Haussler","given":"David"},{"family":"Jones","given":"Steven J. M."},{"family":"Li","given":"Wei"},{"family":"Marra","given":"Marco A."},{"family":"McManus","given":"Michael T."},{"family":"Sunyaev","given":"Shamil"},{"family":"Thomson","given":"James A."},{"family":"Tlsty","given":"Thea D."},{"family":"Tsai","given":"Li-Huei"},{"family":"Wang","given":"Wei"},{"family":"Waterland","given":"Robert A."},{"family":"Zhang","given":"Michael Q."},{"family":"Chadwick","given":"Lisa H."},{"family":"Bernstein","given":"Bradley E."},{"family":"Costello","given":"Joseph F."},{"family":"Ecker","given":"Joseph R."},{"family":"Hirst","given":"Martin"},{"family":"Meissner","given":"Alexander"},{"family":"Milosavljevic","given":"Aleksandar"},{"family":"Ren","given":"Bing"},{"family":"Stamatoyannopoulos","given":"John A."},{"family":"Wang","given":"Ting"},{"family":"Kellis","given":"Manolis"}],"issued":{"date-parts":[["2015",2]]}}}],"schema":"https://github.com/citation-style-language/schema/raw/master/csl-citation.json"} </w:instrText>
            </w:r>
            <w:r w:rsidRPr="00E70A8B">
              <w:rPr>
                <w:rFonts w:ascii="Arial" w:hAnsi="Arial" w:cs="Arial"/>
              </w:rPr>
              <w:fldChar w:fldCharType="separate"/>
            </w:r>
            <w:bookmarkStart w:id="35" w:name="__Fieldmark__218_2281253091"/>
            <w:bookmarkStart w:id="36" w:name="__Fieldmark__202_3451003990"/>
            <w:r w:rsidR="004A7EB4">
              <w:rPr>
                <w:rFonts w:ascii="Arial" w:hAnsi="Arial" w:cs="Arial"/>
                <w:sz w:val="18"/>
                <w:szCs w:val="18"/>
                <w:lang w:val="en-US"/>
              </w:rPr>
              <w:t>[7]</w:t>
            </w:r>
            <w:r w:rsidRPr="00E70A8B">
              <w:rPr>
                <w:rFonts w:ascii="Arial" w:hAnsi="Arial" w:cs="Arial"/>
              </w:rPr>
              <w:fldChar w:fldCharType="end"/>
            </w:r>
            <w:bookmarkEnd w:id="35"/>
            <w:bookmarkEnd w:id="36"/>
          </w:p>
        </w:tc>
      </w:tr>
      <w:tr w:rsidR="00514A54" w:rsidRPr="00E70A8B" w14:paraId="42C5A3A1" w14:textId="77777777">
        <w:tc>
          <w:tcPr>
            <w:tcW w:w="2382" w:type="dxa"/>
            <w:tcBorders>
              <w:top w:val="single" w:sz="6" w:space="0" w:color="000000"/>
              <w:bottom w:val="single" w:sz="6" w:space="0" w:color="000000"/>
            </w:tcBorders>
            <w:shd w:val="clear" w:color="auto" w:fill="auto"/>
          </w:tcPr>
          <w:p w14:paraId="032BDF1F" w14:textId="77777777" w:rsidR="00514A54" w:rsidRPr="005946E8" w:rsidRDefault="00A80BB8">
            <w:pPr>
              <w:pStyle w:val="TableContents"/>
              <w:rPr>
                <w:rFonts w:ascii="Arial" w:hAnsi="Arial" w:cs="Arial"/>
                <w:sz w:val="18"/>
                <w:szCs w:val="18"/>
                <w:lang w:val="en-US"/>
              </w:rPr>
            </w:pPr>
            <w:r w:rsidRPr="005946E8">
              <w:rPr>
                <w:rFonts w:ascii="Arial" w:hAnsi="Arial" w:cs="Arial"/>
                <w:color w:val="000000"/>
                <w:sz w:val="18"/>
                <w:szCs w:val="18"/>
                <w:lang w:val="en-US"/>
              </w:rPr>
              <w:t>TFBS count</w:t>
            </w:r>
          </w:p>
        </w:tc>
        <w:tc>
          <w:tcPr>
            <w:tcW w:w="3250" w:type="dxa"/>
            <w:vMerge w:val="restart"/>
            <w:tcBorders>
              <w:top w:val="single" w:sz="6" w:space="0" w:color="000000"/>
              <w:bottom w:val="single" w:sz="6" w:space="0" w:color="000000"/>
            </w:tcBorders>
            <w:shd w:val="clear" w:color="auto" w:fill="auto"/>
          </w:tcPr>
          <w:p w14:paraId="451B50CD" w14:textId="77777777" w:rsidR="00514A54" w:rsidRPr="005946E8" w:rsidRDefault="00A80BB8">
            <w:pPr>
              <w:pStyle w:val="TableContents"/>
              <w:snapToGrid w:val="0"/>
              <w:rPr>
                <w:rFonts w:ascii="Arial" w:hAnsi="Arial" w:cs="Arial"/>
                <w:color w:val="000000"/>
                <w:sz w:val="18"/>
                <w:szCs w:val="18"/>
                <w:lang w:val="en-US"/>
              </w:rPr>
            </w:pPr>
            <w:r w:rsidRPr="005946E8">
              <w:rPr>
                <w:rFonts w:ascii="Arial" w:hAnsi="Arial" w:cs="Arial"/>
                <w:color w:val="000000"/>
                <w:sz w:val="18"/>
                <w:szCs w:val="18"/>
                <w:lang w:val="en-US"/>
              </w:rPr>
              <w:t xml:space="preserve">From predicted TFBS overlapped by a variant, two information are </w:t>
            </w:r>
            <w:proofErr w:type="gramStart"/>
            <w:r w:rsidRPr="005946E8">
              <w:rPr>
                <w:rFonts w:ascii="Arial" w:hAnsi="Arial" w:cs="Arial"/>
                <w:color w:val="000000"/>
                <w:sz w:val="18"/>
                <w:szCs w:val="18"/>
                <w:lang w:val="en-US"/>
              </w:rPr>
              <w:t>extracted :</w:t>
            </w:r>
            <w:proofErr w:type="gramEnd"/>
            <w:r w:rsidRPr="005946E8">
              <w:rPr>
                <w:rFonts w:ascii="Arial" w:hAnsi="Arial" w:cs="Arial"/>
                <w:color w:val="000000"/>
                <w:sz w:val="18"/>
                <w:szCs w:val="18"/>
                <w:lang w:val="en-US"/>
              </w:rPr>
              <w:t xml:space="preserve"> the number of predicted TFBS, and the maximum score of site prediction.</w:t>
            </w:r>
          </w:p>
          <w:p w14:paraId="43F791B6" w14:textId="77777777" w:rsidR="00514A54" w:rsidRPr="005946E8" w:rsidRDefault="00514A54">
            <w:pPr>
              <w:pStyle w:val="TableContents"/>
              <w:snapToGrid w:val="0"/>
              <w:rPr>
                <w:rFonts w:ascii="Arial" w:hAnsi="Arial" w:cs="Arial"/>
                <w:color w:val="000000"/>
                <w:sz w:val="18"/>
                <w:szCs w:val="18"/>
                <w:lang w:val="en-US"/>
              </w:rPr>
            </w:pPr>
          </w:p>
        </w:tc>
        <w:tc>
          <w:tcPr>
            <w:tcW w:w="1983" w:type="dxa"/>
            <w:vMerge/>
            <w:tcBorders>
              <w:top w:val="single" w:sz="6" w:space="0" w:color="000000"/>
              <w:bottom w:val="single" w:sz="6" w:space="0" w:color="000000"/>
            </w:tcBorders>
            <w:shd w:val="clear" w:color="auto" w:fill="auto"/>
            <w:vAlign w:val="center"/>
          </w:tcPr>
          <w:p w14:paraId="0B9DDE6B" w14:textId="77777777" w:rsidR="00514A54" w:rsidRPr="005946E8" w:rsidRDefault="00514A54">
            <w:pPr>
              <w:pStyle w:val="TableContents"/>
              <w:snapToGrid w:val="0"/>
              <w:jc w:val="center"/>
              <w:rPr>
                <w:rFonts w:ascii="Arial" w:hAnsi="Arial" w:cs="Arial"/>
                <w:color w:val="000000"/>
                <w:sz w:val="18"/>
                <w:szCs w:val="18"/>
                <w:lang w:val="en-US"/>
              </w:rPr>
            </w:pPr>
          </w:p>
        </w:tc>
        <w:tc>
          <w:tcPr>
            <w:tcW w:w="1315" w:type="dxa"/>
            <w:tcBorders>
              <w:top w:val="single" w:sz="6" w:space="0" w:color="000000"/>
              <w:bottom w:val="single" w:sz="6" w:space="0" w:color="000000"/>
            </w:tcBorders>
            <w:shd w:val="clear" w:color="auto" w:fill="auto"/>
          </w:tcPr>
          <w:p w14:paraId="426A668B" w14:textId="77777777" w:rsidR="00514A54" w:rsidRPr="005946E8" w:rsidRDefault="00A80BB8">
            <w:pPr>
              <w:pStyle w:val="TableContents"/>
              <w:rPr>
                <w:rFonts w:ascii="Arial" w:hAnsi="Arial" w:cs="Arial"/>
                <w:sz w:val="18"/>
                <w:szCs w:val="18"/>
                <w:lang w:val="en-US"/>
              </w:rPr>
            </w:pPr>
            <w:r w:rsidRPr="005946E8">
              <w:rPr>
                <w:rFonts w:ascii="Arial" w:hAnsi="Arial" w:cs="Arial"/>
                <w:color w:val="000000"/>
                <w:sz w:val="18"/>
                <w:szCs w:val="18"/>
                <w:lang w:val="en-US"/>
              </w:rPr>
              <w:t>Discrete</w:t>
            </w:r>
          </w:p>
        </w:tc>
        <w:tc>
          <w:tcPr>
            <w:tcW w:w="1042" w:type="dxa"/>
            <w:tcBorders>
              <w:top w:val="single" w:sz="6" w:space="0" w:color="000000"/>
              <w:bottom w:val="single" w:sz="6" w:space="0" w:color="000000"/>
            </w:tcBorders>
            <w:shd w:val="clear" w:color="auto" w:fill="auto"/>
          </w:tcPr>
          <w:p w14:paraId="06ECBAC4" w14:textId="7DF3356E" w:rsidR="00514A54" w:rsidRPr="00E70A8B" w:rsidRDefault="00A80BB8">
            <w:pPr>
              <w:pStyle w:val="TableContents"/>
              <w:rPr>
                <w:rFonts w:ascii="Arial" w:hAnsi="Arial" w:cs="Arial"/>
              </w:rPr>
            </w:pPr>
            <w:r w:rsidRPr="00E70A8B">
              <w:rPr>
                <w:rFonts w:ascii="Arial" w:hAnsi="Arial" w:cs="Arial"/>
              </w:rPr>
              <w:fldChar w:fldCharType="begin"/>
            </w:r>
            <w:r w:rsidR="004A7EB4">
              <w:rPr>
                <w:rFonts w:ascii="Arial" w:hAnsi="Arial" w:cs="Arial"/>
                <w:lang w:val="en-US"/>
              </w:rPr>
              <w:instrText xml:space="preserve"> ADDIN ZOTERO_ITEM CSL_CITATION {"citationID":"siTtwqDP","properties":{"formattedCitation":"[8]","plainCitation":"[8]","noteIndex":0},"citationItems":[{"id":3146,"uris":["http://zotero.org/groups/2472009/items/AA6ZI8PU"],"uri":["http://zotero.org/groups/2472009/items/AA6ZI8PU"],"itemData":{"id":3146,"type":"article-journal","abstract":"Most genomic variants associated with phenotypic traits or disease do not fall within gene coding regions, but in regulatory regions, rendering their interpretation difficult. We collected public data on epigenetic marks and transcription factor binding in human cell types and used it to construct an intuitive summary of regulatory regions in the human genome. We verified it against independent assays for sensitivity. The Ensembl Regulatory Build will be progressively enriched when more data is made available. It is freely available on the Ensembl browser, from the Ensembl Regulation MySQL database server and in a dedicated track hub.","container-title":"Genome Biology","DOI":"10.1186/s13059-015-0621-5","ISSN":"1474-760X (Electronic) 1474-7596 (Linking)","page":"56","title":"The ensembl regulatory build","volume":"16","author":[{"family":"Zerbino","given":"D. R."},{"family":"Wilder","given":"S. P."},{"family":"Johnson","given":"N."},{"family":"Juettemann","given":"T."},{"family":"Flicek","given":"P. R."}],"issued":{"date-parts":[["2015"]]}}}],"schema":"https://github.com/citation-style-language/schema/raw/master/csl-citation.json"} </w:instrText>
            </w:r>
            <w:r w:rsidRPr="00E70A8B">
              <w:rPr>
                <w:rFonts w:ascii="Arial" w:hAnsi="Arial" w:cs="Arial"/>
              </w:rPr>
              <w:fldChar w:fldCharType="separate"/>
            </w:r>
            <w:bookmarkStart w:id="37" w:name="__Fieldmark__228_2281253091"/>
            <w:bookmarkStart w:id="38" w:name="__Fieldmark__210_3451003990"/>
            <w:r w:rsidR="004A7EB4">
              <w:rPr>
                <w:rFonts w:ascii="Arial" w:hAnsi="Arial" w:cs="Arial"/>
                <w:sz w:val="18"/>
                <w:szCs w:val="18"/>
                <w:lang w:val="en-GB"/>
              </w:rPr>
              <w:t>[8]</w:t>
            </w:r>
            <w:r w:rsidRPr="00E70A8B">
              <w:rPr>
                <w:rFonts w:ascii="Arial" w:hAnsi="Arial" w:cs="Arial"/>
              </w:rPr>
              <w:fldChar w:fldCharType="end"/>
            </w:r>
            <w:bookmarkEnd w:id="37"/>
            <w:bookmarkEnd w:id="38"/>
          </w:p>
        </w:tc>
      </w:tr>
      <w:tr w:rsidR="00514A54" w:rsidRPr="00E70A8B" w14:paraId="4230FB13" w14:textId="77777777">
        <w:tc>
          <w:tcPr>
            <w:tcW w:w="2382" w:type="dxa"/>
            <w:tcBorders>
              <w:top w:val="single" w:sz="6" w:space="0" w:color="000000"/>
              <w:bottom w:val="single" w:sz="6" w:space="0" w:color="000000"/>
            </w:tcBorders>
            <w:shd w:val="clear" w:color="auto" w:fill="auto"/>
          </w:tcPr>
          <w:p w14:paraId="33233AB2"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TFBS max score</w:t>
            </w:r>
          </w:p>
        </w:tc>
        <w:tc>
          <w:tcPr>
            <w:tcW w:w="3250" w:type="dxa"/>
            <w:vMerge/>
            <w:tcBorders>
              <w:top w:val="single" w:sz="6" w:space="0" w:color="000000"/>
              <w:bottom w:val="single" w:sz="6" w:space="0" w:color="000000"/>
            </w:tcBorders>
            <w:shd w:val="clear" w:color="auto" w:fill="auto"/>
          </w:tcPr>
          <w:p w14:paraId="698F8505" w14:textId="77777777" w:rsidR="00514A54" w:rsidRPr="00E70A8B" w:rsidRDefault="00514A54">
            <w:pPr>
              <w:pStyle w:val="TableContents"/>
              <w:snapToGrid w:val="0"/>
              <w:rPr>
                <w:rFonts w:ascii="Arial" w:hAnsi="Arial" w:cs="Arial"/>
                <w:color w:val="000000"/>
                <w:sz w:val="18"/>
                <w:szCs w:val="18"/>
                <w:lang w:val="en-GB"/>
              </w:rPr>
            </w:pPr>
          </w:p>
        </w:tc>
        <w:tc>
          <w:tcPr>
            <w:tcW w:w="1983" w:type="dxa"/>
            <w:vMerge/>
            <w:tcBorders>
              <w:top w:val="single" w:sz="6" w:space="0" w:color="000000"/>
              <w:bottom w:val="single" w:sz="6" w:space="0" w:color="000000"/>
            </w:tcBorders>
            <w:shd w:val="clear" w:color="auto" w:fill="auto"/>
            <w:vAlign w:val="center"/>
          </w:tcPr>
          <w:p w14:paraId="41EF0029" w14:textId="77777777" w:rsidR="00514A54" w:rsidRPr="00E70A8B" w:rsidRDefault="00514A54">
            <w:pPr>
              <w:pStyle w:val="TableContents"/>
              <w:snapToGrid w:val="0"/>
              <w:jc w:val="center"/>
              <w:rPr>
                <w:rFonts w:ascii="Arial" w:hAnsi="Arial" w:cs="Arial"/>
                <w:color w:val="000000"/>
                <w:sz w:val="18"/>
                <w:szCs w:val="18"/>
                <w:lang w:val="en-GB"/>
              </w:rPr>
            </w:pPr>
          </w:p>
        </w:tc>
        <w:tc>
          <w:tcPr>
            <w:tcW w:w="1315" w:type="dxa"/>
            <w:tcBorders>
              <w:top w:val="single" w:sz="6" w:space="0" w:color="000000"/>
              <w:bottom w:val="single" w:sz="6" w:space="0" w:color="000000"/>
            </w:tcBorders>
            <w:shd w:val="clear" w:color="auto" w:fill="auto"/>
          </w:tcPr>
          <w:p w14:paraId="08E5FB97"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Continuous</w:t>
            </w:r>
          </w:p>
        </w:tc>
        <w:tc>
          <w:tcPr>
            <w:tcW w:w="1042" w:type="dxa"/>
            <w:tcBorders>
              <w:top w:val="single" w:sz="6" w:space="0" w:color="000000"/>
              <w:bottom w:val="single" w:sz="6" w:space="0" w:color="000000"/>
            </w:tcBorders>
            <w:shd w:val="clear" w:color="auto" w:fill="auto"/>
          </w:tcPr>
          <w:p w14:paraId="79F18966" w14:textId="445A7968" w:rsidR="00514A54" w:rsidRPr="00E70A8B" w:rsidRDefault="00A80BB8">
            <w:pPr>
              <w:pStyle w:val="TableContents"/>
              <w:rPr>
                <w:rFonts w:ascii="Arial" w:hAnsi="Arial" w:cs="Arial"/>
              </w:rPr>
            </w:pPr>
            <w:r w:rsidRPr="00E70A8B">
              <w:rPr>
                <w:rFonts w:ascii="Arial" w:hAnsi="Arial" w:cs="Arial"/>
              </w:rPr>
              <w:fldChar w:fldCharType="begin"/>
            </w:r>
            <w:r w:rsidR="004A7EB4">
              <w:rPr>
                <w:rFonts w:ascii="Arial" w:hAnsi="Arial" w:cs="Arial"/>
              </w:rPr>
              <w:instrText xml:space="preserve"> ADDIN ZOTERO_ITEM CSL_CITATION {"citationID":"6AuHPKiL","properties":{"formattedCitation":"[8]","plainCitation":"[8]","noteIndex":0},"citationItems":[{"id":3146,"uris":["http://zotero.org/groups/2472009/items/AA6ZI8PU"],"uri":["http://zotero.org/groups/2472009/items/AA6ZI8PU"],"itemData":{"id":3146,"type":"article-journal","abstract":"Most genomic variants associated with phenotypic traits or disease do not fall within gene coding regions, but in regulatory regions, rendering their interpretation difficult. We collected public data on epigenetic marks and transcription factor binding in human cell types and used it to construct an intuitive summary of regulatory regions in the human genome. We verified it against independent assays for sensitivity. The Ensembl Regulatory Build will be progressively enriched when more data is made available. It is freely available on the Ensembl browser, from the Ensembl Regulation MySQL database server and in a dedicated track hub.","container-title":"Genome Biology","DOI":"10.1186/s13059-015-0621-5","ISSN":"1474-760X (Electronic) 1474-7596 (Linking)","page":"56","title":"The ensembl regulatory build","volume":"16","author":[{"family":"Zerbino","given":"D. R."},{"family":"Wilder","given":"S. P."},{"family":"Johnson","given":"N."},{"family":"Juettemann","given":"T."},{"family":"Flicek","given":"P. R."}],"issued":{"date-parts":[["2015"]]}}}],"schema":"https://github.com/citation-style-language/schema/raw/master/csl-citation.json"} </w:instrText>
            </w:r>
            <w:r w:rsidRPr="00E70A8B">
              <w:rPr>
                <w:rFonts w:ascii="Arial" w:hAnsi="Arial" w:cs="Arial"/>
              </w:rPr>
              <w:fldChar w:fldCharType="separate"/>
            </w:r>
            <w:bookmarkStart w:id="39" w:name="__Fieldmark__237_2281253091"/>
            <w:bookmarkStart w:id="40" w:name="__Fieldmark__217_3451003990"/>
            <w:r w:rsidR="004A7EB4">
              <w:rPr>
                <w:rFonts w:ascii="Arial" w:hAnsi="Arial" w:cs="Arial"/>
                <w:sz w:val="18"/>
                <w:szCs w:val="18"/>
                <w:lang w:val="en-GB"/>
              </w:rPr>
              <w:t>[8]</w:t>
            </w:r>
            <w:r w:rsidRPr="00E70A8B">
              <w:rPr>
                <w:rFonts w:ascii="Arial" w:hAnsi="Arial" w:cs="Arial"/>
              </w:rPr>
              <w:fldChar w:fldCharType="end"/>
            </w:r>
            <w:bookmarkEnd w:id="39"/>
            <w:bookmarkEnd w:id="40"/>
          </w:p>
        </w:tc>
      </w:tr>
      <w:tr w:rsidR="00514A54" w:rsidRPr="00E70A8B" w14:paraId="38C18834" w14:textId="77777777">
        <w:tc>
          <w:tcPr>
            <w:tcW w:w="2382" w:type="dxa"/>
            <w:tcBorders>
              <w:top w:val="single" w:sz="6" w:space="0" w:color="000000"/>
              <w:bottom w:val="single" w:sz="6" w:space="0" w:color="000000"/>
            </w:tcBorders>
            <w:shd w:val="clear" w:color="auto" w:fill="auto"/>
          </w:tcPr>
          <w:p w14:paraId="6C1CECD4"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Conserved TFBS count</w:t>
            </w:r>
          </w:p>
        </w:tc>
        <w:tc>
          <w:tcPr>
            <w:tcW w:w="3250" w:type="dxa"/>
            <w:vMerge/>
            <w:tcBorders>
              <w:top w:val="single" w:sz="6" w:space="0" w:color="000000"/>
              <w:bottom w:val="single" w:sz="6" w:space="0" w:color="000000"/>
            </w:tcBorders>
            <w:shd w:val="clear" w:color="auto" w:fill="auto"/>
          </w:tcPr>
          <w:p w14:paraId="2CB6748E" w14:textId="77777777" w:rsidR="00514A54" w:rsidRPr="00E70A8B" w:rsidRDefault="00514A54">
            <w:pPr>
              <w:pStyle w:val="TableContents"/>
              <w:snapToGrid w:val="0"/>
              <w:rPr>
                <w:rFonts w:ascii="Arial" w:hAnsi="Arial" w:cs="Arial"/>
                <w:color w:val="000000"/>
                <w:sz w:val="18"/>
                <w:szCs w:val="18"/>
                <w:lang w:val="en-GB"/>
              </w:rPr>
            </w:pPr>
          </w:p>
        </w:tc>
        <w:tc>
          <w:tcPr>
            <w:tcW w:w="1983" w:type="dxa"/>
            <w:vMerge/>
            <w:tcBorders>
              <w:top w:val="single" w:sz="6" w:space="0" w:color="000000"/>
              <w:bottom w:val="single" w:sz="6" w:space="0" w:color="000000"/>
            </w:tcBorders>
            <w:shd w:val="clear" w:color="auto" w:fill="auto"/>
            <w:vAlign w:val="center"/>
          </w:tcPr>
          <w:p w14:paraId="6EA24905" w14:textId="77777777" w:rsidR="00514A54" w:rsidRPr="00E70A8B" w:rsidRDefault="00514A54">
            <w:pPr>
              <w:pStyle w:val="TableContents"/>
              <w:snapToGrid w:val="0"/>
              <w:jc w:val="center"/>
              <w:rPr>
                <w:rFonts w:ascii="Arial" w:hAnsi="Arial" w:cs="Arial"/>
                <w:color w:val="000000"/>
                <w:sz w:val="18"/>
                <w:szCs w:val="18"/>
                <w:lang w:val="en-GB"/>
              </w:rPr>
            </w:pPr>
          </w:p>
        </w:tc>
        <w:tc>
          <w:tcPr>
            <w:tcW w:w="1315" w:type="dxa"/>
            <w:tcBorders>
              <w:top w:val="single" w:sz="6" w:space="0" w:color="000000"/>
              <w:bottom w:val="single" w:sz="6" w:space="0" w:color="000000"/>
            </w:tcBorders>
            <w:shd w:val="clear" w:color="auto" w:fill="auto"/>
          </w:tcPr>
          <w:p w14:paraId="62D8320F"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Discrete</w:t>
            </w:r>
          </w:p>
        </w:tc>
        <w:tc>
          <w:tcPr>
            <w:tcW w:w="1042" w:type="dxa"/>
            <w:tcBorders>
              <w:top w:val="single" w:sz="6" w:space="0" w:color="000000"/>
              <w:bottom w:val="single" w:sz="6" w:space="0" w:color="000000"/>
            </w:tcBorders>
            <w:shd w:val="clear" w:color="auto" w:fill="auto"/>
          </w:tcPr>
          <w:p w14:paraId="1B05635C" w14:textId="77777777" w:rsidR="00514A54" w:rsidRPr="00E70A8B" w:rsidRDefault="00A80BB8">
            <w:pPr>
              <w:pStyle w:val="TableContents"/>
              <w:rPr>
                <w:rFonts w:ascii="Arial" w:hAnsi="Arial" w:cs="Arial"/>
                <w:sz w:val="18"/>
                <w:szCs w:val="18"/>
                <w:lang w:val="en-GB"/>
              </w:rPr>
            </w:pPr>
            <w:r w:rsidRPr="00E70A8B">
              <w:rPr>
                <w:rFonts w:ascii="Arial" w:hAnsi="Arial" w:cs="Arial"/>
                <w:sz w:val="18"/>
                <w:szCs w:val="18"/>
                <w:lang w:val="en-GB"/>
              </w:rPr>
              <w:t>UCSC track</w:t>
            </w:r>
          </w:p>
        </w:tc>
      </w:tr>
      <w:tr w:rsidR="00514A54" w:rsidRPr="00E70A8B" w14:paraId="1C9E0D75" w14:textId="77777777">
        <w:tc>
          <w:tcPr>
            <w:tcW w:w="2382" w:type="dxa"/>
            <w:tcBorders>
              <w:top w:val="single" w:sz="6" w:space="0" w:color="000000"/>
              <w:bottom w:val="single" w:sz="6" w:space="0" w:color="000000"/>
            </w:tcBorders>
            <w:shd w:val="clear" w:color="auto" w:fill="auto"/>
          </w:tcPr>
          <w:p w14:paraId="73930D2D"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Conserved TFBS max score</w:t>
            </w:r>
          </w:p>
        </w:tc>
        <w:tc>
          <w:tcPr>
            <w:tcW w:w="3250" w:type="dxa"/>
            <w:vMerge/>
            <w:tcBorders>
              <w:top w:val="single" w:sz="6" w:space="0" w:color="000000"/>
              <w:bottom w:val="single" w:sz="6" w:space="0" w:color="000000"/>
            </w:tcBorders>
            <w:shd w:val="clear" w:color="auto" w:fill="auto"/>
          </w:tcPr>
          <w:p w14:paraId="6B6D72D4" w14:textId="77777777" w:rsidR="00514A54" w:rsidRPr="00E70A8B" w:rsidRDefault="00514A54">
            <w:pPr>
              <w:pStyle w:val="TableContents"/>
              <w:snapToGrid w:val="0"/>
              <w:rPr>
                <w:rFonts w:ascii="Arial" w:hAnsi="Arial" w:cs="Arial"/>
                <w:color w:val="000000"/>
                <w:sz w:val="18"/>
                <w:szCs w:val="18"/>
                <w:lang w:val="en-GB"/>
              </w:rPr>
            </w:pPr>
          </w:p>
        </w:tc>
        <w:tc>
          <w:tcPr>
            <w:tcW w:w="1983" w:type="dxa"/>
            <w:vMerge/>
            <w:tcBorders>
              <w:top w:val="single" w:sz="6" w:space="0" w:color="000000"/>
              <w:bottom w:val="single" w:sz="6" w:space="0" w:color="000000"/>
            </w:tcBorders>
            <w:shd w:val="clear" w:color="auto" w:fill="auto"/>
            <w:vAlign w:val="center"/>
          </w:tcPr>
          <w:p w14:paraId="60DB160A" w14:textId="77777777" w:rsidR="00514A54" w:rsidRPr="00E70A8B" w:rsidRDefault="00514A54">
            <w:pPr>
              <w:pStyle w:val="TableContents"/>
              <w:snapToGrid w:val="0"/>
              <w:jc w:val="center"/>
              <w:rPr>
                <w:rFonts w:ascii="Arial" w:hAnsi="Arial" w:cs="Arial"/>
                <w:color w:val="000000"/>
                <w:sz w:val="18"/>
                <w:szCs w:val="18"/>
                <w:lang w:val="en-GB"/>
              </w:rPr>
            </w:pPr>
          </w:p>
        </w:tc>
        <w:tc>
          <w:tcPr>
            <w:tcW w:w="1315" w:type="dxa"/>
            <w:tcBorders>
              <w:top w:val="single" w:sz="6" w:space="0" w:color="000000"/>
              <w:bottom w:val="single" w:sz="6" w:space="0" w:color="000000"/>
            </w:tcBorders>
            <w:shd w:val="clear" w:color="auto" w:fill="auto"/>
          </w:tcPr>
          <w:p w14:paraId="4FE9748B"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Continuous</w:t>
            </w:r>
          </w:p>
        </w:tc>
        <w:tc>
          <w:tcPr>
            <w:tcW w:w="1042" w:type="dxa"/>
            <w:tcBorders>
              <w:top w:val="single" w:sz="6" w:space="0" w:color="000000"/>
              <w:bottom w:val="single" w:sz="6" w:space="0" w:color="000000"/>
            </w:tcBorders>
            <w:shd w:val="clear" w:color="auto" w:fill="auto"/>
          </w:tcPr>
          <w:p w14:paraId="4A28DC73" w14:textId="77777777" w:rsidR="00514A54" w:rsidRPr="00E70A8B" w:rsidRDefault="00A80BB8">
            <w:pPr>
              <w:pStyle w:val="TableContents"/>
              <w:rPr>
                <w:rFonts w:ascii="Arial" w:hAnsi="Arial" w:cs="Arial"/>
                <w:sz w:val="18"/>
                <w:szCs w:val="18"/>
                <w:lang w:val="en-GB"/>
              </w:rPr>
            </w:pPr>
            <w:r w:rsidRPr="00E70A8B">
              <w:rPr>
                <w:rFonts w:ascii="Arial" w:hAnsi="Arial" w:cs="Arial"/>
                <w:sz w:val="18"/>
                <w:szCs w:val="18"/>
                <w:lang w:val="en-GB"/>
              </w:rPr>
              <w:t>UCSC track</w:t>
            </w:r>
          </w:p>
        </w:tc>
      </w:tr>
      <w:tr w:rsidR="00514A54" w:rsidRPr="00E70A8B" w14:paraId="11C2795C" w14:textId="77777777">
        <w:tc>
          <w:tcPr>
            <w:tcW w:w="2382" w:type="dxa"/>
            <w:tcBorders>
              <w:top w:val="single" w:sz="6" w:space="0" w:color="000000"/>
              <w:bottom w:val="single" w:sz="6" w:space="0" w:color="000000"/>
            </w:tcBorders>
            <w:shd w:val="clear" w:color="auto" w:fill="auto"/>
          </w:tcPr>
          <w:p w14:paraId="767707A2"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Clustered TFBS count</w:t>
            </w:r>
          </w:p>
        </w:tc>
        <w:tc>
          <w:tcPr>
            <w:tcW w:w="3250" w:type="dxa"/>
            <w:vMerge/>
            <w:tcBorders>
              <w:top w:val="single" w:sz="6" w:space="0" w:color="000000"/>
              <w:bottom w:val="single" w:sz="6" w:space="0" w:color="000000"/>
            </w:tcBorders>
            <w:shd w:val="clear" w:color="auto" w:fill="auto"/>
          </w:tcPr>
          <w:p w14:paraId="4F6CD2A7" w14:textId="77777777" w:rsidR="00514A54" w:rsidRPr="00E70A8B" w:rsidRDefault="00514A54">
            <w:pPr>
              <w:pStyle w:val="TableContents"/>
              <w:snapToGrid w:val="0"/>
              <w:rPr>
                <w:rFonts w:ascii="Arial" w:hAnsi="Arial" w:cs="Arial"/>
                <w:color w:val="000000"/>
                <w:sz w:val="18"/>
                <w:szCs w:val="18"/>
                <w:lang w:val="en-GB"/>
              </w:rPr>
            </w:pPr>
          </w:p>
        </w:tc>
        <w:tc>
          <w:tcPr>
            <w:tcW w:w="1983" w:type="dxa"/>
            <w:vMerge/>
            <w:tcBorders>
              <w:top w:val="single" w:sz="6" w:space="0" w:color="000000"/>
              <w:bottom w:val="single" w:sz="6" w:space="0" w:color="000000"/>
            </w:tcBorders>
            <w:shd w:val="clear" w:color="auto" w:fill="auto"/>
            <w:vAlign w:val="center"/>
          </w:tcPr>
          <w:p w14:paraId="1CDA33CD" w14:textId="77777777" w:rsidR="00514A54" w:rsidRPr="00E70A8B" w:rsidRDefault="00514A54">
            <w:pPr>
              <w:pStyle w:val="TableContents"/>
              <w:snapToGrid w:val="0"/>
              <w:jc w:val="center"/>
              <w:rPr>
                <w:rFonts w:ascii="Arial" w:hAnsi="Arial" w:cs="Arial"/>
                <w:color w:val="000000"/>
                <w:sz w:val="18"/>
                <w:szCs w:val="18"/>
                <w:lang w:val="en-GB"/>
              </w:rPr>
            </w:pPr>
          </w:p>
        </w:tc>
        <w:tc>
          <w:tcPr>
            <w:tcW w:w="1315" w:type="dxa"/>
            <w:tcBorders>
              <w:top w:val="single" w:sz="6" w:space="0" w:color="000000"/>
              <w:bottom w:val="single" w:sz="6" w:space="0" w:color="000000"/>
            </w:tcBorders>
            <w:shd w:val="clear" w:color="auto" w:fill="auto"/>
          </w:tcPr>
          <w:p w14:paraId="7A01FEDC"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Discrete</w:t>
            </w:r>
          </w:p>
        </w:tc>
        <w:tc>
          <w:tcPr>
            <w:tcW w:w="1042" w:type="dxa"/>
            <w:tcBorders>
              <w:top w:val="single" w:sz="6" w:space="0" w:color="000000"/>
              <w:bottom w:val="single" w:sz="6" w:space="0" w:color="000000"/>
            </w:tcBorders>
            <w:shd w:val="clear" w:color="auto" w:fill="auto"/>
          </w:tcPr>
          <w:p w14:paraId="399B3163" w14:textId="77777777" w:rsidR="00514A54" w:rsidRPr="00E70A8B" w:rsidRDefault="00A80BB8">
            <w:pPr>
              <w:pStyle w:val="TableContents"/>
              <w:rPr>
                <w:rFonts w:ascii="Arial" w:hAnsi="Arial" w:cs="Arial"/>
                <w:sz w:val="18"/>
                <w:szCs w:val="18"/>
                <w:lang w:val="en-GB"/>
              </w:rPr>
            </w:pPr>
            <w:r w:rsidRPr="00E70A8B">
              <w:rPr>
                <w:rFonts w:ascii="Arial" w:hAnsi="Arial" w:cs="Arial"/>
                <w:sz w:val="18"/>
                <w:szCs w:val="18"/>
                <w:lang w:val="en-GB"/>
              </w:rPr>
              <w:t>UCSC track</w:t>
            </w:r>
          </w:p>
        </w:tc>
      </w:tr>
      <w:tr w:rsidR="00514A54" w:rsidRPr="00E70A8B" w14:paraId="51D06176" w14:textId="77777777">
        <w:trPr>
          <w:trHeight w:val="320"/>
        </w:trPr>
        <w:tc>
          <w:tcPr>
            <w:tcW w:w="2382" w:type="dxa"/>
            <w:tcBorders>
              <w:top w:val="single" w:sz="6" w:space="0" w:color="000000"/>
              <w:bottom w:val="single" w:sz="4" w:space="0" w:color="000000"/>
            </w:tcBorders>
            <w:shd w:val="clear" w:color="auto" w:fill="auto"/>
          </w:tcPr>
          <w:p w14:paraId="6CB68274"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Clustered TFBS max score</w:t>
            </w:r>
          </w:p>
        </w:tc>
        <w:tc>
          <w:tcPr>
            <w:tcW w:w="3250" w:type="dxa"/>
            <w:vMerge/>
            <w:tcBorders>
              <w:top w:val="single" w:sz="6" w:space="0" w:color="000000"/>
              <w:bottom w:val="single" w:sz="6" w:space="0" w:color="000000"/>
            </w:tcBorders>
            <w:shd w:val="clear" w:color="auto" w:fill="auto"/>
          </w:tcPr>
          <w:p w14:paraId="30B799A6" w14:textId="77777777" w:rsidR="00514A54" w:rsidRPr="00E70A8B" w:rsidRDefault="00514A54">
            <w:pPr>
              <w:pStyle w:val="TableContents"/>
              <w:snapToGrid w:val="0"/>
              <w:rPr>
                <w:rFonts w:ascii="Arial" w:hAnsi="Arial" w:cs="Arial"/>
                <w:color w:val="000000"/>
                <w:sz w:val="18"/>
                <w:szCs w:val="18"/>
                <w:lang w:val="en-GB"/>
              </w:rPr>
            </w:pPr>
          </w:p>
        </w:tc>
        <w:tc>
          <w:tcPr>
            <w:tcW w:w="1983" w:type="dxa"/>
            <w:vMerge/>
            <w:tcBorders>
              <w:top w:val="single" w:sz="6" w:space="0" w:color="000000"/>
              <w:bottom w:val="single" w:sz="4" w:space="0" w:color="000000"/>
            </w:tcBorders>
            <w:shd w:val="clear" w:color="auto" w:fill="auto"/>
            <w:vAlign w:val="center"/>
          </w:tcPr>
          <w:p w14:paraId="0E8E3260" w14:textId="77777777" w:rsidR="00514A54" w:rsidRPr="00E70A8B" w:rsidRDefault="00514A54">
            <w:pPr>
              <w:pStyle w:val="TableContents"/>
              <w:snapToGrid w:val="0"/>
              <w:jc w:val="center"/>
              <w:rPr>
                <w:rFonts w:ascii="Arial" w:hAnsi="Arial" w:cs="Arial"/>
                <w:color w:val="000000"/>
                <w:sz w:val="18"/>
                <w:szCs w:val="18"/>
                <w:lang w:val="en-GB"/>
              </w:rPr>
            </w:pPr>
          </w:p>
        </w:tc>
        <w:tc>
          <w:tcPr>
            <w:tcW w:w="1315" w:type="dxa"/>
            <w:tcBorders>
              <w:top w:val="single" w:sz="6" w:space="0" w:color="000000"/>
              <w:bottom w:val="single" w:sz="4" w:space="0" w:color="000000"/>
            </w:tcBorders>
            <w:shd w:val="clear" w:color="auto" w:fill="auto"/>
          </w:tcPr>
          <w:p w14:paraId="002F41C7"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Continuous</w:t>
            </w:r>
          </w:p>
        </w:tc>
        <w:tc>
          <w:tcPr>
            <w:tcW w:w="1042" w:type="dxa"/>
            <w:tcBorders>
              <w:top w:val="single" w:sz="6" w:space="0" w:color="000000"/>
              <w:bottom w:val="single" w:sz="4" w:space="0" w:color="000000"/>
            </w:tcBorders>
            <w:shd w:val="clear" w:color="auto" w:fill="auto"/>
          </w:tcPr>
          <w:p w14:paraId="2FFB2BE9" w14:textId="77777777" w:rsidR="00514A54" w:rsidRPr="00E70A8B" w:rsidRDefault="00A80BB8">
            <w:pPr>
              <w:pStyle w:val="TableContents"/>
              <w:rPr>
                <w:rFonts w:ascii="Arial" w:hAnsi="Arial" w:cs="Arial"/>
                <w:b/>
                <w:sz w:val="18"/>
                <w:szCs w:val="18"/>
                <w:lang w:val="en-GB"/>
              </w:rPr>
            </w:pPr>
            <w:r w:rsidRPr="00E70A8B">
              <w:rPr>
                <w:rFonts w:ascii="Arial" w:hAnsi="Arial" w:cs="Arial"/>
                <w:sz w:val="18"/>
                <w:szCs w:val="18"/>
                <w:lang w:val="en-GB"/>
              </w:rPr>
              <w:t>UCSC track</w:t>
            </w:r>
          </w:p>
        </w:tc>
      </w:tr>
      <w:tr w:rsidR="00514A54" w:rsidRPr="00E70A8B" w14:paraId="2128937A" w14:textId="77777777">
        <w:tc>
          <w:tcPr>
            <w:tcW w:w="2382" w:type="dxa"/>
            <w:tcBorders>
              <w:top w:val="single" w:sz="4" w:space="0" w:color="000000"/>
              <w:bottom w:val="single" w:sz="6" w:space="0" w:color="000000"/>
            </w:tcBorders>
            <w:shd w:val="clear" w:color="auto" w:fill="auto"/>
          </w:tcPr>
          <w:p w14:paraId="4237CF99"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PEGASUS score</w:t>
            </w:r>
          </w:p>
        </w:tc>
        <w:tc>
          <w:tcPr>
            <w:tcW w:w="3250" w:type="dxa"/>
            <w:vMerge w:val="restart"/>
            <w:tcBorders>
              <w:top w:val="single" w:sz="4" w:space="0" w:color="000000"/>
              <w:bottom w:val="single" w:sz="6" w:space="0" w:color="000000"/>
            </w:tcBorders>
            <w:shd w:val="clear" w:color="auto" w:fill="auto"/>
          </w:tcPr>
          <w:p w14:paraId="7223F15A" w14:textId="77777777" w:rsidR="00514A54" w:rsidRPr="00E70A8B" w:rsidRDefault="00A80BB8">
            <w:pPr>
              <w:pStyle w:val="TableContents"/>
              <w:snapToGrid w:val="0"/>
              <w:rPr>
                <w:rFonts w:ascii="Arial" w:hAnsi="Arial" w:cs="Arial"/>
                <w:color w:val="000000"/>
                <w:sz w:val="18"/>
                <w:szCs w:val="18"/>
                <w:lang w:val="en-GB"/>
              </w:rPr>
            </w:pPr>
            <w:r w:rsidRPr="00E70A8B">
              <w:rPr>
                <w:rFonts w:ascii="Arial" w:hAnsi="Arial" w:cs="Arial"/>
                <w:color w:val="000000"/>
                <w:sz w:val="18"/>
                <w:szCs w:val="18"/>
                <w:lang w:val="en-GB"/>
              </w:rPr>
              <w:t xml:space="preserve">From predicted regulatory regions overlapped by a variant, two information are </w:t>
            </w:r>
            <w:proofErr w:type="gramStart"/>
            <w:r w:rsidRPr="00E70A8B">
              <w:rPr>
                <w:rFonts w:ascii="Arial" w:hAnsi="Arial" w:cs="Arial"/>
                <w:color w:val="000000"/>
                <w:sz w:val="18"/>
                <w:szCs w:val="18"/>
                <w:lang w:val="en-GB"/>
              </w:rPr>
              <w:t>extracted :</w:t>
            </w:r>
            <w:proofErr w:type="gramEnd"/>
            <w:r w:rsidRPr="00E70A8B">
              <w:rPr>
                <w:rFonts w:ascii="Arial" w:hAnsi="Arial" w:cs="Arial"/>
                <w:color w:val="000000"/>
                <w:sz w:val="18"/>
                <w:szCs w:val="18"/>
                <w:lang w:val="en-GB"/>
              </w:rPr>
              <w:t xml:space="preserve"> the score associated to the regulatory region, and the number of targets. When multiple regions from a dataset overlap, the maximum score is retrieved. </w:t>
            </w:r>
          </w:p>
          <w:p w14:paraId="67EF028D" w14:textId="77777777" w:rsidR="00514A54" w:rsidRPr="00E70A8B" w:rsidRDefault="00514A54">
            <w:pPr>
              <w:pStyle w:val="TableContents"/>
              <w:snapToGrid w:val="0"/>
              <w:rPr>
                <w:rFonts w:ascii="Arial" w:hAnsi="Arial" w:cs="Arial"/>
                <w:color w:val="000000"/>
                <w:sz w:val="18"/>
                <w:szCs w:val="18"/>
                <w:lang w:val="en-GB"/>
              </w:rPr>
            </w:pPr>
          </w:p>
          <w:p w14:paraId="5741DAF9" w14:textId="77777777" w:rsidR="00514A54" w:rsidRPr="00E70A8B" w:rsidRDefault="00A80BB8">
            <w:pPr>
              <w:pStyle w:val="TableContents"/>
              <w:snapToGrid w:val="0"/>
              <w:rPr>
                <w:rFonts w:ascii="Arial" w:hAnsi="Arial" w:cs="Arial"/>
                <w:color w:val="000000"/>
                <w:sz w:val="18"/>
                <w:szCs w:val="18"/>
                <w:lang w:val="en-GB"/>
              </w:rPr>
            </w:pPr>
            <w:proofErr w:type="spellStart"/>
            <w:r w:rsidRPr="00E70A8B">
              <w:rPr>
                <w:rFonts w:ascii="Arial" w:hAnsi="Arial" w:cs="Arial"/>
                <w:color w:val="000000"/>
                <w:sz w:val="18"/>
                <w:szCs w:val="18"/>
                <w:lang w:val="en-GB"/>
              </w:rPr>
              <w:t>GeneHancer</w:t>
            </w:r>
            <w:proofErr w:type="spellEnd"/>
            <w:r w:rsidRPr="00E70A8B">
              <w:rPr>
                <w:rFonts w:ascii="Arial" w:hAnsi="Arial" w:cs="Arial"/>
                <w:color w:val="000000"/>
                <w:sz w:val="18"/>
                <w:szCs w:val="18"/>
                <w:lang w:val="en-GB"/>
              </w:rPr>
              <w:t xml:space="preserve"> provides with an additional score for the predictions of interactions, which is extracted as “max score targets”.</w:t>
            </w:r>
          </w:p>
        </w:tc>
        <w:tc>
          <w:tcPr>
            <w:tcW w:w="1983" w:type="dxa"/>
            <w:vMerge w:val="restart"/>
            <w:tcBorders>
              <w:top w:val="single" w:sz="4" w:space="0" w:color="000000"/>
              <w:bottom w:val="single" w:sz="6" w:space="0" w:color="000000"/>
            </w:tcBorders>
            <w:shd w:val="clear" w:color="auto" w:fill="auto"/>
            <w:vAlign w:val="center"/>
          </w:tcPr>
          <w:p w14:paraId="147A770C" w14:textId="77777777" w:rsidR="00514A54" w:rsidRPr="00E70A8B" w:rsidRDefault="00A80BB8">
            <w:pPr>
              <w:pStyle w:val="TableContents"/>
              <w:jc w:val="center"/>
              <w:rPr>
                <w:rFonts w:ascii="Arial" w:hAnsi="Arial" w:cs="Arial"/>
                <w:sz w:val="18"/>
                <w:szCs w:val="18"/>
                <w:lang w:val="en-GB"/>
              </w:rPr>
            </w:pPr>
            <w:r w:rsidRPr="00E70A8B">
              <w:rPr>
                <w:rFonts w:ascii="Arial" w:hAnsi="Arial" w:cs="Arial"/>
                <w:color w:val="000000"/>
                <w:sz w:val="18"/>
                <w:szCs w:val="18"/>
                <w:lang w:val="en-GB"/>
              </w:rPr>
              <w:t>Gene associations</w:t>
            </w:r>
          </w:p>
          <w:p w14:paraId="3935D31D" w14:textId="77777777" w:rsidR="00514A54" w:rsidRPr="00E70A8B" w:rsidRDefault="00514A54">
            <w:pPr>
              <w:pStyle w:val="TableContents"/>
              <w:jc w:val="center"/>
              <w:rPr>
                <w:rFonts w:ascii="Arial" w:hAnsi="Arial" w:cs="Arial"/>
                <w:color w:val="000000"/>
                <w:sz w:val="18"/>
                <w:szCs w:val="18"/>
                <w:lang w:val="en-GB"/>
              </w:rPr>
            </w:pPr>
          </w:p>
        </w:tc>
        <w:tc>
          <w:tcPr>
            <w:tcW w:w="1315" w:type="dxa"/>
            <w:tcBorders>
              <w:top w:val="single" w:sz="4" w:space="0" w:color="000000"/>
              <w:bottom w:val="single" w:sz="6" w:space="0" w:color="000000"/>
            </w:tcBorders>
            <w:shd w:val="clear" w:color="auto" w:fill="auto"/>
          </w:tcPr>
          <w:p w14:paraId="60F0CB83"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Continuous</w:t>
            </w:r>
          </w:p>
        </w:tc>
        <w:tc>
          <w:tcPr>
            <w:tcW w:w="1042" w:type="dxa"/>
            <w:tcBorders>
              <w:top w:val="single" w:sz="4" w:space="0" w:color="000000"/>
              <w:bottom w:val="single" w:sz="6" w:space="0" w:color="000000"/>
            </w:tcBorders>
            <w:shd w:val="clear" w:color="auto" w:fill="auto"/>
          </w:tcPr>
          <w:p w14:paraId="10BC417A" w14:textId="4553B62D" w:rsidR="00514A54" w:rsidRPr="00E70A8B" w:rsidRDefault="00A80BB8">
            <w:pPr>
              <w:pStyle w:val="TableContents"/>
              <w:rPr>
                <w:rFonts w:ascii="Arial" w:hAnsi="Arial" w:cs="Arial"/>
              </w:rPr>
            </w:pPr>
            <w:r w:rsidRPr="00E70A8B">
              <w:rPr>
                <w:rFonts w:ascii="Arial" w:hAnsi="Arial" w:cs="Arial"/>
              </w:rPr>
              <w:fldChar w:fldCharType="begin"/>
            </w:r>
            <w:r w:rsidR="004A7EB4">
              <w:rPr>
                <w:rFonts w:ascii="Arial" w:hAnsi="Arial" w:cs="Arial"/>
              </w:rPr>
              <w:instrText xml:space="preserve"> ADDIN ZOTERO_ITEM CSL_CITATION {"citationID":"AxjxIl7T","properties":{"formattedCitation":"[9]","plainCitation":"[9]","noteIndex":0},"citationItems":[{"id":3419,"uris":["http://zotero.org/groups/2472009/items/JMKHXTZB"],"uri":["http://zotero.org/groups/2472009/items/JMKHXTZB"],"itemData":{"id":3419,"type":"article-journal","abstract":"The spatiotemporal expression of genes is controlled by enhancer sequences that bind transcription factors. Identifying the target genes of enhancers remains difficult because enhancers regulate gene expression over long genomic distances. To address this, we used an evolutionary approach to build two genome-wide maps of predicted enhancer-gene associations in the human and zebrafish genomes. Evolutionary conserved sequences were linked to their predicted target genes using PEGASUS, a bioinformatics method that relies on evolutionary conservation of synteny. The analysis of these maps revealed that the number of predicted enhancers linked to a gene correlate with its expression breadth. Comparison of both maps identified hundreds of putative vertebrate ancestral regulatory relationships from which we could determine that predicted enhancer-gene distances scale with genome size despite strong positional conservation. The two maps represent a resource for further studies, including the prioritization of sequence variants in whole genome sequence of patients affected by genetic diseases.","container-title":"Nucleic Acids Research","DOI":"10.1093/nar/gkz1199","ISSN":"1362-4962","issue":"5","journalAbbreviation":"Nucleic Acids Res.","language":"eng","note":"PMID: 31943068\nPMCID: PMC7049698","page":"2357-2371","source":"PubMed","title":"Enhancer-gene maps in the human and zebrafish genomes using evolutionary linkage conservation","volume":"48","author":[{"family":"Clément","given":"Yves"},{"family":"Torbey","given":"Patrick"},{"family":"Gilardi-Hebenstreit","given":"Pascale"},{"family":"Crollius","given":"Hugues Roest"}],"issued":{"date-parts":[["2020",3,18]]}}}],"schema":"https://github.com/citation-style-language/schema/raw/master/csl-citation.json"} </w:instrText>
            </w:r>
            <w:r w:rsidRPr="00E70A8B">
              <w:rPr>
                <w:rFonts w:ascii="Arial" w:hAnsi="Arial" w:cs="Arial"/>
              </w:rPr>
              <w:fldChar w:fldCharType="separate"/>
            </w:r>
            <w:bookmarkStart w:id="41" w:name="__Fieldmark__261_2281253091"/>
            <w:bookmarkStart w:id="42" w:name="__Fieldmark__240_3451003990"/>
            <w:r w:rsidR="004A7EB4">
              <w:rPr>
                <w:rFonts w:ascii="Arial" w:hAnsi="Arial" w:cs="Arial"/>
                <w:sz w:val="18"/>
                <w:szCs w:val="18"/>
                <w:lang w:val="en-GB"/>
              </w:rPr>
              <w:t>[9]</w:t>
            </w:r>
            <w:r w:rsidRPr="00E70A8B">
              <w:rPr>
                <w:rFonts w:ascii="Arial" w:hAnsi="Arial" w:cs="Arial"/>
              </w:rPr>
              <w:fldChar w:fldCharType="end"/>
            </w:r>
            <w:bookmarkEnd w:id="41"/>
            <w:bookmarkEnd w:id="42"/>
          </w:p>
        </w:tc>
      </w:tr>
      <w:tr w:rsidR="00514A54" w:rsidRPr="00E70A8B" w14:paraId="342A6934" w14:textId="77777777">
        <w:tc>
          <w:tcPr>
            <w:tcW w:w="2382" w:type="dxa"/>
            <w:tcBorders>
              <w:top w:val="single" w:sz="6" w:space="0" w:color="000000"/>
              <w:bottom w:val="single" w:sz="6" w:space="0" w:color="000000"/>
            </w:tcBorders>
            <w:shd w:val="clear" w:color="auto" w:fill="auto"/>
          </w:tcPr>
          <w:p w14:paraId="2CAE84F7"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PEGASUS target count</w:t>
            </w:r>
          </w:p>
        </w:tc>
        <w:tc>
          <w:tcPr>
            <w:tcW w:w="3250" w:type="dxa"/>
            <w:vMerge/>
            <w:tcBorders>
              <w:top w:val="single" w:sz="4" w:space="0" w:color="000000"/>
              <w:bottom w:val="single" w:sz="6" w:space="0" w:color="000000"/>
            </w:tcBorders>
            <w:shd w:val="clear" w:color="auto" w:fill="auto"/>
          </w:tcPr>
          <w:p w14:paraId="3E2FC2CF" w14:textId="77777777" w:rsidR="00514A54" w:rsidRPr="00E70A8B" w:rsidRDefault="00514A54">
            <w:pPr>
              <w:pStyle w:val="TableContents"/>
              <w:snapToGrid w:val="0"/>
              <w:rPr>
                <w:rFonts w:ascii="Arial" w:hAnsi="Arial" w:cs="Arial"/>
                <w:color w:val="000000"/>
                <w:sz w:val="18"/>
                <w:szCs w:val="18"/>
                <w:lang w:val="en-GB"/>
              </w:rPr>
            </w:pPr>
          </w:p>
        </w:tc>
        <w:tc>
          <w:tcPr>
            <w:tcW w:w="1983" w:type="dxa"/>
            <w:vMerge/>
            <w:tcBorders>
              <w:top w:val="single" w:sz="6" w:space="0" w:color="000000"/>
              <w:bottom w:val="single" w:sz="6" w:space="0" w:color="000000"/>
            </w:tcBorders>
            <w:shd w:val="clear" w:color="auto" w:fill="auto"/>
            <w:vAlign w:val="center"/>
          </w:tcPr>
          <w:p w14:paraId="49515930" w14:textId="77777777" w:rsidR="00514A54" w:rsidRPr="00E70A8B" w:rsidRDefault="00514A54">
            <w:pPr>
              <w:pStyle w:val="TableContents"/>
              <w:snapToGrid w:val="0"/>
              <w:jc w:val="center"/>
              <w:rPr>
                <w:rFonts w:ascii="Arial" w:hAnsi="Arial" w:cs="Arial"/>
                <w:color w:val="000000"/>
                <w:sz w:val="18"/>
                <w:szCs w:val="18"/>
                <w:lang w:val="en-GB"/>
              </w:rPr>
            </w:pPr>
          </w:p>
        </w:tc>
        <w:tc>
          <w:tcPr>
            <w:tcW w:w="1315" w:type="dxa"/>
            <w:tcBorders>
              <w:top w:val="single" w:sz="6" w:space="0" w:color="000000"/>
              <w:bottom w:val="single" w:sz="6" w:space="0" w:color="000000"/>
            </w:tcBorders>
            <w:shd w:val="clear" w:color="auto" w:fill="auto"/>
          </w:tcPr>
          <w:p w14:paraId="50D7660C"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Discrete</w:t>
            </w:r>
          </w:p>
        </w:tc>
        <w:tc>
          <w:tcPr>
            <w:tcW w:w="1042" w:type="dxa"/>
            <w:tcBorders>
              <w:top w:val="single" w:sz="6" w:space="0" w:color="000000"/>
              <w:bottom w:val="single" w:sz="6" w:space="0" w:color="000000"/>
            </w:tcBorders>
            <w:shd w:val="clear" w:color="auto" w:fill="auto"/>
          </w:tcPr>
          <w:p w14:paraId="7272AB81" w14:textId="32F65F89" w:rsidR="00514A54" w:rsidRPr="00E70A8B" w:rsidRDefault="00A80BB8">
            <w:pPr>
              <w:pStyle w:val="TableContents"/>
              <w:rPr>
                <w:rFonts w:ascii="Arial" w:hAnsi="Arial" w:cs="Arial"/>
              </w:rPr>
            </w:pPr>
            <w:r w:rsidRPr="00E70A8B">
              <w:rPr>
                <w:rFonts w:ascii="Arial" w:hAnsi="Arial" w:cs="Arial"/>
              </w:rPr>
              <w:fldChar w:fldCharType="begin"/>
            </w:r>
            <w:r w:rsidR="004A7EB4">
              <w:rPr>
                <w:rFonts w:ascii="Arial" w:hAnsi="Arial" w:cs="Arial"/>
              </w:rPr>
              <w:instrText xml:space="preserve"> ADDIN ZOTERO_ITEM CSL_CITATION {"citationID":"FJL1DkKe","properties":{"formattedCitation":"[9]","plainCitation":"[9]","noteIndex":0},"citationItems":[{"id":3419,"uris":["http://zotero.org/groups/2472009/items/JMKHXTZB"],"uri":["http://zotero.org/groups/2472009/items/JMKHXTZB"],"itemData":{"id":3419,"type":"article-journal","abstract":"The spatiotemporal expression of genes is controlled by enhancer sequences that bind transcription factors. Identifying the target genes of enhancers remains difficult because enhancers regulate gene expression over long genomic distances. To address this, we used an evolutionary approach to build two genome-wide maps of predicted enhancer-gene associations in the human and zebrafish genomes. Evolutionary conserved sequences were linked to their predicted target genes using PEGASUS, a bioinformatics method that relies on evolutionary conservation of synteny. The analysis of these maps revealed that the number of predicted enhancers linked to a gene correlate with its expression breadth. Comparison of both maps identified hundreds of putative vertebrate ancestral regulatory relationships from which we could determine that predicted enhancer-gene distances scale with genome size despite strong positional conservation. The two maps represent a resource for further studies, including the prioritization of sequence variants in whole genome sequence of patients affected by genetic diseases.","container-title":"Nucleic Acids Research","DOI":"10.1093/nar/gkz1199","ISSN":"1362-4962","issue":"5","journalAbbreviation":"Nucleic Acids Res.","language":"eng","note":"PMID: 31943068\nPMCID: PMC7049698","page":"2357-2371","source":"PubMed","title":"Enhancer-gene maps in the human and zebrafish genomes using evolutionary linkage conservation","volume":"48","author":[{"family":"Clément","given":"Yves"},{"family":"Torbey","given":"Patrick"},{"family":"Gilardi-Hebenstreit","given":"Pascale"},{"family":"Crollius","given":"Hugues Roest"}],"issued":{"date-parts":[["2020",3,18]]}}}],"schema":"https://github.com/citation-style-language/schema/raw/master/csl-citation.json"} </w:instrText>
            </w:r>
            <w:r w:rsidRPr="00E70A8B">
              <w:rPr>
                <w:rFonts w:ascii="Arial" w:hAnsi="Arial" w:cs="Arial"/>
              </w:rPr>
              <w:fldChar w:fldCharType="separate"/>
            </w:r>
            <w:bookmarkStart w:id="43" w:name="__Fieldmark__270_2281253091"/>
            <w:bookmarkStart w:id="44" w:name="__Fieldmark__247_3451003990"/>
            <w:r w:rsidR="004A7EB4">
              <w:rPr>
                <w:rFonts w:ascii="Arial" w:hAnsi="Arial" w:cs="Arial"/>
                <w:sz w:val="18"/>
                <w:szCs w:val="18"/>
                <w:lang w:val="en-GB"/>
              </w:rPr>
              <w:t>[9]</w:t>
            </w:r>
            <w:r w:rsidRPr="00E70A8B">
              <w:rPr>
                <w:rFonts w:ascii="Arial" w:hAnsi="Arial" w:cs="Arial"/>
              </w:rPr>
              <w:fldChar w:fldCharType="end"/>
            </w:r>
            <w:bookmarkEnd w:id="43"/>
            <w:bookmarkEnd w:id="44"/>
          </w:p>
        </w:tc>
      </w:tr>
      <w:tr w:rsidR="00514A54" w:rsidRPr="00E70A8B" w14:paraId="7526DD52" w14:textId="77777777">
        <w:tc>
          <w:tcPr>
            <w:tcW w:w="2382" w:type="dxa"/>
            <w:tcBorders>
              <w:top w:val="single" w:sz="6" w:space="0" w:color="000000"/>
              <w:bottom w:val="single" w:sz="6" w:space="0" w:color="000000"/>
            </w:tcBorders>
            <w:shd w:val="clear" w:color="auto" w:fill="auto"/>
          </w:tcPr>
          <w:p w14:paraId="5A12B4C0"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FANTOM5 max score</w:t>
            </w:r>
          </w:p>
        </w:tc>
        <w:tc>
          <w:tcPr>
            <w:tcW w:w="3250" w:type="dxa"/>
            <w:vMerge/>
            <w:tcBorders>
              <w:top w:val="single" w:sz="4" w:space="0" w:color="000000"/>
              <w:bottom w:val="single" w:sz="6" w:space="0" w:color="000000"/>
            </w:tcBorders>
            <w:shd w:val="clear" w:color="auto" w:fill="auto"/>
          </w:tcPr>
          <w:p w14:paraId="1AAD00D2" w14:textId="77777777" w:rsidR="00514A54" w:rsidRPr="00E70A8B" w:rsidRDefault="00514A54">
            <w:pPr>
              <w:pStyle w:val="TableContents"/>
              <w:snapToGrid w:val="0"/>
              <w:rPr>
                <w:rFonts w:ascii="Arial" w:hAnsi="Arial" w:cs="Arial"/>
                <w:color w:val="000000"/>
                <w:sz w:val="18"/>
                <w:szCs w:val="18"/>
                <w:lang w:val="en-GB"/>
              </w:rPr>
            </w:pPr>
          </w:p>
        </w:tc>
        <w:tc>
          <w:tcPr>
            <w:tcW w:w="1983" w:type="dxa"/>
            <w:vMerge/>
            <w:tcBorders>
              <w:top w:val="single" w:sz="6" w:space="0" w:color="000000"/>
              <w:bottom w:val="single" w:sz="6" w:space="0" w:color="000000"/>
            </w:tcBorders>
            <w:shd w:val="clear" w:color="auto" w:fill="auto"/>
            <w:vAlign w:val="center"/>
          </w:tcPr>
          <w:p w14:paraId="7A052E4F" w14:textId="77777777" w:rsidR="00514A54" w:rsidRPr="00E70A8B" w:rsidRDefault="00514A54">
            <w:pPr>
              <w:pStyle w:val="TableContents"/>
              <w:snapToGrid w:val="0"/>
              <w:jc w:val="center"/>
              <w:rPr>
                <w:rFonts w:ascii="Arial" w:hAnsi="Arial" w:cs="Arial"/>
                <w:color w:val="000000"/>
                <w:sz w:val="18"/>
                <w:szCs w:val="18"/>
                <w:lang w:val="en-GB"/>
              </w:rPr>
            </w:pPr>
          </w:p>
        </w:tc>
        <w:tc>
          <w:tcPr>
            <w:tcW w:w="1315" w:type="dxa"/>
            <w:tcBorders>
              <w:top w:val="single" w:sz="6" w:space="0" w:color="000000"/>
              <w:bottom w:val="single" w:sz="6" w:space="0" w:color="000000"/>
            </w:tcBorders>
            <w:shd w:val="clear" w:color="auto" w:fill="auto"/>
          </w:tcPr>
          <w:p w14:paraId="33CE8B7B"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Continuous</w:t>
            </w:r>
          </w:p>
        </w:tc>
        <w:tc>
          <w:tcPr>
            <w:tcW w:w="1042" w:type="dxa"/>
            <w:tcBorders>
              <w:top w:val="single" w:sz="6" w:space="0" w:color="000000"/>
              <w:bottom w:val="single" w:sz="6" w:space="0" w:color="000000"/>
            </w:tcBorders>
            <w:shd w:val="clear" w:color="auto" w:fill="auto"/>
          </w:tcPr>
          <w:p w14:paraId="15C9AE0D" w14:textId="299F838A" w:rsidR="00514A54" w:rsidRPr="00E70A8B" w:rsidRDefault="00A80BB8">
            <w:pPr>
              <w:pStyle w:val="TableContents"/>
              <w:rPr>
                <w:rFonts w:ascii="Arial" w:hAnsi="Arial" w:cs="Arial"/>
              </w:rPr>
            </w:pPr>
            <w:r w:rsidRPr="00E70A8B">
              <w:rPr>
                <w:rFonts w:ascii="Arial" w:hAnsi="Arial" w:cs="Arial"/>
              </w:rPr>
              <w:fldChar w:fldCharType="begin"/>
            </w:r>
            <w:r w:rsidR="004A7EB4">
              <w:rPr>
                <w:rFonts w:ascii="Arial" w:hAnsi="Arial" w:cs="Arial"/>
              </w:rPr>
              <w:instrText xml:space="preserve"> ADDIN ZOTERO_ITEM CSL_CITATION {"citationID":"AMFmqJ2t","properties":{"formattedCitation":"[10]","plainCitation":"[10]","noteIndex":0},"citationItems":[{"id":3011,"uris":["http://zotero.org/groups/2472009/items/E7DSKRAF"],"uri":["http://zotero.org/groups/2472009/items/E7DSKRAF"],"itemData":{"id":3011,"type":"article-journal","abstract":"Enhancers control the correct temporal and cell-type-specific activation of gene expression in multicellular eukaryotes. Knowing their properties, regulatory activity and targets is crucial to understand the regulation of differentiation and homeostasis. Here we use the FANTOM5 panel of samples, covering the majority of human tissues and cell types, to produce an atlas of active, in vivo-transcribed enhancers. We show that enhancers share properties with CpG-poor messenger RNA promoters but produce bidirectional, exosome-sensitive, relatively short unspliced RNAs, the generation of which is strongly related to enhancer activity. The atlas is used to compare regulatory programs between different cells at unprecedented depth, to identify disease-associated regulatory single nucleotide polymorphisms, and to classify cell-type-specific and ubiquitous enhancers. We further explore the utility of enhancer redundancy, which explains gene expression strength rather than expression patterns. The online FANTOM5 enhancer atlas represents a unique resource for studies on cell-type-specific enhancers and gene regulation.","container-title":"Nature","DOI":"10.1038/nature12787","ISSN":"1476-4687 (Electronic) 0028-0836 (Linking)","issue":"7493","journalAbbreviation":"Nature","language":"eng","page":"455-461","title":"An atlas of active enhancers across human cell types and tissues","volume":"507","author":[{"family":"Andersson","given":"R."},{"family":"Gebhard","given":"C."},{"family":"Miguel-Escalada","given":"I."},{"family":"Hoof","given":"I."},{"family":"Bornholdt","given":"J."},{"family":"Boyd","given":"M."},{"family":"Chen","given":"Y."},{"family":"Zhao","given":"X."},{"family":"Schmidl","given":"C."},{"family":"Suzuki","given":"T."},{"family":"Ntini","given":"E."},{"family":"Arner","given":"E."},{"family":"Valen","given":"E."},{"family":"Li","given":"K."},{"family":"Schwarzfischer","given":"L."},{"family":"Glatz","given":"D."},{"family":"Raithel","given":"J."},{"family":"Lilje","given":"B."},{"family":"Rapin","given":"N."},{"family":"Bagger","given":"F. O."},{"family":"Jorgensen","given":"M."},{"family":"Andersen","given":"P. R."},{"family":"Bertin","given":"N."},{"family":"Rackham","given":"O."},{"family":"Burroughs","given":"A. M."},{"family":"Baillie","given":"J. K."},{"family":"Ishizu","given":"Y."},{"family":"Shimizu","given":"Y."},{"family":"Furuhata","given":"E."},{"family":"Maeda","given":"S."},{"family":"Negishi","given":"Y."},{"family":"Mungall","given":"C. J."},{"family":"Meehan","given":"T. F."},{"family":"Lassmann","given":"T."},{"family":"Itoh","given":"M."},{"family":"Kawaji","given":"H."},{"family":"Kondo","given":"N."},{"family":"Kawai","given":"J."},{"family":"Lennartsson","given":"A."},{"family":"Daub","given":"C. O."},{"family":"Heutink","given":"P."},{"family":"Hume","given":"D. A."},{"family":"Jensen","given":"T. H."},{"family":"Suzuki","given":"H."},{"family":"Hayashizaki","given":"Y."},{"family":"Muller","given":"F."},{"family":"Forrest","given":"A. R."},{"family":"Carninci","given":"P."},{"family":"Rehli","given":"M."},{"family":"Sandelin","given":"A."},{"family":"Kawaji","given":"H."},{"family":"Baillie","given":"J. K."},{"family":"Hoon","given":"M. J.","non-dropping-particle":"de"},{"family":"Haberle","given":"V."},{"family":"Lassmann","given":"T."},{"family":"Kulakovskiy","given":"I. V."},{"family":"Lizio","given":"M."},{"family":"Itoh","given":"M."},{"family":"Andersson","given":"R."},{"family":"Mungall","given":"C. J."},{"family":"Meehan","given":"T. F."},{"family":"Schmeier","given":"S."},{"family":"Bertin","given":"N."},{"family":"Jorgensen","given":"M."},{"family":"Dimont","given":"E."},{"family":"Arner","given":"E."},{"family":"Schmid","given":"C."},{"family":"Schaefer","given":"U."},{"family":"Medvedeva","given":"Y. A."},{"family":"Plessy","given":"C."},{"family":"Vitezic","given":"M."},{"family":"Severin","given":"J."},{"family":"Semple","given":"C. A."},{"family":"Ishizu","given":"Y."},{"family":"Young","given":"R. S."},{"family":"Francescatto","given":"M."},{"family":"Alam","given":"I."},{"family":"Albanese","given":"D."},{"family":"Altschuler","given":"G. M."},{"family":"Arakawa","given":"T."},{"family":"Archer","given":"J. A."},{"family":"Arner","given":"P."},{"family":"Babina","given":"M."},{"family":"Rennie","given":"S."},{"family":"Balwierz","given":"P. J."},{"family":"Beckhouse","given":"A. G."},{"family":"Pradhan-Bhatt","given":"S."},{"family":"Blake","given":"J. A."},{"family":"Blumenthal","given":"A."},{"family":"Bodega","given":"B."},{"family":"Bonetti","given":"A."},{"family":"Briggs","given":"J."},{"family":"Brombacher","given":"F."},{"family":"Burroughs","given":"A. M."},{"family":"Califano","given":"A."},{"family":"Cannistraci","given":"C. V."},{"family":"Carbajo","given":"D."},{"family":"Chen","given":"Y."},{"family":"Chierici","given":"M."},{"family":"Ciani","given":"Y."},{"family":"Clevers","given":"H. C."},{"family":"Dalla","given":"E."},{"family":"Davis","given":"C. A."},{"family":"Detmar","given":"M."},{"family":"Diehl","given":"A. D."},{"family":"Dohi","given":"T."},{"family":"Drablos","given":"F."},{"family":"Edge","given":"A. S."},{"family":"Edinger","given":"M."},{"family":"Ekwall","given":"K."},{"family":"Endoh","given":"M."},{"family":"Enomoto","given":"H."},{"family":"Fagiolini","given":"M."},{"family":"Fairbairn","given":"L."},{"family":"Fang","given":"H."},{"family":"Farach-Carson","given":"M. C."},{"family":"Faulkner","given":"G. J."},{"family":"Favorov","given":"A. V."},{"family":"Fisher","given":"M. E."},{"family":"Frith","given":"M. C."},{"family":"Fujita","given":"R."},{"family":"Fukuda","given":"S."},{"family":"Furlanello","given":"C."},{"family":"Furuno","given":"M."},{"family":"Furusawa","given":"J."},{"family":"Geijtenbeek","given":"T. B."},{"family":"Gibson","given":"A. P."},{"family":"Gingeras","given":"T."},{"family":"Goldowitz","given":"D."},{"family":"Gough","given":"J."},{"family":"Guhl","given":"S."},{"family":"Guler","given":"R."},{"family":"Gustincich","given":"S."},{"family":"Ha","given":"T. J."},{"family":"Hamaguchi","given":"M."},{"family":"Hara","given":"M."},{"family":"Harbers","given":"M."},{"family":"Harshbarger","given":"J."},{"family":"Hasegawa","given":"A."},{"family":"Hasegawa","given":"Y."},{"family":"Hashimoto","given":"T."},{"family":"Herlyn","given":"M."},{"family":"Hitchens","given":"K. J."},{"family":"Ho Sui","given":"S. J."},{"family":"Hofmann","given":"O. M."},{"family":"Hoof","given":"I."},{"family":"Hori","given":"F."},{"family":"Huminiecki","given":"L."},{"family":"Iida","given":"K."},{"family":"Ikawa","given":"T."},{"family":"Jankovic","given":"B. R."},{"family":"Jia","given":"H."},{"family":"Joshi","given":"A."},{"family":"Jurman","given":"G."},{"family":"Kaczkowski","given":"B."},{"family":"Kai","given":"C."},{"family":"Kaida","given":"K."},{"family":"Kaiho","given":"A."},{"family":"Kajiyama","given":"K."},{"family":"Kanamori-Katayama","given":"M."},{"family":"Kasianov","given":"A. S."},{"family":"Kasukawa","given":"T."},{"family":"Katayama","given":"S."},{"family":"Kato","given":"S."},{"family":"Kawaguchi","given":"S."},{"family":"Kawamoto","given":"H."},{"family":"Kawamura","given":"Y. I."},{"family":"Kawashima","given":"T."},{"family":"Kempfle","given":"J. S."},{"family":"Kenna","given":"T. J."},{"family":"Kere","given":"J."},{"family":"Khachigian","given":"L. M."},{"family":"Kitamura","given":"T."},{"family":"Klinken","given":"S. P."},{"family":"Knox","given":"A. J."},{"family":"Kojima","given":"M."},{"family":"Kojima","given":"S."},{"family":"Kondo","given":"N."},{"family":"Koseki","given":"H."},{"family":"Koyasu","given":"S."},{"family":"Krampitz","given":"S."},{"family":"Kubosaki","given":"A."},{"family":"Kwon","given":"A. T."},{"family":"Laros","given":"J. F."},{"family":"Lee","given":"W."},{"family":"Lennartsson","given":"A."},{"family":"Li","given":"K."},{"family":"Lilje","given":"B."},{"family":"Lipovich","given":"L."},{"family":"Mackay-sim","given":"A."},{"family":"Manabe","given":"R."},{"family":"Mar","given":"J. C."},{"family":"Marchand","given":"B."},{"family":"Mathelier","given":"A."},{"family":"Mejhert","given":"N."},{"family":"Meynert","given":"A."},{"family":"Mizuno","given":"Y."},{"family":"Lima Morais","given":"D. A.","non-dropping-particle":"de"},{"family":"Morikawa","given":"H."},{"family":"Morimoto","given":"M."},{"family":"Moro","given":"K."},{"family":"Motakis","given":"E."},{"family":"Motohashi","given":"H."},{"family":"Mummery","given":"C. L."},{"family":"Murata","given":"M."},{"family":"Nagao-Sato","given":"S."},{"family":"Nakachi","given":"Y."},{"family":"Nakahara","given":"F."},{"family":"Nakamura","given":"T."},{"family":"Nakamura","given":"Y."},{"family":"Nakazato","given":"K."},{"family":"Nimwegen","given":"E.","non-dropping-particle":"van"},{"family":"Ninomiya","given":"N."},{"family":"Nishiyori","given":"H."},{"family":"Noma","given":"S."},{"family":"Nozaki","given":"T."},{"family":"Ogishima","given":"S."},{"family":"Ohkura","given":"N."},{"family":"Ohmiya","given":"H."},{"family":"Ohno","given":"H."},{"family":"Ohshima","given":"M."},{"family":"Okada-Hatakeyama","given":"M."},{"family":"Okazaki","given":"Y."},{"family":"Orlando","given":"V."},{"family":"Ovchinnikov","given":"D. A."},{"family":"Pain","given":"A."},{"family":"Passier","given":"R."},{"family":"Patrikakis","given":"M."},{"family":"Persson","given":"H."},{"family":"Piazza","given":"S."},{"family":"Prendergast","given":"J. G."},{"family":"Rackham","given":"O. J."},{"family":"Ramilowski","given":"J. A."},{"family":"Rashid","given":"M."},{"family":"Ravasi","given":"T."},{"family":"Rizzu","given":"P."},{"family":"Roncador","given":"M."},{"family":"Roy","given":"S."},{"family":"Rye","given":"M. B."},{"family":"Saijyo","given":"E."},{"family":"Sajantila","given":"A."},{"family":"Saka","given":"A."},{"family":"Sakaguchi","given":"S."},{"family":"Sakai","given":"M."},{"family":"Sato","given":"H."},{"family":"Satoh","given":"H."},{"family":"Savvi","given":"S."},{"family":"Saxena","given":"A."},{"family":"Schneider","given":"C."},{"family":"Schultes","given":"E. A."},{"family":"Schulze-Tanzil","given":"G. G."},{"family":"Schwegmann","given":"A."},{"family":"Sengstag","given":"T."},{"family":"Sheng","given":"G."},{"family":"Shimoji","given":"H."},{"family":"Shimoni","given":"Y."},{"family":"Shin","given":"J. W."},{"family":"Simon","given":"C."},{"family":"Sugiyama","given":"D."},{"family":"Sugiyama","given":"T."},{"family":"Suzuki","given":"M."},{"family":"Suzuki","given":"N."},{"family":"Swoboda","given":"R. K."},{"family":"Hoen","given":"P. A.","non-dropping-particle":"t"},{"family":"Tagami","given":"M."},{"family":"Takahashi","given":"N."},{"family":"Takai","given":"J."},{"family":"Tanaka","given":"H."},{"family":"Tatsukawa","given":"H."},{"family":"Tatum","given":"Z."},{"family":"Thompson","given":"M."},{"family":"Toyoda","given":"H."},{"family":"Toyoda","given":"T."},{"family":"Valen","given":"E."},{"family":"Wetering","given":"M.","non-dropping-particle":"van de"},{"family":"Berg","given":"L. M.","non-dropping-particle":"van den"},{"family":"Verardo","given":"R."},{"family":"Vijayan","given":"D."},{"family":"Vorontsov","given":"I. E."},{"family":"Wasserman","given":"W. W."},{"family":"Watanabe","given":"S."},{"family":"Wells","given":"C. A."},{"family":"Winteringham","given":"L. N."},{"family":"Wolvetang","given":"E."},{"family":"Wood","given":"E. J."},{"family":"Yamaguchi","given":"Y."},{"family":"Yamamoto","given":"M."},{"family":"Yoneda","given":"M."},{"family":"Yonekura","given":"Y."},{"family":"Yoshida","given":"S."},{"family":"Zabierowski","given":"S. E."},{"family":"Zhang","given":"P. G."},{"family":"Zhao","given":"X."},{"family":"Zucchelli","given":"S."},{"family":"Summers","given":"K. M."},{"family":"Suzuki","given":"H."},{"family":"Daub","given":"C. O."},{"family":"Kawai","given":"J."},{"family":"Heutink","given":"P."},{"family":"Hide","given":"W."},{"family":"Freeman","given":"T. C."},{"family":"Lenhard","given":"B."},{"family":"Bajic","given":"V. B."},{"family":"Taylor","given":"M. S."},{"family":"Makeev","given":"V. J."},{"family":"Hume","given":"D. A."},{"family":"Hayashizaki","given":"Y."}],"issued":{"date-parts":[["2014",3,27]]}}}],"schema":"https://github.com/citation-style-language/schema/raw/master/csl-citation.json"} </w:instrText>
            </w:r>
            <w:r w:rsidRPr="00E70A8B">
              <w:rPr>
                <w:rFonts w:ascii="Arial" w:hAnsi="Arial" w:cs="Arial"/>
              </w:rPr>
              <w:fldChar w:fldCharType="separate"/>
            </w:r>
            <w:bookmarkStart w:id="45" w:name="__Fieldmark__279_2281253091"/>
            <w:bookmarkStart w:id="46" w:name="__Fieldmark__254_3451003990"/>
            <w:r w:rsidR="004A7EB4">
              <w:rPr>
                <w:rFonts w:ascii="Arial" w:hAnsi="Arial" w:cs="Arial"/>
                <w:sz w:val="18"/>
                <w:szCs w:val="18"/>
                <w:lang w:val="en-GB"/>
              </w:rPr>
              <w:t>[10]</w:t>
            </w:r>
            <w:r w:rsidRPr="00E70A8B">
              <w:rPr>
                <w:rFonts w:ascii="Arial" w:hAnsi="Arial" w:cs="Arial"/>
              </w:rPr>
              <w:fldChar w:fldCharType="end"/>
            </w:r>
            <w:bookmarkEnd w:id="45"/>
            <w:bookmarkEnd w:id="46"/>
          </w:p>
        </w:tc>
      </w:tr>
      <w:tr w:rsidR="00514A54" w:rsidRPr="00E70A8B" w14:paraId="7A2B631D" w14:textId="77777777">
        <w:tc>
          <w:tcPr>
            <w:tcW w:w="2382" w:type="dxa"/>
            <w:tcBorders>
              <w:top w:val="single" w:sz="6" w:space="0" w:color="000000"/>
              <w:bottom w:val="single" w:sz="6" w:space="0" w:color="000000"/>
            </w:tcBorders>
            <w:shd w:val="clear" w:color="auto" w:fill="auto"/>
          </w:tcPr>
          <w:p w14:paraId="6F058042"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FANTOM5 target count</w:t>
            </w:r>
          </w:p>
        </w:tc>
        <w:tc>
          <w:tcPr>
            <w:tcW w:w="3250" w:type="dxa"/>
            <w:vMerge/>
            <w:tcBorders>
              <w:top w:val="single" w:sz="4" w:space="0" w:color="000000"/>
              <w:bottom w:val="single" w:sz="6" w:space="0" w:color="000000"/>
            </w:tcBorders>
            <w:shd w:val="clear" w:color="auto" w:fill="auto"/>
          </w:tcPr>
          <w:p w14:paraId="41164C5A" w14:textId="77777777" w:rsidR="00514A54" w:rsidRPr="00E70A8B" w:rsidRDefault="00514A54">
            <w:pPr>
              <w:pStyle w:val="TableContents"/>
              <w:snapToGrid w:val="0"/>
              <w:rPr>
                <w:rFonts w:ascii="Arial" w:hAnsi="Arial" w:cs="Arial"/>
                <w:color w:val="000000"/>
                <w:sz w:val="18"/>
                <w:szCs w:val="18"/>
                <w:lang w:val="en-GB"/>
              </w:rPr>
            </w:pPr>
          </w:p>
        </w:tc>
        <w:tc>
          <w:tcPr>
            <w:tcW w:w="1983" w:type="dxa"/>
            <w:vMerge/>
            <w:tcBorders>
              <w:top w:val="single" w:sz="6" w:space="0" w:color="000000"/>
              <w:bottom w:val="single" w:sz="6" w:space="0" w:color="000000"/>
            </w:tcBorders>
            <w:shd w:val="clear" w:color="auto" w:fill="auto"/>
            <w:vAlign w:val="center"/>
          </w:tcPr>
          <w:p w14:paraId="0F7BF396" w14:textId="77777777" w:rsidR="00514A54" w:rsidRPr="00E70A8B" w:rsidRDefault="00514A54">
            <w:pPr>
              <w:pStyle w:val="TableContents"/>
              <w:snapToGrid w:val="0"/>
              <w:jc w:val="center"/>
              <w:rPr>
                <w:rFonts w:ascii="Arial" w:hAnsi="Arial" w:cs="Arial"/>
                <w:color w:val="000000"/>
                <w:sz w:val="18"/>
                <w:szCs w:val="18"/>
                <w:lang w:val="en-GB"/>
              </w:rPr>
            </w:pPr>
          </w:p>
        </w:tc>
        <w:tc>
          <w:tcPr>
            <w:tcW w:w="1315" w:type="dxa"/>
            <w:tcBorders>
              <w:top w:val="single" w:sz="6" w:space="0" w:color="000000"/>
              <w:bottom w:val="single" w:sz="6" w:space="0" w:color="000000"/>
            </w:tcBorders>
            <w:shd w:val="clear" w:color="auto" w:fill="auto"/>
          </w:tcPr>
          <w:p w14:paraId="213C81A2"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Discrete</w:t>
            </w:r>
          </w:p>
        </w:tc>
        <w:tc>
          <w:tcPr>
            <w:tcW w:w="1042" w:type="dxa"/>
            <w:tcBorders>
              <w:top w:val="single" w:sz="6" w:space="0" w:color="000000"/>
              <w:bottom w:val="single" w:sz="6" w:space="0" w:color="000000"/>
            </w:tcBorders>
            <w:shd w:val="clear" w:color="auto" w:fill="auto"/>
          </w:tcPr>
          <w:p w14:paraId="2945E9E9" w14:textId="6E06A7C5" w:rsidR="00514A54" w:rsidRPr="00E70A8B" w:rsidRDefault="00A80BB8">
            <w:pPr>
              <w:pStyle w:val="TableContents"/>
              <w:rPr>
                <w:rFonts w:ascii="Arial" w:hAnsi="Arial" w:cs="Arial"/>
              </w:rPr>
            </w:pPr>
            <w:r w:rsidRPr="00E70A8B">
              <w:rPr>
                <w:rFonts w:ascii="Arial" w:hAnsi="Arial" w:cs="Arial"/>
              </w:rPr>
              <w:fldChar w:fldCharType="begin"/>
            </w:r>
            <w:r w:rsidR="004A7EB4">
              <w:rPr>
                <w:rFonts w:ascii="Arial" w:hAnsi="Arial" w:cs="Arial"/>
              </w:rPr>
              <w:instrText xml:space="preserve"> ADDIN ZOTERO_ITEM CSL_CITATION {"citationID":"ljYVgD4k","properties":{"formattedCitation":"[10]","plainCitation":"[10]","noteIndex":0},"citationItems":[{"id":3011,"uris":["http://zotero.org/groups/2472009/items/E7DSKRAF"],"uri":["http://zotero.org/groups/2472009/items/E7DSKRAF"],"itemData":{"id":3011,"type":"article-journal","abstract":"Enhancers control the correct temporal and cell-type-specific activation of gene expression in multicellular eukaryotes. Knowing their properties, regulatory activity and targets is crucial to understand the regulation of differentiation and homeostasis. Here we use the FANTOM5 panel of samples, covering the majority of human tissues and cell types, to produce an atlas of active, in vivo-transcribed enhancers. We show that enhancers share properties with CpG-poor messenger RNA promoters but produce bidirectional, exosome-sensitive, relatively short unspliced RNAs, the generation of which is strongly related to enhancer activity. The atlas is used to compare regulatory programs between different cells at unprecedented depth, to identify disease-associated regulatory single nucleotide polymorphisms, and to classify cell-type-specific and ubiquitous enhancers. We further explore the utility of enhancer redundancy, which explains gene expression strength rather than expression patterns. The online FANTOM5 enhancer atlas represents a unique resource for studies on cell-type-specific enhancers and gene regulation.","container-title":"Nature","DOI":"10.1038/nature12787","ISSN":"1476-4687 (Electronic) 0028-0836 (Linking)","issue":"7493","journalAbbreviation":"Nature","language":"eng","page":"455-461","title":"An atlas of active enhancers across human cell types and tissues","volume":"507","author":[{"family":"Andersson","given":"R."},{"family":"Gebhard","given":"C."},{"family":"Miguel-Escalada","given":"I."},{"family":"Hoof","given":"I."},{"family":"Bornholdt","given":"J."},{"family":"Boyd","given":"M."},{"family":"Chen","given":"Y."},{"family":"Zhao","given":"X."},{"family":"Schmidl","given":"C."},{"family":"Suzuki","given":"T."},{"family":"Ntini","given":"E."},{"family":"Arner","given":"E."},{"family":"Valen","given":"E."},{"family":"Li","given":"K."},{"family":"Schwarzfischer","given":"L."},{"family":"Glatz","given":"D."},{"family":"Raithel","given":"J."},{"family":"Lilje","given":"B."},{"family":"Rapin","given":"N."},{"family":"Bagger","given":"F. O."},{"family":"Jorgensen","given":"M."},{"family":"Andersen","given":"P. R."},{"family":"Bertin","given":"N."},{"family":"Rackham","given":"O."},{"family":"Burroughs","given":"A. M."},{"family":"Baillie","given":"J. K."},{"family":"Ishizu","given":"Y."},{"family":"Shimizu","given":"Y."},{"family":"Furuhata","given":"E."},{"family":"Maeda","given":"S."},{"family":"Negishi","given":"Y."},{"family":"Mungall","given":"C. J."},{"family":"Meehan","given":"T. F."},{"family":"Lassmann","given":"T."},{"family":"Itoh","given":"M."},{"family":"Kawaji","given":"H."},{"family":"Kondo","given":"N."},{"family":"Kawai","given":"J."},{"family":"Lennartsson","given":"A."},{"family":"Daub","given":"C. O."},{"family":"Heutink","given":"P."},{"family":"Hume","given":"D. A."},{"family":"Jensen","given":"T. H."},{"family":"Suzuki","given":"H."},{"family":"Hayashizaki","given":"Y."},{"family":"Muller","given":"F."},{"family":"Forrest","given":"A. R."},{"family":"Carninci","given":"P."},{"family":"Rehli","given":"M."},{"family":"Sandelin","given":"A."},{"family":"Kawaji","given":"H."},{"family":"Baillie","given":"J. K."},{"family":"Hoon","given":"M. J.","non-dropping-particle":"de"},{"family":"Haberle","given":"V."},{"family":"Lassmann","given":"T."},{"family":"Kulakovskiy","given":"I. V."},{"family":"Lizio","given":"M."},{"family":"Itoh","given":"M."},{"family":"Andersson","given":"R."},{"family":"Mungall","given":"C. J."},{"family":"Meehan","given":"T. F."},{"family":"Schmeier","given":"S."},{"family":"Bertin","given":"N."},{"family":"Jorgensen","given":"M."},{"family":"Dimont","given":"E."},{"family":"Arner","given":"E."},{"family":"Schmid","given":"C."},{"family":"Schaefer","given":"U."},{"family":"Medvedeva","given":"Y. A."},{"family":"Plessy","given":"C."},{"family":"Vitezic","given":"M."},{"family":"Severin","given":"J."},{"family":"Semple","given":"C. A."},{"family":"Ishizu","given":"Y."},{"family":"Young","given":"R. S."},{"family":"Francescatto","given":"M."},{"family":"Alam","given":"I."},{"family":"Albanese","given":"D."},{"family":"Altschuler","given":"G. M."},{"family":"Arakawa","given":"T."},{"family":"Archer","given":"J. A."},{"family":"Arner","given":"P."},{"family":"Babina","given":"M."},{"family":"Rennie","given":"S."},{"family":"Balwierz","given":"P. J."},{"family":"Beckhouse","given":"A. G."},{"family":"Pradhan-Bhatt","given":"S."},{"family":"Blake","given":"J. A."},{"family":"Blumenthal","given":"A."},{"family":"Bodega","given":"B."},{"family":"Bonetti","given":"A."},{"family":"Briggs","given":"J."},{"family":"Brombacher","given":"F."},{"family":"Burroughs","given":"A. M."},{"family":"Califano","given":"A."},{"family":"Cannistraci","given":"C. V."},{"family":"Carbajo","given":"D."},{"family":"Chen","given":"Y."},{"family":"Chierici","given":"M."},{"family":"Ciani","given":"Y."},{"family":"Clevers","given":"H. C."},{"family":"Dalla","given":"E."},{"family":"Davis","given":"C. A."},{"family":"Detmar","given":"M."},{"family":"Diehl","given":"A. D."},{"family":"Dohi","given":"T."},{"family":"Drablos","given":"F."},{"family":"Edge","given":"A. S."},{"family":"Edinger","given":"M."},{"family":"Ekwall","given":"K."},{"family":"Endoh","given":"M."},{"family":"Enomoto","given":"H."},{"family":"Fagiolini","given":"M."},{"family":"Fairbairn","given":"L."},{"family":"Fang","given":"H."},{"family":"Farach-Carson","given":"M. C."},{"family":"Faulkner","given":"G. J."},{"family":"Favorov","given":"A. V."},{"family":"Fisher","given":"M. E."},{"family":"Frith","given":"M. C."},{"family":"Fujita","given":"R."},{"family":"Fukuda","given":"S."},{"family":"Furlanello","given":"C."},{"family":"Furuno","given":"M."},{"family":"Furusawa","given":"J."},{"family":"Geijtenbeek","given":"T. B."},{"family":"Gibson","given":"A. P."},{"family":"Gingeras","given":"T."},{"family":"Goldowitz","given":"D."},{"family":"Gough","given":"J."},{"family":"Guhl","given":"S."},{"family":"Guler","given":"R."},{"family":"Gustincich","given":"S."},{"family":"Ha","given":"T. J."},{"family":"Hamaguchi","given":"M."},{"family":"Hara","given":"M."},{"family":"Harbers","given":"M."},{"family":"Harshbarger","given":"J."},{"family":"Hasegawa","given":"A."},{"family":"Hasegawa","given":"Y."},{"family":"Hashimoto","given":"T."},{"family":"Herlyn","given":"M."},{"family":"Hitchens","given":"K. J."},{"family":"Ho Sui","given":"S. J."},{"family":"Hofmann","given":"O. M."},{"family":"Hoof","given":"I."},{"family":"Hori","given":"F."},{"family":"Huminiecki","given":"L."},{"family":"Iida","given":"K."},{"family":"Ikawa","given":"T."},{"family":"Jankovic","given":"B. R."},{"family":"Jia","given":"H."},{"family":"Joshi","given":"A."},{"family":"Jurman","given":"G."},{"family":"Kaczkowski","given":"B."},{"family":"Kai","given":"C."},{"family":"Kaida","given":"K."},{"family":"Kaiho","given":"A."},{"family":"Kajiyama","given":"K."},{"family":"Kanamori-Katayama","given":"M."},{"family":"Kasianov","given":"A. S."},{"family":"Kasukawa","given":"T."},{"family":"Katayama","given":"S."},{"family":"Kato","given":"S."},{"family":"Kawaguchi","given":"S."},{"family":"Kawamoto","given":"H."},{"family":"Kawamura","given":"Y. I."},{"family":"Kawashima","given":"T."},{"family":"Kempfle","given":"J. S."},{"family":"Kenna","given":"T. J."},{"family":"Kere","given":"J."},{"family":"Khachigian","given":"L. M."},{"family":"Kitamura","given":"T."},{"family":"Klinken","given":"S. P."},{"family":"Knox","given":"A. J."},{"family":"Kojima","given":"M."},{"family":"Kojima","given":"S."},{"family":"Kondo","given":"N."},{"family":"Koseki","given":"H."},{"family":"Koyasu","given":"S."},{"family":"Krampitz","given":"S."},{"family":"Kubosaki","given":"A."},{"family":"Kwon","given":"A. T."},{"family":"Laros","given":"J. F."},{"family":"Lee","given":"W."},{"family":"Lennartsson","given":"A."},{"family":"Li","given":"K."},{"family":"Lilje","given":"B."},{"family":"Lipovich","given":"L."},{"family":"Mackay-sim","given":"A."},{"family":"Manabe","given":"R."},{"family":"Mar","given":"J. C."},{"family":"Marchand","given":"B."},{"family":"Mathelier","given":"A."},{"family":"Mejhert","given":"N."},{"family":"Meynert","given":"A."},{"family":"Mizuno","given":"Y."},{"family":"Lima Morais","given":"D. A.","non-dropping-particle":"de"},{"family":"Morikawa","given":"H."},{"family":"Morimoto","given":"M."},{"family":"Moro","given":"K."},{"family":"Motakis","given":"E."},{"family":"Motohashi","given":"H."},{"family":"Mummery","given":"C. L."},{"family":"Murata","given":"M."},{"family":"Nagao-Sato","given":"S."},{"family":"Nakachi","given":"Y."},{"family":"Nakahara","given":"F."},{"family":"Nakamura","given":"T."},{"family":"Nakamura","given":"Y."},{"family":"Nakazato","given":"K."},{"family":"Nimwegen","given":"E.","non-dropping-particle":"van"},{"family":"Ninomiya","given":"N."},{"family":"Nishiyori","given":"H."},{"family":"Noma","given":"S."},{"family":"Nozaki","given":"T."},{"family":"Ogishima","given":"S."},{"family":"Ohkura","given":"N."},{"family":"Ohmiya","given":"H."},{"family":"Ohno","given":"H."},{"family":"Ohshima","given":"M."},{"family":"Okada-Hatakeyama","given":"M."},{"family":"Okazaki","given":"Y."},{"family":"Orlando","given":"V."},{"family":"Ovchinnikov","given":"D. A."},{"family":"Pain","given":"A."},{"family":"Passier","given":"R."},{"family":"Patrikakis","given":"M."},{"family":"Persson","given":"H."},{"family":"Piazza","given":"S."},{"family":"Prendergast","given":"J. G."},{"family":"Rackham","given":"O. J."},{"family":"Ramilowski","given":"J. A."},{"family":"Rashid","given":"M."},{"family":"Ravasi","given":"T."},{"family":"Rizzu","given":"P."},{"family":"Roncador","given":"M."},{"family":"Roy","given":"S."},{"family":"Rye","given":"M. B."},{"family":"Saijyo","given":"E."},{"family":"Sajantila","given":"A."},{"family":"Saka","given":"A."},{"family":"Sakaguchi","given":"S."},{"family":"Sakai","given":"M."},{"family":"Sato","given":"H."},{"family":"Satoh","given":"H."},{"family":"Savvi","given":"S."},{"family":"Saxena","given":"A."},{"family":"Schneider","given":"C."},{"family":"Schultes","given":"E. A."},{"family":"Schulze-Tanzil","given":"G. G."},{"family":"Schwegmann","given":"A."},{"family":"Sengstag","given":"T."},{"family":"Sheng","given":"G."},{"family":"Shimoji","given":"H."},{"family":"Shimoni","given":"Y."},{"family":"Shin","given":"J. W."},{"family":"Simon","given":"C."},{"family":"Sugiyama","given":"D."},{"family":"Sugiyama","given":"T."},{"family":"Suzuki","given":"M."},{"family":"Suzuki","given":"N."},{"family":"Swoboda","given":"R. K."},{"family":"Hoen","given":"P. A.","non-dropping-particle":"t"},{"family":"Tagami","given":"M."},{"family":"Takahashi","given":"N."},{"family":"Takai","given":"J."},{"family":"Tanaka","given":"H."},{"family":"Tatsukawa","given":"H."},{"family":"Tatum","given":"Z."},{"family":"Thompson","given":"M."},{"family":"Toyoda","given":"H."},{"family":"Toyoda","given":"T."},{"family":"Valen","given":"E."},{"family":"Wetering","given":"M.","non-dropping-particle":"van de"},{"family":"Berg","given":"L. M.","non-dropping-particle":"van den"},{"family":"Verardo","given":"R."},{"family":"Vijayan","given":"D."},{"family":"Vorontsov","given":"I. E."},{"family":"Wasserman","given":"W. W."},{"family":"Watanabe","given":"S."},{"family":"Wells","given":"C. A."},{"family":"Winteringham","given":"L. N."},{"family":"Wolvetang","given":"E."},{"family":"Wood","given":"E. J."},{"family":"Yamaguchi","given":"Y."},{"family":"Yamamoto","given":"M."},{"family":"Yoneda","given":"M."},{"family":"Yonekura","given":"Y."},{"family":"Yoshida","given":"S."},{"family":"Zabierowski","given":"S. E."},{"family":"Zhang","given":"P. G."},{"family":"Zhao","given":"X."},{"family":"Zucchelli","given":"S."},{"family":"Summers","given":"K. M."},{"family":"Suzuki","given":"H."},{"family":"Daub","given":"C. O."},{"family":"Kawai","given":"J."},{"family":"Heutink","given":"P."},{"family":"Hide","given":"W."},{"family":"Freeman","given":"T. C."},{"family":"Lenhard","given":"B."},{"family":"Bajic","given":"V. B."},{"family":"Taylor","given":"M. S."},{"family":"Makeev","given":"V. J."},{"family":"Hume","given":"D. A."},{"family":"Hayashizaki","given":"Y."}],"issued":{"date-parts":[["2014",3,27]]}}}],"schema":"https://github.com/citation-style-language/schema/raw/master/csl-citation.json"} </w:instrText>
            </w:r>
            <w:r w:rsidRPr="00E70A8B">
              <w:rPr>
                <w:rFonts w:ascii="Arial" w:hAnsi="Arial" w:cs="Arial"/>
              </w:rPr>
              <w:fldChar w:fldCharType="separate"/>
            </w:r>
            <w:bookmarkStart w:id="47" w:name="__Fieldmark__288_2281253091"/>
            <w:bookmarkStart w:id="48" w:name="__Fieldmark__261_3451003990"/>
            <w:r w:rsidR="004A7EB4">
              <w:rPr>
                <w:rFonts w:ascii="Arial" w:hAnsi="Arial" w:cs="Arial"/>
                <w:sz w:val="18"/>
                <w:szCs w:val="18"/>
                <w:lang w:val="en-GB"/>
              </w:rPr>
              <w:t>[10]</w:t>
            </w:r>
            <w:r w:rsidRPr="00E70A8B">
              <w:rPr>
                <w:rFonts w:ascii="Arial" w:hAnsi="Arial" w:cs="Arial"/>
              </w:rPr>
              <w:fldChar w:fldCharType="end"/>
            </w:r>
            <w:bookmarkEnd w:id="47"/>
            <w:bookmarkEnd w:id="48"/>
          </w:p>
        </w:tc>
      </w:tr>
      <w:tr w:rsidR="00514A54" w:rsidRPr="00E70A8B" w14:paraId="293A6FCD" w14:textId="77777777">
        <w:tc>
          <w:tcPr>
            <w:tcW w:w="2382" w:type="dxa"/>
            <w:tcBorders>
              <w:top w:val="single" w:sz="6" w:space="0" w:color="000000"/>
              <w:bottom w:val="single" w:sz="6" w:space="0" w:color="000000"/>
            </w:tcBorders>
            <w:shd w:val="clear" w:color="auto" w:fill="auto"/>
          </w:tcPr>
          <w:p w14:paraId="6D8636B5" w14:textId="77777777" w:rsidR="00514A54" w:rsidRPr="00E70A8B" w:rsidRDefault="00A80BB8">
            <w:pPr>
              <w:pStyle w:val="TableContents"/>
              <w:rPr>
                <w:rFonts w:ascii="Arial" w:hAnsi="Arial" w:cs="Arial"/>
                <w:sz w:val="18"/>
                <w:szCs w:val="18"/>
                <w:lang w:val="en-GB"/>
              </w:rPr>
            </w:pPr>
            <w:proofErr w:type="spellStart"/>
            <w:r w:rsidRPr="00E70A8B">
              <w:rPr>
                <w:rFonts w:ascii="Arial" w:hAnsi="Arial" w:cs="Arial"/>
                <w:color w:val="000000"/>
                <w:sz w:val="18"/>
                <w:szCs w:val="18"/>
                <w:lang w:val="en-GB"/>
              </w:rPr>
              <w:t>GeneHancer</w:t>
            </w:r>
            <w:proofErr w:type="spellEnd"/>
            <w:r w:rsidRPr="00E70A8B">
              <w:rPr>
                <w:rFonts w:ascii="Arial" w:hAnsi="Arial" w:cs="Arial"/>
                <w:color w:val="000000"/>
                <w:sz w:val="18"/>
                <w:szCs w:val="18"/>
                <w:lang w:val="en-GB"/>
              </w:rPr>
              <w:t xml:space="preserve"> max score</w:t>
            </w:r>
          </w:p>
        </w:tc>
        <w:tc>
          <w:tcPr>
            <w:tcW w:w="3250" w:type="dxa"/>
            <w:vMerge/>
            <w:tcBorders>
              <w:top w:val="single" w:sz="4" w:space="0" w:color="000000"/>
              <w:bottom w:val="single" w:sz="6" w:space="0" w:color="000000"/>
            </w:tcBorders>
            <w:shd w:val="clear" w:color="auto" w:fill="auto"/>
          </w:tcPr>
          <w:p w14:paraId="50EDC29A" w14:textId="77777777" w:rsidR="00514A54" w:rsidRPr="00E70A8B" w:rsidRDefault="00514A54">
            <w:pPr>
              <w:pStyle w:val="TableContents"/>
              <w:snapToGrid w:val="0"/>
              <w:rPr>
                <w:rFonts w:ascii="Arial" w:hAnsi="Arial" w:cs="Arial"/>
                <w:color w:val="000000"/>
                <w:sz w:val="18"/>
                <w:szCs w:val="18"/>
                <w:lang w:val="en-GB"/>
              </w:rPr>
            </w:pPr>
          </w:p>
        </w:tc>
        <w:tc>
          <w:tcPr>
            <w:tcW w:w="1983" w:type="dxa"/>
            <w:vMerge/>
            <w:tcBorders>
              <w:top w:val="single" w:sz="6" w:space="0" w:color="000000"/>
              <w:bottom w:val="single" w:sz="6" w:space="0" w:color="000000"/>
            </w:tcBorders>
            <w:shd w:val="clear" w:color="auto" w:fill="auto"/>
            <w:vAlign w:val="center"/>
          </w:tcPr>
          <w:p w14:paraId="4C4F69BB" w14:textId="77777777" w:rsidR="00514A54" w:rsidRPr="00E70A8B" w:rsidRDefault="00514A54">
            <w:pPr>
              <w:pStyle w:val="TableContents"/>
              <w:snapToGrid w:val="0"/>
              <w:jc w:val="center"/>
              <w:rPr>
                <w:rFonts w:ascii="Arial" w:hAnsi="Arial" w:cs="Arial"/>
                <w:color w:val="000000"/>
                <w:sz w:val="18"/>
                <w:szCs w:val="18"/>
                <w:lang w:val="en-GB"/>
              </w:rPr>
            </w:pPr>
          </w:p>
        </w:tc>
        <w:tc>
          <w:tcPr>
            <w:tcW w:w="1315" w:type="dxa"/>
            <w:tcBorders>
              <w:top w:val="single" w:sz="6" w:space="0" w:color="000000"/>
              <w:bottom w:val="single" w:sz="6" w:space="0" w:color="000000"/>
            </w:tcBorders>
            <w:shd w:val="clear" w:color="auto" w:fill="auto"/>
          </w:tcPr>
          <w:p w14:paraId="1D981855"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Continuous</w:t>
            </w:r>
          </w:p>
        </w:tc>
        <w:tc>
          <w:tcPr>
            <w:tcW w:w="1042" w:type="dxa"/>
            <w:tcBorders>
              <w:top w:val="single" w:sz="6" w:space="0" w:color="000000"/>
              <w:bottom w:val="single" w:sz="6" w:space="0" w:color="000000"/>
            </w:tcBorders>
            <w:shd w:val="clear" w:color="auto" w:fill="auto"/>
          </w:tcPr>
          <w:p w14:paraId="6EEA2FD8" w14:textId="0275662B" w:rsidR="00514A54" w:rsidRPr="00E70A8B" w:rsidRDefault="00A80BB8">
            <w:pPr>
              <w:pStyle w:val="TableContents"/>
              <w:rPr>
                <w:rFonts w:ascii="Arial" w:hAnsi="Arial" w:cs="Arial"/>
              </w:rPr>
            </w:pPr>
            <w:r w:rsidRPr="00E70A8B">
              <w:rPr>
                <w:rFonts w:ascii="Arial" w:hAnsi="Arial" w:cs="Arial"/>
              </w:rPr>
              <w:fldChar w:fldCharType="begin"/>
            </w:r>
            <w:r w:rsidR="004A7EB4">
              <w:rPr>
                <w:rFonts w:ascii="Arial" w:hAnsi="Arial" w:cs="Arial"/>
              </w:rPr>
              <w:instrText xml:space="preserve"> ADDIN ZOTERO_ITEM CSL_CITATION {"citationID":"wystutX8","properties":{"formattedCitation":"[11]","plainCitation":"[11]","noteIndex":0},"citationItems":[{"id":4509,"uris":["http://zotero.org/groups/2472009/items/UBBR6P4E"],"uri":["http://zotero.org/groups/2472009/items/UBBR6P4E"],"itemData":{"id":4509,"type":"article-journal","abstract":"Abstract.  A major challenge in understanding gene regulation is the unequivocal identification of enhancer elements and uncovering their connections to genes.","container-title":"Database","DOI":"10.1093/database/bax028","journalAbbreviation":"Database (Oxford)","language":"en","note":"publisher: Oxford Academic","source":"academic.oup.com","title":"GeneHancer: genome-wide integration of enhancers and target genes in GeneCards","title-short":"GeneHancer","URL":"https://academic.oup.com/database/article/doi/10.1093/database/bax028/3737828","volume":"2017","author":[{"family":"Fishilevich","given":"Simon"},{"family":"Nudel","given":"Ron"},{"family":"Rappaport","given":"Noa"},{"family":"Hadar","given":"Rotem"},{"family":"Plaschkes","given":"Inbar"},{"family":"Iny Stein","given":"Tsippi"},{"family":"Rosen","given":"Naomi"},{"family":"Kohn","given":"Asher"},{"family":"Twik","given":"Michal"},{"family":"Safran","given":"Marilyn"},{"family":"Lancet","given":"Doron"},{"family":"Cohen","given":"Dana"}],"accessed":{"date-parts":[["2020",4,8]]},"issued":{"date-parts":[["2017",1,1]]}}}],"schema":"https://github.com/citation-style-language/schema/raw/master/csl-citation.json"} </w:instrText>
            </w:r>
            <w:r w:rsidRPr="00E70A8B">
              <w:rPr>
                <w:rFonts w:ascii="Arial" w:hAnsi="Arial" w:cs="Arial"/>
              </w:rPr>
              <w:fldChar w:fldCharType="separate"/>
            </w:r>
            <w:bookmarkStart w:id="49" w:name="__Fieldmark__297_2281253091"/>
            <w:bookmarkStart w:id="50" w:name="__Fieldmark__269_3451003990"/>
            <w:r w:rsidR="004A7EB4">
              <w:rPr>
                <w:rFonts w:ascii="Arial" w:hAnsi="Arial" w:cs="Arial"/>
                <w:sz w:val="18"/>
                <w:szCs w:val="18"/>
                <w:lang w:val="en-GB"/>
              </w:rPr>
              <w:t>[11]</w:t>
            </w:r>
            <w:r w:rsidRPr="00E70A8B">
              <w:rPr>
                <w:rFonts w:ascii="Arial" w:hAnsi="Arial" w:cs="Arial"/>
              </w:rPr>
              <w:fldChar w:fldCharType="end"/>
            </w:r>
            <w:bookmarkEnd w:id="49"/>
            <w:bookmarkEnd w:id="50"/>
          </w:p>
        </w:tc>
      </w:tr>
      <w:tr w:rsidR="00514A54" w:rsidRPr="00E70A8B" w14:paraId="5905A3FE" w14:textId="77777777">
        <w:tc>
          <w:tcPr>
            <w:tcW w:w="2382" w:type="dxa"/>
            <w:tcBorders>
              <w:top w:val="single" w:sz="6" w:space="0" w:color="000000"/>
              <w:bottom w:val="single" w:sz="6" w:space="0" w:color="000000"/>
            </w:tcBorders>
            <w:shd w:val="clear" w:color="auto" w:fill="auto"/>
          </w:tcPr>
          <w:p w14:paraId="41DFC88A" w14:textId="77777777" w:rsidR="00514A54" w:rsidRPr="00E70A8B" w:rsidRDefault="00A80BB8">
            <w:pPr>
              <w:pStyle w:val="TableContents"/>
              <w:rPr>
                <w:rFonts w:ascii="Arial" w:hAnsi="Arial" w:cs="Arial"/>
                <w:sz w:val="18"/>
                <w:szCs w:val="18"/>
                <w:lang w:val="en-GB"/>
              </w:rPr>
            </w:pPr>
            <w:proofErr w:type="spellStart"/>
            <w:r w:rsidRPr="00E70A8B">
              <w:rPr>
                <w:rFonts w:ascii="Arial" w:hAnsi="Arial" w:cs="Arial"/>
                <w:color w:val="000000"/>
                <w:sz w:val="18"/>
                <w:szCs w:val="18"/>
                <w:lang w:val="en-GB"/>
              </w:rPr>
              <w:t>GeneHancer</w:t>
            </w:r>
            <w:proofErr w:type="spellEnd"/>
            <w:r w:rsidRPr="00E70A8B">
              <w:rPr>
                <w:rFonts w:ascii="Arial" w:hAnsi="Arial" w:cs="Arial"/>
                <w:color w:val="000000"/>
                <w:sz w:val="18"/>
                <w:szCs w:val="18"/>
                <w:lang w:val="en-GB"/>
              </w:rPr>
              <w:t xml:space="preserve"> target count</w:t>
            </w:r>
          </w:p>
        </w:tc>
        <w:tc>
          <w:tcPr>
            <w:tcW w:w="3250" w:type="dxa"/>
            <w:vMerge/>
            <w:tcBorders>
              <w:top w:val="single" w:sz="4" w:space="0" w:color="000000"/>
              <w:bottom w:val="single" w:sz="6" w:space="0" w:color="000000"/>
            </w:tcBorders>
            <w:shd w:val="clear" w:color="auto" w:fill="auto"/>
          </w:tcPr>
          <w:p w14:paraId="411D3165" w14:textId="77777777" w:rsidR="00514A54" w:rsidRPr="00E70A8B" w:rsidRDefault="00514A54">
            <w:pPr>
              <w:pStyle w:val="TableContents"/>
              <w:snapToGrid w:val="0"/>
              <w:rPr>
                <w:rFonts w:ascii="Arial" w:hAnsi="Arial" w:cs="Arial"/>
                <w:color w:val="000000"/>
                <w:sz w:val="18"/>
                <w:szCs w:val="18"/>
                <w:lang w:val="en-GB"/>
              </w:rPr>
            </w:pPr>
          </w:p>
        </w:tc>
        <w:tc>
          <w:tcPr>
            <w:tcW w:w="1983" w:type="dxa"/>
            <w:vMerge/>
            <w:tcBorders>
              <w:top w:val="single" w:sz="6" w:space="0" w:color="000000"/>
              <w:bottom w:val="single" w:sz="6" w:space="0" w:color="000000"/>
            </w:tcBorders>
            <w:shd w:val="clear" w:color="auto" w:fill="auto"/>
            <w:vAlign w:val="center"/>
          </w:tcPr>
          <w:p w14:paraId="17FCD2AD" w14:textId="77777777" w:rsidR="00514A54" w:rsidRPr="00E70A8B" w:rsidRDefault="00514A54">
            <w:pPr>
              <w:pStyle w:val="TableContents"/>
              <w:snapToGrid w:val="0"/>
              <w:jc w:val="center"/>
              <w:rPr>
                <w:rFonts w:ascii="Arial" w:hAnsi="Arial" w:cs="Arial"/>
                <w:color w:val="000000"/>
                <w:sz w:val="18"/>
                <w:szCs w:val="18"/>
                <w:lang w:val="en-GB"/>
              </w:rPr>
            </w:pPr>
          </w:p>
        </w:tc>
        <w:tc>
          <w:tcPr>
            <w:tcW w:w="1315" w:type="dxa"/>
            <w:tcBorders>
              <w:top w:val="single" w:sz="6" w:space="0" w:color="000000"/>
              <w:bottom w:val="single" w:sz="6" w:space="0" w:color="000000"/>
            </w:tcBorders>
            <w:shd w:val="clear" w:color="auto" w:fill="auto"/>
          </w:tcPr>
          <w:p w14:paraId="592AE84D"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Discrete</w:t>
            </w:r>
          </w:p>
        </w:tc>
        <w:tc>
          <w:tcPr>
            <w:tcW w:w="1042" w:type="dxa"/>
            <w:tcBorders>
              <w:top w:val="single" w:sz="6" w:space="0" w:color="000000"/>
              <w:bottom w:val="single" w:sz="6" w:space="0" w:color="000000"/>
            </w:tcBorders>
            <w:shd w:val="clear" w:color="auto" w:fill="auto"/>
          </w:tcPr>
          <w:p w14:paraId="5E1EA751" w14:textId="3F46570B" w:rsidR="00514A54" w:rsidRPr="00E70A8B" w:rsidRDefault="00A80BB8">
            <w:pPr>
              <w:pStyle w:val="TableContents"/>
              <w:rPr>
                <w:rFonts w:ascii="Arial" w:hAnsi="Arial" w:cs="Arial"/>
              </w:rPr>
            </w:pPr>
            <w:r w:rsidRPr="00E70A8B">
              <w:rPr>
                <w:rFonts w:ascii="Arial" w:hAnsi="Arial" w:cs="Arial"/>
              </w:rPr>
              <w:fldChar w:fldCharType="begin"/>
            </w:r>
            <w:r w:rsidR="004A7EB4">
              <w:rPr>
                <w:rFonts w:ascii="Arial" w:hAnsi="Arial" w:cs="Arial"/>
              </w:rPr>
              <w:instrText xml:space="preserve"> ADDIN ZOTERO_ITEM CSL_CITATION {"citationID":"gLxEKGJT","properties":{"formattedCitation":"[11]","plainCitation":"[11]","noteIndex":0},"citationItems":[{"id":4509,"uris":["http://zotero.org/groups/2472009/items/UBBR6P4E"],"uri":["http://zotero.org/groups/2472009/items/UBBR6P4E"],"itemData":{"id":4509,"type":"article-journal","abstract":"Abstract.  A major challenge in understanding gene regulation is the unequivocal identification of enhancer elements and uncovering their connections to genes.","container-title":"Database","DOI":"10.1093/database/bax028","journalAbbreviation":"Database (Oxford)","language":"en","note":"publisher: Oxford Academic","source":"academic.oup.com","title":"GeneHancer: genome-wide integration of enhancers and target genes in GeneCards","title-short":"GeneHancer","URL":"https://academic.oup.com/database/article/doi/10.1093/database/bax028/3737828","volume":"2017","author":[{"family":"Fishilevich","given":"Simon"},{"family":"Nudel","given":"Ron"},{"family":"Rappaport","given":"Noa"},{"family":"Hadar","given":"Rotem"},{"family":"Plaschkes","given":"Inbar"},{"family":"Iny Stein","given":"Tsippi"},{"family":"Rosen","given":"Naomi"},{"family":"Kohn","given":"Asher"},{"family":"Twik","given":"Michal"},{"family":"Safran","given":"Marilyn"},{"family":"Lancet","given":"Doron"},{"family":"Cohen","given":"Dana"}],"accessed":{"date-parts":[["2020",4,8]]},"issued":{"date-parts":[["2017",1,1]]}}}],"schema":"https://github.com/citation-style-language/schema/raw/master/csl-citation.json"} </w:instrText>
            </w:r>
            <w:r w:rsidRPr="00E70A8B">
              <w:rPr>
                <w:rFonts w:ascii="Arial" w:hAnsi="Arial" w:cs="Arial"/>
              </w:rPr>
              <w:fldChar w:fldCharType="separate"/>
            </w:r>
            <w:bookmarkStart w:id="51" w:name="__Fieldmark__306_2281253091"/>
            <w:bookmarkStart w:id="52" w:name="__Fieldmark__277_3451003990"/>
            <w:r w:rsidR="004A7EB4">
              <w:rPr>
                <w:rFonts w:ascii="Arial" w:hAnsi="Arial" w:cs="Arial"/>
                <w:sz w:val="18"/>
                <w:szCs w:val="18"/>
                <w:lang w:val="en-GB"/>
              </w:rPr>
              <w:t>[11]</w:t>
            </w:r>
            <w:r w:rsidRPr="00E70A8B">
              <w:rPr>
                <w:rFonts w:ascii="Arial" w:hAnsi="Arial" w:cs="Arial"/>
              </w:rPr>
              <w:fldChar w:fldCharType="end"/>
            </w:r>
            <w:bookmarkEnd w:id="51"/>
            <w:bookmarkEnd w:id="52"/>
          </w:p>
        </w:tc>
      </w:tr>
      <w:tr w:rsidR="00514A54" w:rsidRPr="00E70A8B" w14:paraId="29CCEE15" w14:textId="77777777">
        <w:tc>
          <w:tcPr>
            <w:tcW w:w="2382" w:type="dxa"/>
            <w:tcBorders>
              <w:top w:val="single" w:sz="6" w:space="0" w:color="000000"/>
              <w:bottom w:val="single" w:sz="6" w:space="0" w:color="000000"/>
            </w:tcBorders>
            <w:shd w:val="clear" w:color="auto" w:fill="auto"/>
          </w:tcPr>
          <w:p w14:paraId="487131BF" w14:textId="77777777" w:rsidR="00514A54" w:rsidRPr="00E70A8B" w:rsidRDefault="00A80BB8">
            <w:pPr>
              <w:pStyle w:val="TableContents"/>
              <w:rPr>
                <w:rFonts w:ascii="Arial" w:hAnsi="Arial" w:cs="Arial"/>
                <w:sz w:val="18"/>
                <w:szCs w:val="18"/>
                <w:lang w:val="en-GB"/>
              </w:rPr>
            </w:pPr>
            <w:proofErr w:type="spellStart"/>
            <w:r w:rsidRPr="00E70A8B">
              <w:rPr>
                <w:rFonts w:ascii="Arial" w:hAnsi="Arial" w:cs="Arial"/>
                <w:color w:val="000000"/>
                <w:sz w:val="18"/>
                <w:szCs w:val="18"/>
                <w:lang w:val="en-GB"/>
              </w:rPr>
              <w:t>GeneHancer</w:t>
            </w:r>
            <w:proofErr w:type="spellEnd"/>
            <w:r w:rsidRPr="00E70A8B">
              <w:rPr>
                <w:rFonts w:ascii="Arial" w:hAnsi="Arial" w:cs="Arial"/>
                <w:color w:val="000000"/>
                <w:sz w:val="18"/>
                <w:szCs w:val="18"/>
                <w:lang w:val="en-GB"/>
              </w:rPr>
              <w:t xml:space="preserve"> max score targets</w:t>
            </w:r>
          </w:p>
        </w:tc>
        <w:tc>
          <w:tcPr>
            <w:tcW w:w="3250" w:type="dxa"/>
            <w:vMerge/>
            <w:tcBorders>
              <w:top w:val="single" w:sz="4" w:space="0" w:color="000000"/>
              <w:bottom w:val="single" w:sz="6" w:space="0" w:color="000000"/>
            </w:tcBorders>
            <w:shd w:val="clear" w:color="auto" w:fill="auto"/>
          </w:tcPr>
          <w:p w14:paraId="398E4A7F" w14:textId="77777777" w:rsidR="00514A54" w:rsidRPr="00E70A8B" w:rsidRDefault="00514A54">
            <w:pPr>
              <w:pStyle w:val="TableContents"/>
              <w:snapToGrid w:val="0"/>
              <w:rPr>
                <w:rFonts w:ascii="Arial" w:hAnsi="Arial" w:cs="Arial"/>
                <w:color w:val="000000"/>
                <w:sz w:val="18"/>
                <w:szCs w:val="18"/>
                <w:lang w:val="en-GB"/>
              </w:rPr>
            </w:pPr>
          </w:p>
        </w:tc>
        <w:tc>
          <w:tcPr>
            <w:tcW w:w="1983" w:type="dxa"/>
            <w:vMerge/>
            <w:tcBorders>
              <w:top w:val="single" w:sz="6" w:space="0" w:color="000000"/>
              <w:bottom w:val="single" w:sz="6" w:space="0" w:color="000000"/>
            </w:tcBorders>
            <w:shd w:val="clear" w:color="auto" w:fill="auto"/>
            <w:vAlign w:val="center"/>
          </w:tcPr>
          <w:p w14:paraId="22CCC95F" w14:textId="77777777" w:rsidR="00514A54" w:rsidRPr="00E70A8B" w:rsidRDefault="00514A54">
            <w:pPr>
              <w:pStyle w:val="TableContents"/>
              <w:snapToGrid w:val="0"/>
              <w:jc w:val="center"/>
              <w:rPr>
                <w:rFonts w:ascii="Arial" w:hAnsi="Arial" w:cs="Arial"/>
                <w:color w:val="000000"/>
                <w:sz w:val="18"/>
                <w:szCs w:val="18"/>
                <w:lang w:val="en-GB"/>
              </w:rPr>
            </w:pPr>
          </w:p>
        </w:tc>
        <w:tc>
          <w:tcPr>
            <w:tcW w:w="1315" w:type="dxa"/>
            <w:tcBorders>
              <w:top w:val="single" w:sz="6" w:space="0" w:color="000000"/>
              <w:bottom w:val="single" w:sz="6" w:space="0" w:color="000000"/>
            </w:tcBorders>
            <w:shd w:val="clear" w:color="auto" w:fill="auto"/>
          </w:tcPr>
          <w:p w14:paraId="2556162F"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Continuous</w:t>
            </w:r>
          </w:p>
        </w:tc>
        <w:tc>
          <w:tcPr>
            <w:tcW w:w="1042" w:type="dxa"/>
            <w:tcBorders>
              <w:top w:val="single" w:sz="6" w:space="0" w:color="000000"/>
              <w:bottom w:val="single" w:sz="6" w:space="0" w:color="000000"/>
            </w:tcBorders>
            <w:shd w:val="clear" w:color="auto" w:fill="auto"/>
          </w:tcPr>
          <w:p w14:paraId="729DC64A" w14:textId="57F07671" w:rsidR="00514A54" w:rsidRPr="00E70A8B" w:rsidRDefault="00A80BB8">
            <w:pPr>
              <w:pStyle w:val="TableContents"/>
              <w:rPr>
                <w:rFonts w:ascii="Arial" w:hAnsi="Arial" w:cs="Arial"/>
              </w:rPr>
            </w:pPr>
            <w:r w:rsidRPr="00E70A8B">
              <w:rPr>
                <w:rFonts w:ascii="Arial" w:hAnsi="Arial" w:cs="Arial"/>
              </w:rPr>
              <w:fldChar w:fldCharType="begin"/>
            </w:r>
            <w:r w:rsidR="004A7EB4">
              <w:rPr>
                <w:rFonts w:ascii="Arial" w:hAnsi="Arial" w:cs="Arial"/>
              </w:rPr>
              <w:instrText xml:space="preserve"> ADDIN ZOTERO_ITEM CSL_CITATION {"citationID":"E0L4Nya1","properties":{"formattedCitation":"[11]","plainCitation":"[11]","noteIndex":0},"citationItems":[{"id":4509,"uris":["http://zotero.org/groups/2472009/items/UBBR6P4E"],"uri":["http://zotero.org/groups/2472009/items/UBBR6P4E"],"itemData":{"id":4509,"type":"article-journal","abstract":"Abstract.  A major challenge in understanding gene regulation is the unequivocal identification of enhancer elements and uncovering their connections to genes.","container-title":"Database","DOI":"10.1093/database/bax028","journalAbbreviation":"Database (Oxford)","language":"en","note":"publisher: Oxford Academic","source":"academic.oup.com","title":"GeneHancer: genome-wide integration of enhancers and target genes in GeneCards","title-short":"GeneHancer","URL":"https://academic.oup.com/database/article/doi/10.1093/database/bax028/3737828","volume":"2017","author":[{"family":"Fishilevich","given":"Simon"},{"family":"Nudel","given":"Ron"},{"family":"Rappaport","given":"Noa"},{"family":"Hadar","given":"Rotem"},{"family":"Plaschkes","given":"Inbar"},{"family":"Iny Stein","given":"Tsippi"},{"family":"Rosen","given":"Naomi"},{"family":"Kohn","given":"Asher"},{"family":"Twik","given":"Michal"},{"family":"Safran","given":"Marilyn"},{"family":"Lancet","given":"Doron"},{"family":"Cohen","given":"Dana"}],"accessed":{"date-parts":[["2020",4,8]]},"issued":{"date-parts":[["2017",1,1]]}}}],"schema":"https://github.com/citation-style-language/schema/raw/master/csl-citation.json"} </w:instrText>
            </w:r>
            <w:r w:rsidRPr="00E70A8B">
              <w:rPr>
                <w:rFonts w:ascii="Arial" w:hAnsi="Arial" w:cs="Arial"/>
              </w:rPr>
              <w:fldChar w:fldCharType="separate"/>
            </w:r>
            <w:bookmarkStart w:id="53" w:name="__Fieldmark__315_2281253091"/>
            <w:bookmarkStart w:id="54" w:name="__Fieldmark__285_3451003990"/>
            <w:r w:rsidR="004A7EB4">
              <w:rPr>
                <w:rFonts w:ascii="Arial" w:hAnsi="Arial" w:cs="Arial"/>
                <w:sz w:val="18"/>
                <w:szCs w:val="18"/>
                <w:lang w:val="en-GB"/>
              </w:rPr>
              <w:t>[11]</w:t>
            </w:r>
            <w:r w:rsidRPr="00E70A8B">
              <w:rPr>
                <w:rFonts w:ascii="Arial" w:hAnsi="Arial" w:cs="Arial"/>
              </w:rPr>
              <w:fldChar w:fldCharType="end"/>
            </w:r>
            <w:bookmarkEnd w:id="53"/>
            <w:bookmarkEnd w:id="54"/>
          </w:p>
        </w:tc>
      </w:tr>
      <w:tr w:rsidR="00514A54" w:rsidRPr="00E70A8B" w14:paraId="55CC61DE" w14:textId="77777777">
        <w:tc>
          <w:tcPr>
            <w:tcW w:w="2382" w:type="dxa"/>
            <w:tcBorders>
              <w:top w:val="single" w:sz="6" w:space="0" w:color="000000"/>
              <w:bottom w:val="single" w:sz="6" w:space="0" w:color="000000"/>
            </w:tcBorders>
            <w:shd w:val="clear" w:color="auto" w:fill="auto"/>
          </w:tcPr>
          <w:p w14:paraId="35D6765E"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FOCS_FANTOM5 max score</w:t>
            </w:r>
          </w:p>
        </w:tc>
        <w:tc>
          <w:tcPr>
            <w:tcW w:w="3250" w:type="dxa"/>
            <w:vMerge/>
            <w:tcBorders>
              <w:top w:val="single" w:sz="4" w:space="0" w:color="000000"/>
              <w:bottom w:val="single" w:sz="6" w:space="0" w:color="000000"/>
            </w:tcBorders>
            <w:shd w:val="clear" w:color="auto" w:fill="auto"/>
          </w:tcPr>
          <w:p w14:paraId="7F87CCB6" w14:textId="77777777" w:rsidR="00514A54" w:rsidRPr="00E70A8B" w:rsidRDefault="00514A54">
            <w:pPr>
              <w:pStyle w:val="TableContents"/>
              <w:snapToGrid w:val="0"/>
              <w:rPr>
                <w:rFonts w:ascii="Arial" w:hAnsi="Arial" w:cs="Arial"/>
                <w:color w:val="000000"/>
                <w:sz w:val="18"/>
                <w:szCs w:val="18"/>
                <w:lang w:val="en-GB"/>
              </w:rPr>
            </w:pPr>
          </w:p>
        </w:tc>
        <w:tc>
          <w:tcPr>
            <w:tcW w:w="1983" w:type="dxa"/>
            <w:vMerge/>
            <w:tcBorders>
              <w:top w:val="single" w:sz="6" w:space="0" w:color="000000"/>
              <w:bottom w:val="single" w:sz="6" w:space="0" w:color="000000"/>
            </w:tcBorders>
            <w:shd w:val="clear" w:color="auto" w:fill="auto"/>
            <w:vAlign w:val="center"/>
          </w:tcPr>
          <w:p w14:paraId="17C556C9" w14:textId="77777777" w:rsidR="00514A54" w:rsidRPr="00E70A8B" w:rsidRDefault="00514A54">
            <w:pPr>
              <w:pStyle w:val="TableContents"/>
              <w:snapToGrid w:val="0"/>
              <w:jc w:val="center"/>
              <w:rPr>
                <w:rFonts w:ascii="Arial" w:hAnsi="Arial" w:cs="Arial"/>
                <w:color w:val="000000"/>
                <w:sz w:val="18"/>
                <w:szCs w:val="18"/>
                <w:lang w:val="en-GB"/>
              </w:rPr>
            </w:pPr>
          </w:p>
        </w:tc>
        <w:tc>
          <w:tcPr>
            <w:tcW w:w="1315" w:type="dxa"/>
            <w:tcBorders>
              <w:top w:val="single" w:sz="6" w:space="0" w:color="000000"/>
              <w:bottom w:val="single" w:sz="6" w:space="0" w:color="000000"/>
            </w:tcBorders>
            <w:shd w:val="clear" w:color="auto" w:fill="auto"/>
          </w:tcPr>
          <w:p w14:paraId="089F0975"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Continuous</w:t>
            </w:r>
          </w:p>
        </w:tc>
        <w:tc>
          <w:tcPr>
            <w:tcW w:w="1042" w:type="dxa"/>
            <w:tcBorders>
              <w:top w:val="single" w:sz="6" w:space="0" w:color="000000"/>
              <w:bottom w:val="single" w:sz="6" w:space="0" w:color="000000"/>
            </w:tcBorders>
            <w:shd w:val="clear" w:color="auto" w:fill="auto"/>
          </w:tcPr>
          <w:p w14:paraId="583A75F7" w14:textId="75A096E8" w:rsidR="00514A54" w:rsidRPr="00E70A8B" w:rsidRDefault="00A80BB8">
            <w:pPr>
              <w:pStyle w:val="TableContents"/>
              <w:rPr>
                <w:rFonts w:ascii="Arial" w:hAnsi="Arial" w:cs="Arial"/>
              </w:rPr>
            </w:pPr>
            <w:r w:rsidRPr="00E70A8B">
              <w:rPr>
                <w:rFonts w:ascii="Arial" w:hAnsi="Arial" w:cs="Arial"/>
              </w:rPr>
              <w:fldChar w:fldCharType="begin"/>
            </w:r>
            <w:r w:rsidR="004A7EB4">
              <w:rPr>
                <w:rFonts w:ascii="Arial" w:hAnsi="Arial" w:cs="Arial"/>
              </w:rPr>
              <w:instrText xml:space="preserve"> ADDIN ZOTERO_ITEM CSL_CITATION {"citationID":"7vd8TMqt","properties":{"formattedCitation":"[12]","plainCitation":"[12]","noteIndex":0},"citationItems":[{"id":3330,"uris":["http://zotero.org/groups/2472009/items/WHXJEE7D"],"uri":["http://zotero.org/groups/2472009/items/WHXJEE7D"],"itemData":{"id":3330,"type":"article-journal","abstract":"Recent sequencing technologies enable joint quantification of promoters and their enhancer regions, allowing inference of enhancer-promoter links. We show that current enhancer-promoter inference methods produce a high rate of false positive links. We introduce FOCS, a new inference method, and by benchmarking against ChIA-PET, HiChIP, and eQTL data show that it results in lower false discovery rates and at the same time higher inference power. By applying FOCS to 2630 samples taken from ENCODE, Roadmap Epigenomics, FANTOM5, and a new compendium of GRO-seq samples, we provide extensive enhancer-promotor maps ( http://acgt.cs.tau.ac.il/focs ). We illustrate the usability of our maps for deriving biological hypotheses.","container-title":"Genome Biology","DOI":"10.1186/s13059-018-1432-2","ISSN":"1474-760X (Electronic) 1474-7596 (Linking)","issue":"1","page":"56","title":"FOCS: a novel method for analyzing enhancer and gene activity patterns infers an extensive enhancer-promoter map","volume":"19","author":[{"family":"Hait","given":"T. A."},{"family":"Amar","given":"D."},{"family":"Shamir","given":"R."},{"family":"Elkon","given":"R."}],"issued":{"date-parts":[["2018",5,1]]}}}],"schema":"https://github.com/citation-style-language/schema/raw/master/csl-citation.json"} </w:instrText>
            </w:r>
            <w:r w:rsidRPr="00E70A8B">
              <w:rPr>
                <w:rFonts w:ascii="Arial" w:hAnsi="Arial" w:cs="Arial"/>
              </w:rPr>
              <w:fldChar w:fldCharType="separate"/>
            </w:r>
            <w:bookmarkStart w:id="55" w:name="__Fieldmark__324_2281253091"/>
            <w:bookmarkStart w:id="56" w:name="__Fieldmark__292_3451003990"/>
            <w:r w:rsidR="004A7EB4">
              <w:rPr>
                <w:rFonts w:ascii="Arial" w:hAnsi="Arial" w:cs="Arial"/>
                <w:sz w:val="18"/>
                <w:szCs w:val="18"/>
                <w:lang w:val="en-GB"/>
              </w:rPr>
              <w:t>[12]</w:t>
            </w:r>
            <w:r w:rsidRPr="00E70A8B">
              <w:rPr>
                <w:rFonts w:ascii="Arial" w:hAnsi="Arial" w:cs="Arial"/>
              </w:rPr>
              <w:fldChar w:fldCharType="end"/>
            </w:r>
            <w:bookmarkEnd w:id="55"/>
            <w:bookmarkEnd w:id="56"/>
          </w:p>
        </w:tc>
      </w:tr>
      <w:tr w:rsidR="00514A54" w:rsidRPr="00E70A8B" w14:paraId="3B09EB4D" w14:textId="77777777">
        <w:tc>
          <w:tcPr>
            <w:tcW w:w="2382" w:type="dxa"/>
            <w:tcBorders>
              <w:top w:val="single" w:sz="6" w:space="0" w:color="000000"/>
              <w:bottom w:val="single" w:sz="6" w:space="0" w:color="000000"/>
            </w:tcBorders>
            <w:shd w:val="clear" w:color="auto" w:fill="auto"/>
          </w:tcPr>
          <w:p w14:paraId="1CD35306"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FOCS_FANTOM5 target count</w:t>
            </w:r>
          </w:p>
        </w:tc>
        <w:tc>
          <w:tcPr>
            <w:tcW w:w="3250" w:type="dxa"/>
            <w:vMerge/>
            <w:tcBorders>
              <w:top w:val="single" w:sz="4" w:space="0" w:color="000000"/>
              <w:bottom w:val="single" w:sz="6" w:space="0" w:color="000000"/>
            </w:tcBorders>
            <w:shd w:val="clear" w:color="auto" w:fill="auto"/>
          </w:tcPr>
          <w:p w14:paraId="7224CAB1" w14:textId="77777777" w:rsidR="00514A54" w:rsidRPr="00E70A8B" w:rsidRDefault="00514A54">
            <w:pPr>
              <w:pStyle w:val="TableContents"/>
              <w:snapToGrid w:val="0"/>
              <w:rPr>
                <w:rFonts w:ascii="Arial" w:hAnsi="Arial" w:cs="Arial"/>
                <w:color w:val="000000"/>
                <w:sz w:val="18"/>
                <w:szCs w:val="18"/>
                <w:lang w:val="en-GB"/>
              </w:rPr>
            </w:pPr>
          </w:p>
        </w:tc>
        <w:tc>
          <w:tcPr>
            <w:tcW w:w="1983" w:type="dxa"/>
            <w:vMerge/>
            <w:tcBorders>
              <w:top w:val="single" w:sz="6" w:space="0" w:color="000000"/>
              <w:bottom w:val="single" w:sz="6" w:space="0" w:color="000000"/>
            </w:tcBorders>
            <w:shd w:val="clear" w:color="auto" w:fill="auto"/>
            <w:vAlign w:val="center"/>
          </w:tcPr>
          <w:p w14:paraId="0880ED61" w14:textId="77777777" w:rsidR="00514A54" w:rsidRPr="00E70A8B" w:rsidRDefault="00514A54">
            <w:pPr>
              <w:pStyle w:val="TableContents"/>
              <w:snapToGrid w:val="0"/>
              <w:jc w:val="center"/>
              <w:rPr>
                <w:rFonts w:ascii="Arial" w:hAnsi="Arial" w:cs="Arial"/>
                <w:color w:val="000000"/>
                <w:sz w:val="18"/>
                <w:szCs w:val="18"/>
                <w:lang w:val="en-GB"/>
              </w:rPr>
            </w:pPr>
          </w:p>
        </w:tc>
        <w:tc>
          <w:tcPr>
            <w:tcW w:w="1315" w:type="dxa"/>
            <w:tcBorders>
              <w:top w:val="single" w:sz="6" w:space="0" w:color="000000"/>
              <w:bottom w:val="single" w:sz="6" w:space="0" w:color="000000"/>
            </w:tcBorders>
            <w:shd w:val="clear" w:color="auto" w:fill="auto"/>
          </w:tcPr>
          <w:p w14:paraId="551F4621"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Discrete</w:t>
            </w:r>
          </w:p>
        </w:tc>
        <w:tc>
          <w:tcPr>
            <w:tcW w:w="1042" w:type="dxa"/>
            <w:tcBorders>
              <w:top w:val="single" w:sz="6" w:space="0" w:color="000000"/>
              <w:bottom w:val="single" w:sz="6" w:space="0" w:color="000000"/>
            </w:tcBorders>
            <w:shd w:val="clear" w:color="auto" w:fill="auto"/>
          </w:tcPr>
          <w:p w14:paraId="2BD23A0E" w14:textId="3D661CE4" w:rsidR="00514A54" w:rsidRPr="00E70A8B" w:rsidRDefault="00A80BB8">
            <w:pPr>
              <w:pStyle w:val="TableContents"/>
              <w:rPr>
                <w:rFonts w:ascii="Arial" w:hAnsi="Arial" w:cs="Arial"/>
              </w:rPr>
            </w:pPr>
            <w:r w:rsidRPr="00E70A8B">
              <w:rPr>
                <w:rFonts w:ascii="Arial" w:hAnsi="Arial" w:cs="Arial"/>
              </w:rPr>
              <w:fldChar w:fldCharType="begin"/>
            </w:r>
            <w:r w:rsidR="004A7EB4">
              <w:rPr>
                <w:rFonts w:ascii="Arial" w:hAnsi="Arial" w:cs="Arial"/>
              </w:rPr>
              <w:instrText xml:space="preserve"> ADDIN ZOTERO_ITEM CSL_CITATION {"citationID":"ryq00m0a","properties":{"formattedCitation":"[12]","plainCitation":"[12]","noteIndex":0},"citationItems":[{"id":3330,"uris":["http://zotero.org/groups/2472009/items/WHXJEE7D"],"uri":["http://zotero.org/groups/2472009/items/WHXJEE7D"],"itemData":{"id":3330,"type":"article-journal","abstract":"Recent sequencing technologies enable joint quantification of promoters and their enhancer regions, allowing inference of enhancer-promoter links. We show that current enhancer-promoter inference methods produce a high rate of false positive links. We introduce FOCS, a new inference method, and by benchmarking against ChIA-PET, HiChIP, and eQTL data show that it results in lower false discovery rates and at the same time higher inference power. By applying FOCS to 2630 samples taken from ENCODE, Roadmap Epigenomics, FANTOM5, and a new compendium of GRO-seq samples, we provide extensive enhancer-promotor maps ( http://acgt.cs.tau.ac.il/focs ). We illustrate the usability of our maps for deriving biological hypotheses.","container-title":"Genome Biology","DOI":"10.1186/s13059-018-1432-2","ISSN":"1474-760X (Electronic) 1474-7596 (Linking)","issue":"1","page":"56","title":"FOCS: a novel method for analyzing enhancer and gene activity patterns infers an extensive enhancer-promoter map","volume":"19","author":[{"family":"Hait","given":"T. A."},{"family":"Amar","given":"D."},{"family":"Shamir","given":"R."},{"family":"Elkon","given":"R."}],"issued":{"date-parts":[["2018",5,1]]}}}],"schema":"https://github.com/citation-style-language/schema/raw/master/csl-citation.json"} </w:instrText>
            </w:r>
            <w:r w:rsidRPr="00E70A8B">
              <w:rPr>
                <w:rFonts w:ascii="Arial" w:hAnsi="Arial" w:cs="Arial"/>
              </w:rPr>
              <w:fldChar w:fldCharType="separate"/>
            </w:r>
            <w:bookmarkStart w:id="57" w:name="__Fieldmark__333_2281253091"/>
            <w:bookmarkStart w:id="58" w:name="__Fieldmark__299_3451003990"/>
            <w:r w:rsidR="004A7EB4">
              <w:rPr>
                <w:rFonts w:ascii="Arial" w:hAnsi="Arial" w:cs="Arial"/>
                <w:sz w:val="18"/>
                <w:szCs w:val="18"/>
                <w:lang w:val="en-GB"/>
              </w:rPr>
              <w:t>[12]</w:t>
            </w:r>
            <w:r w:rsidRPr="00E70A8B">
              <w:rPr>
                <w:rFonts w:ascii="Arial" w:hAnsi="Arial" w:cs="Arial"/>
              </w:rPr>
              <w:fldChar w:fldCharType="end"/>
            </w:r>
            <w:bookmarkEnd w:id="57"/>
            <w:bookmarkEnd w:id="58"/>
          </w:p>
        </w:tc>
      </w:tr>
      <w:tr w:rsidR="00514A54" w:rsidRPr="00E70A8B" w14:paraId="11365E92" w14:textId="77777777">
        <w:tc>
          <w:tcPr>
            <w:tcW w:w="2382" w:type="dxa"/>
            <w:tcBorders>
              <w:top w:val="single" w:sz="6" w:space="0" w:color="000000"/>
              <w:bottom w:val="single" w:sz="6" w:space="0" w:color="000000"/>
            </w:tcBorders>
            <w:shd w:val="clear" w:color="auto" w:fill="auto"/>
          </w:tcPr>
          <w:p w14:paraId="0694B601" w14:textId="77777777" w:rsidR="00514A54" w:rsidRPr="00E70A8B" w:rsidRDefault="00A80BB8">
            <w:pPr>
              <w:pStyle w:val="TableContents"/>
              <w:rPr>
                <w:rFonts w:ascii="Arial" w:hAnsi="Arial" w:cs="Arial"/>
                <w:sz w:val="18"/>
                <w:szCs w:val="18"/>
                <w:lang w:val="en-GB"/>
              </w:rPr>
            </w:pPr>
            <w:proofErr w:type="spellStart"/>
            <w:r w:rsidRPr="00E70A8B">
              <w:rPr>
                <w:rFonts w:ascii="Arial" w:hAnsi="Arial" w:cs="Arial"/>
                <w:color w:val="000000"/>
                <w:sz w:val="18"/>
                <w:szCs w:val="18"/>
                <w:lang w:val="en-GB"/>
              </w:rPr>
              <w:t>FOCS_GroSeq</w:t>
            </w:r>
            <w:proofErr w:type="spellEnd"/>
            <w:r w:rsidRPr="00E70A8B">
              <w:rPr>
                <w:rFonts w:ascii="Arial" w:hAnsi="Arial" w:cs="Arial"/>
                <w:color w:val="000000"/>
                <w:sz w:val="18"/>
                <w:szCs w:val="18"/>
                <w:lang w:val="en-GB"/>
              </w:rPr>
              <w:t xml:space="preserve"> max score</w:t>
            </w:r>
          </w:p>
        </w:tc>
        <w:tc>
          <w:tcPr>
            <w:tcW w:w="3250" w:type="dxa"/>
            <w:vMerge/>
            <w:tcBorders>
              <w:top w:val="single" w:sz="4" w:space="0" w:color="000000"/>
              <w:bottom w:val="single" w:sz="6" w:space="0" w:color="000000"/>
            </w:tcBorders>
            <w:shd w:val="clear" w:color="auto" w:fill="auto"/>
          </w:tcPr>
          <w:p w14:paraId="1216ED5A" w14:textId="77777777" w:rsidR="00514A54" w:rsidRPr="00E70A8B" w:rsidRDefault="00514A54">
            <w:pPr>
              <w:pStyle w:val="TableContents"/>
              <w:snapToGrid w:val="0"/>
              <w:rPr>
                <w:rFonts w:ascii="Arial" w:hAnsi="Arial" w:cs="Arial"/>
                <w:color w:val="000000"/>
                <w:sz w:val="18"/>
                <w:szCs w:val="18"/>
                <w:lang w:val="en-GB"/>
              </w:rPr>
            </w:pPr>
          </w:p>
        </w:tc>
        <w:tc>
          <w:tcPr>
            <w:tcW w:w="1983" w:type="dxa"/>
            <w:vMerge/>
            <w:tcBorders>
              <w:top w:val="single" w:sz="6" w:space="0" w:color="000000"/>
              <w:bottom w:val="single" w:sz="6" w:space="0" w:color="000000"/>
            </w:tcBorders>
            <w:shd w:val="clear" w:color="auto" w:fill="auto"/>
            <w:vAlign w:val="center"/>
          </w:tcPr>
          <w:p w14:paraId="149C56E3" w14:textId="77777777" w:rsidR="00514A54" w:rsidRPr="00E70A8B" w:rsidRDefault="00514A54">
            <w:pPr>
              <w:pStyle w:val="TableContents"/>
              <w:snapToGrid w:val="0"/>
              <w:jc w:val="center"/>
              <w:rPr>
                <w:rFonts w:ascii="Arial" w:hAnsi="Arial" w:cs="Arial"/>
                <w:color w:val="000000"/>
                <w:sz w:val="18"/>
                <w:szCs w:val="18"/>
                <w:lang w:val="en-GB"/>
              </w:rPr>
            </w:pPr>
          </w:p>
        </w:tc>
        <w:tc>
          <w:tcPr>
            <w:tcW w:w="1315" w:type="dxa"/>
            <w:tcBorders>
              <w:top w:val="single" w:sz="6" w:space="0" w:color="000000"/>
              <w:bottom w:val="single" w:sz="6" w:space="0" w:color="000000"/>
            </w:tcBorders>
            <w:shd w:val="clear" w:color="auto" w:fill="auto"/>
          </w:tcPr>
          <w:p w14:paraId="4CBDF6FD"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Continuous</w:t>
            </w:r>
          </w:p>
        </w:tc>
        <w:tc>
          <w:tcPr>
            <w:tcW w:w="1042" w:type="dxa"/>
            <w:tcBorders>
              <w:top w:val="single" w:sz="6" w:space="0" w:color="000000"/>
              <w:bottom w:val="single" w:sz="6" w:space="0" w:color="000000"/>
            </w:tcBorders>
            <w:shd w:val="clear" w:color="auto" w:fill="auto"/>
          </w:tcPr>
          <w:p w14:paraId="2EB92E6A" w14:textId="0FEEEFD3" w:rsidR="00514A54" w:rsidRPr="00E70A8B" w:rsidRDefault="00A80BB8">
            <w:pPr>
              <w:pStyle w:val="TableContents"/>
              <w:rPr>
                <w:rFonts w:ascii="Arial" w:hAnsi="Arial" w:cs="Arial"/>
              </w:rPr>
            </w:pPr>
            <w:r w:rsidRPr="00E70A8B">
              <w:rPr>
                <w:rFonts w:ascii="Arial" w:hAnsi="Arial" w:cs="Arial"/>
              </w:rPr>
              <w:fldChar w:fldCharType="begin"/>
            </w:r>
            <w:r w:rsidR="004A7EB4">
              <w:rPr>
                <w:rFonts w:ascii="Arial" w:hAnsi="Arial" w:cs="Arial"/>
              </w:rPr>
              <w:instrText xml:space="preserve"> ADDIN ZOTERO_ITEM CSL_CITATION {"citationID":"ZOknKNXM","properties":{"formattedCitation":"[12]","plainCitation":"[12]","noteIndex":0},"citationItems":[{"id":3330,"uris":["http://zotero.org/groups/2472009/items/WHXJEE7D"],"uri":["http://zotero.org/groups/2472009/items/WHXJEE7D"],"itemData":{"id":3330,"type":"article-journal","abstract":"Recent sequencing technologies enable joint quantification of promoters and their enhancer regions, allowing inference of enhancer-promoter links. We show that current enhancer-promoter inference methods produce a high rate of false positive links. We introduce FOCS, a new inference method, and by benchmarking against ChIA-PET, HiChIP, and eQTL data show that it results in lower false discovery rates and at the same time higher inference power. By applying FOCS to 2630 samples taken from ENCODE, Roadmap Epigenomics, FANTOM5, and a new compendium of GRO-seq samples, we provide extensive enhancer-promotor maps ( http://acgt.cs.tau.ac.il/focs ). We illustrate the usability of our maps for deriving biological hypotheses.","container-title":"Genome Biology","DOI":"10.1186/s13059-018-1432-2","ISSN":"1474-760X (Electronic) 1474-7596 (Linking)","issue":"1","page":"56","title":"FOCS: a novel method for analyzing enhancer and gene activity patterns infers an extensive enhancer-promoter map","volume":"19","author":[{"family":"Hait","given":"T. A."},{"family":"Amar","given":"D."},{"family":"Shamir","given":"R."},{"family":"Elkon","given":"R."}],"issued":{"date-parts":[["2018",5,1]]}}}],"schema":"https://github.com/citation-style-language/schema/raw/master/csl-citation.json"} </w:instrText>
            </w:r>
            <w:r w:rsidRPr="00E70A8B">
              <w:rPr>
                <w:rFonts w:ascii="Arial" w:hAnsi="Arial" w:cs="Arial"/>
              </w:rPr>
              <w:fldChar w:fldCharType="separate"/>
            </w:r>
            <w:bookmarkStart w:id="59" w:name="__Fieldmark__342_2281253091"/>
            <w:bookmarkStart w:id="60" w:name="__Fieldmark__307_3451003990"/>
            <w:r w:rsidR="004A7EB4">
              <w:rPr>
                <w:rFonts w:ascii="Arial" w:hAnsi="Arial" w:cs="Arial"/>
                <w:sz w:val="18"/>
                <w:szCs w:val="18"/>
                <w:lang w:val="en-GB"/>
              </w:rPr>
              <w:t>[12]</w:t>
            </w:r>
            <w:r w:rsidRPr="00E70A8B">
              <w:rPr>
                <w:rFonts w:ascii="Arial" w:hAnsi="Arial" w:cs="Arial"/>
              </w:rPr>
              <w:fldChar w:fldCharType="end"/>
            </w:r>
            <w:bookmarkEnd w:id="59"/>
            <w:bookmarkEnd w:id="60"/>
          </w:p>
        </w:tc>
      </w:tr>
      <w:tr w:rsidR="00514A54" w:rsidRPr="00E70A8B" w14:paraId="012FAA5E" w14:textId="77777777">
        <w:tc>
          <w:tcPr>
            <w:tcW w:w="2382" w:type="dxa"/>
            <w:tcBorders>
              <w:top w:val="single" w:sz="6" w:space="0" w:color="000000"/>
              <w:bottom w:val="single" w:sz="6" w:space="0" w:color="000000"/>
            </w:tcBorders>
            <w:shd w:val="clear" w:color="auto" w:fill="auto"/>
          </w:tcPr>
          <w:p w14:paraId="6DD6B425" w14:textId="77777777" w:rsidR="00514A54" w:rsidRPr="00E70A8B" w:rsidRDefault="00A80BB8">
            <w:pPr>
              <w:pStyle w:val="TableContents"/>
              <w:rPr>
                <w:rFonts w:ascii="Arial" w:hAnsi="Arial" w:cs="Arial"/>
                <w:sz w:val="18"/>
                <w:szCs w:val="18"/>
                <w:lang w:val="en-GB"/>
              </w:rPr>
            </w:pPr>
            <w:proofErr w:type="spellStart"/>
            <w:r w:rsidRPr="00E70A8B">
              <w:rPr>
                <w:rFonts w:ascii="Arial" w:hAnsi="Arial" w:cs="Arial"/>
                <w:color w:val="000000"/>
                <w:sz w:val="18"/>
                <w:szCs w:val="18"/>
                <w:lang w:val="en-GB"/>
              </w:rPr>
              <w:t>FOCS_GroSeq</w:t>
            </w:r>
            <w:proofErr w:type="spellEnd"/>
            <w:r w:rsidRPr="00E70A8B">
              <w:rPr>
                <w:rFonts w:ascii="Arial" w:hAnsi="Arial" w:cs="Arial"/>
                <w:color w:val="000000"/>
                <w:sz w:val="18"/>
                <w:szCs w:val="18"/>
                <w:lang w:val="en-GB"/>
              </w:rPr>
              <w:t xml:space="preserve"> target count</w:t>
            </w:r>
          </w:p>
        </w:tc>
        <w:tc>
          <w:tcPr>
            <w:tcW w:w="3250" w:type="dxa"/>
            <w:vMerge/>
            <w:tcBorders>
              <w:top w:val="single" w:sz="4" w:space="0" w:color="000000"/>
              <w:bottom w:val="single" w:sz="6" w:space="0" w:color="000000"/>
            </w:tcBorders>
            <w:shd w:val="clear" w:color="auto" w:fill="auto"/>
          </w:tcPr>
          <w:p w14:paraId="60C9D69E" w14:textId="77777777" w:rsidR="00514A54" w:rsidRPr="00E70A8B" w:rsidRDefault="00514A54">
            <w:pPr>
              <w:pStyle w:val="TableContents"/>
              <w:snapToGrid w:val="0"/>
              <w:rPr>
                <w:rFonts w:ascii="Arial" w:hAnsi="Arial" w:cs="Arial"/>
                <w:color w:val="000000"/>
                <w:sz w:val="18"/>
                <w:szCs w:val="18"/>
                <w:lang w:val="en-GB"/>
              </w:rPr>
            </w:pPr>
          </w:p>
        </w:tc>
        <w:tc>
          <w:tcPr>
            <w:tcW w:w="1983" w:type="dxa"/>
            <w:vMerge/>
            <w:tcBorders>
              <w:top w:val="single" w:sz="6" w:space="0" w:color="000000"/>
              <w:bottom w:val="single" w:sz="6" w:space="0" w:color="000000"/>
            </w:tcBorders>
            <w:shd w:val="clear" w:color="auto" w:fill="auto"/>
            <w:vAlign w:val="center"/>
          </w:tcPr>
          <w:p w14:paraId="3A3B49E2" w14:textId="77777777" w:rsidR="00514A54" w:rsidRPr="00E70A8B" w:rsidRDefault="00514A54">
            <w:pPr>
              <w:pStyle w:val="TableContents"/>
              <w:snapToGrid w:val="0"/>
              <w:jc w:val="center"/>
              <w:rPr>
                <w:rFonts w:ascii="Arial" w:hAnsi="Arial" w:cs="Arial"/>
                <w:color w:val="000000"/>
                <w:sz w:val="18"/>
                <w:szCs w:val="18"/>
                <w:lang w:val="en-GB"/>
              </w:rPr>
            </w:pPr>
          </w:p>
        </w:tc>
        <w:tc>
          <w:tcPr>
            <w:tcW w:w="1315" w:type="dxa"/>
            <w:tcBorders>
              <w:top w:val="single" w:sz="6" w:space="0" w:color="000000"/>
              <w:bottom w:val="single" w:sz="6" w:space="0" w:color="000000"/>
            </w:tcBorders>
            <w:shd w:val="clear" w:color="auto" w:fill="auto"/>
          </w:tcPr>
          <w:p w14:paraId="0F8E3ED1"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Discrete</w:t>
            </w:r>
          </w:p>
        </w:tc>
        <w:tc>
          <w:tcPr>
            <w:tcW w:w="1042" w:type="dxa"/>
            <w:tcBorders>
              <w:top w:val="single" w:sz="6" w:space="0" w:color="000000"/>
              <w:bottom w:val="single" w:sz="6" w:space="0" w:color="000000"/>
            </w:tcBorders>
            <w:shd w:val="clear" w:color="auto" w:fill="auto"/>
          </w:tcPr>
          <w:p w14:paraId="5F0C97FD" w14:textId="027623A5" w:rsidR="00514A54" w:rsidRPr="00E70A8B" w:rsidRDefault="00A80BB8">
            <w:pPr>
              <w:pStyle w:val="TableContents"/>
              <w:rPr>
                <w:rFonts w:ascii="Arial" w:hAnsi="Arial" w:cs="Arial"/>
              </w:rPr>
            </w:pPr>
            <w:r w:rsidRPr="00E70A8B">
              <w:rPr>
                <w:rFonts w:ascii="Arial" w:hAnsi="Arial" w:cs="Arial"/>
              </w:rPr>
              <w:fldChar w:fldCharType="begin"/>
            </w:r>
            <w:r w:rsidR="004A7EB4">
              <w:rPr>
                <w:rFonts w:ascii="Arial" w:hAnsi="Arial" w:cs="Arial"/>
              </w:rPr>
              <w:instrText xml:space="preserve"> ADDIN ZOTERO_ITEM CSL_CITATION {"citationID":"h4qDPlGS","properties":{"formattedCitation":"[12]","plainCitation":"[12]","noteIndex":0},"citationItems":[{"id":3330,"uris":["http://zotero.org/groups/2472009/items/WHXJEE7D"],"uri":["http://zotero.org/groups/2472009/items/WHXJEE7D"],"itemData":{"id":3330,"type":"article-journal","abstract":"Recent sequencing technologies enable joint quantification of promoters and their enhancer regions, allowing inference of enhancer-promoter links. We show that current enhancer-promoter inference methods produce a high rate of false positive links. We introduce FOCS, a new inference method, and by benchmarking against ChIA-PET, HiChIP, and eQTL data show that it results in lower false discovery rates and at the same time higher inference power. By applying FOCS to 2630 samples taken from ENCODE, Roadmap Epigenomics, FANTOM5, and a new compendium of GRO-seq samples, we provide extensive enhancer-promotor maps ( http://acgt.cs.tau.ac.il/focs ). We illustrate the usability of our maps for deriving biological hypotheses.","container-title":"Genome Biology","DOI":"10.1186/s13059-018-1432-2","ISSN":"1474-760X (Electronic) 1474-7596 (Linking)","issue":"1","page":"56","title":"FOCS: a novel method for analyzing enhancer and gene activity patterns infers an extensive enhancer-promoter map","volume":"19","author":[{"family":"Hait","given":"T. A."},{"family":"Amar","given":"D."},{"family":"Shamir","given":"R."},{"family":"Elkon","given":"R."}],"issued":{"date-parts":[["2018",5,1]]}}}],"schema":"https://github.com/citation-style-language/schema/raw/master/csl-citation.json"} </w:instrText>
            </w:r>
            <w:r w:rsidRPr="00E70A8B">
              <w:rPr>
                <w:rFonts w:ascii="Arial" w:hAnsi="Arial" w:cs="Arial"/>
              </w:rPr>
              <w:fldChar w:fldCharType="separate"/>
            </w:r>
            <w:bookmarkStart w:id="61" w:name="__Fieldmark__351_2281253091"/>
            <w:bookmarkStart w:id="62" w:name="__Fieldmark__315_3451003990"/>
            <w:r w:rsidR="004A7EB4">
              <w:rPr>
                <w:rFonts w:ascii="Arial" w:hAnsi="Arial" w:cs="Arial"/>
                <w:sz w:val="18"/>
                <w:szCs w:val="18"/>
                <w:lang w:val="en-GB"/>
              </w:rPr>
              <w:t>[12]</w:t>
            </w:r>
            <w:r w:rsidRPr="00E70A8B">
              <w:rPr>
                <w:rFonts w:ascii="Arial" w:hAnsi="Arial" w:cs="Arial"/>
              </w:rPr>
              <w:fldChar w:fldCharType="end"/>
            </w:r>
            <w:bookmarkEnd w:id="61"/>
            <w:bookmarkEnd w:id="62"/>
          </w:p>
        </w:tc>
      </w:tr>
      <w:tr w:rsidR="00514A54" w:rsidRPr="00E70A8B" w14:paraId="6B2B2D14" w14:textId="77777777">
        <w:tc>
          <w:tcPr>
            <w:tcW w:w="2382" w:type="dxa"/>
            <w:tcBorders>
              <w:top w:val="single" w:sz="6" w:space="0" w:color="000000"/>
              <w:bottom w:val="single" w:sz="6" w:space="0" w:color="000000"/>
            </w:tcBorders>
            <w:shd w:val="clear" w:color="auto" w:fill="auto"/>
          </w:tcPr>
          <w:p w14:paraId="1CA78961" w14:textId="77777777" w:rsidR="00514A54" w:rsidRPr="00E70A8B" w:rsidRDefault="00A80BB8">
            <w:pPr>
              <w:pStyle w:val="TableContents"/>
              <w:rPr>
                <w:rFonts w:ascii="Arial" w:hAnsi="Arial" w:cs="Arial"/>
                <w:sz w:val="18"/>
                <w:szCs w:val="18"/>
                <w:lang w:val="en-GB"/>
              </w:rPr>
            </w:pPr>
            <w:proofErr w:type="spellStart"/>
            <w:r w:rsidRPr="00E70A8B">
              <w:rPr>
                <w:rFonts w:ascii="Arial" w:hAnsi="Arial" w:cs="Arial"/>
                <w:color w:val="000000"/>
                <w:sz w:val="18"/>
                <w:szCs w:val="18"/>
                <w:lang w:val="en-GB"/>
              </w:rPr>
              <w:t>FOCS_Roadmap</w:t>
            </w:r>
            <w:proofErr w:type="spellEnd"/>
            <w:r w:rsidRPr="00E70A8B">
              <w:rPr>
                <w:rFonts w:ascii="Arial" w:hAnsi="Arial" w:cs="Arial"/>
                <w:color w:val="000000"/>
                <w:sz w:val="18"/>
                <w:szCs w:val="18"/>
                <w:lang w:val="en-GB"/>
              </w:rPr>
              <w:t xml:space="preserve"> max score</w:t>
            </w:r>
          </w:p>
        </w:tc>
        <w:tc>
          <w:tcPr>
            <w:tcW w:w="3250" w:type="dxa"/>
            <w:vMerge/>
            <w:tcBorders>
              <w:top w:val="single" w:sz="4" w:space="0" w:color="000000"/>
              <w:bottom w:val="single" w:sz="6" w:space="0" w:color="000000"/>
            </w:tcBorders>
            <w:shd w:val="clear" w:color="auto" w:fill="auto"/>
          </w:tcPr>
          <w:p w14:paraId="624E0EAD" w14:textId="77777777" w:rsidR="00514A54" w:rsidRPr="00E70A8B" w:rsidRDefault="00514A54">
            <w:pPr>
              <w:pStyle w:val="TableContents"/>
              <w:snapToGrid w:val="0"/>
              <w:rPr>
                <w:rFonts w:ascii="Arial" w:hAnsi="Arial" w:cs="Arial"/>
                <w:color w:val="000000"/>
                <w:sz w:val="18"/>
                <w:szCs w:val="18"/>
                <w:lang w:val="en-GB"/>
              </w:rPr>
            </w:pPr>
          </w:p>
        </w:tc>
        <w:tc>
          <w:tcPr>
            <w:tcW w:w="1983" w:type="dxa"/>
            <w:vMerge/>
            <w:tcBorders>
              <w:top w:val="single" w:sz="6" w:space="0" w:color="000000"/>
              <w:bottom w:val="single" w:sz="6" w:space="0" w:color="000000"/>
            </w:tcBorders>
            <w:shd w:val="clear" w:color="auto" w:fill="auto"/>
            <w:vAlign w:val="center"/>
          </w:tcPr>
          <w:p w14:paraId="6795F047" w14:textId="77777777" w:rsidR="00514A54" w:rsidRPr="00E70A8B" w:rsidRDefault="00514A54">
            <w:pPr>
              <w:pStyle w:val="TableContents"/>
              <w:snapToGrid w:val="0"/>
              <w:jc w:val="center"/>
              <w:rPr>
                <w:rFonts w:ascii="Arial" w:hAnsi="Arial" w:cs="Arial"/>
                <w:color w:val="000000"/>
                <w:sz w:val="18"/>
                <w:szCs w:val="18"/>
                <w:lang w:val="en-GB"/>
              </w:rPr>
            </w:pPr>
          </w:p>
        </w:tc>
        <w:tc>
          <w:tcPr>
            <w:tcW w:w="1315" w:type="dxa"/>
            <w:tcBorders>
              <w:top w:val="single" w:sz="6" w:space="0" w:color="000000"/>
              <w:bottom w:val="single" w:sz="6" w:space="0" w:color="000000"/>
            </w:tcBorders>
            <w:shd w:val="clear" w:color="auto" w:fill="auto"/>
          </w:tcPr>
          <w:p w14:paraId="7E2FCBD3"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Continuous</w:t>
            </w:r>
          </w:p>
        </w:tc>
        <w:tc>
          <w:tcPr>
            <w:tcW w:w="1042" w:type="dxa"/>
            <w:tcBorders>
              <w:top w:val="single" w:sz="6" w:space="0" w:color="000000"/>
              <w:bottom w:val="single" w:sz="6" w:space="0" w:color="000000"/>
            </w:tcBorders>
            <w:shd w:val="clear" w:color="auto" w:fill="auto"/>
          </w:tcPr>
          <w:p w14:paraId="0AAB5D69" w14:textId="15DBFAAB" w:rsidR="00514A54" w:rsidRPr="00E70A8B" w:rsidRDefault="00A80BB8">
            <w:pPr>
              <w:pStyle w:val="TableContents"/>
              <w:rPr>
                <w:rFonts w:ascii="Arial" w:hAnsi="Arial" w:cs="Arial"/>
              </w:rPr>
            </w:pPr>
            <w:r w:rsidRPr="00E70A8B">
              <w:rPr>
                <w:rFonts w:ascii="Arial" w:hAnsi="Arial" w:cs="Arial"/>
              </w:rPr>
              <w:fldChar w:fldCharType="begin"/>
            </w:r>
            <w:r w:rsidR="004A7EB4">
              <w:rPr>
                <w:rFonts w:ascii="Arial" w:hAnsi="Arial" w:cs="Arial"/>
              </w:rPr>
              <w:instrText xml:space="preserve"> ADDIN ZOTERO_ITEM CSL_CITATION {"citationID":"fv7siFd1","properties":{"formattedCitation":"[12]","plainCitation":"[12]","noteIndex":0},"citationItems":[{"id":3330,"uris":["http://zotero.org/groups/2472009/items/WHXJEE7D"],"uri":["http://zotero.org/groups/2472009/items/WHXJEE7D"],"itemData":{"id":3330,"type":"article-journal","abstract":"Recent sequencing technologies enable joint quantification of promoters and their enhancer regions, allowing inference of enhancer-promoter links. We show that current enhancer-promoter inference methods produce a high rate of false positive links. We introduce FOCS, a new inference method, and by benchmarking against ChIA-PET, HiChIP, and eQTL data show that it results in lower false discovery rates and at the same time higher inference power. By applying FOCS to 2630 samples taken from ENCODE, Roadmap Epigenomics, FANTOM5, and a new compendium of GRO-seq samples, we provide extensive enhancer-promotor maps ( http://acgt.cs.tau.ac.il/focs ). We illustrate the usability of our maps for deriving biological hypotheses.","container-title":"Genome Biology","DOI":"10.1186/s13059-018-1432-2","ISSN":"1474-760X (Electronic) 1474-7596 (Linking)","issue":"1","page":"56","title":"FOCS: a novel method for analyzing enhancer and gene activity patterns infers an extensive enhancer-promoter map","volume":"19","author":[{"family":"Hait","given":"T. A."},{"family":"Amar","given":"D."},{"family":"Shamir","given":"R."},{"family":"Elkon","given":"R."}],"issued":{"date-parts":[["2018",5,1]]}}}],"schema":"https://github.com/citation-style-language/schema/raw/master/csl-citation.json"} </w:instrText>
            </w:r>
            <w:r w:rsidRPr="00E70A8B">
              <w:rPr>
                <w:rFonts w:ascii="Arial" w:hAnsi="Arial" w:cs="Arial"/>
              </w:rPr>
              <w:fldChar w:fldCharType="separate"/>
            </w:r>
            <w:bookmarkStart w:id="63" w:name="__Fieldmark__360_2281253091"/>
            <w:bookmarkStart w:id="64" w:name="__Fieldmark__323_3451003990"/>
            <w:r w:rsidR="004A7EB4">
              <w:rPr>
                <w:rFonts w:ascii="Arial" w:hAnsi="Arial" w:cs="Arial"/>
                <w:sz w:val="18"/>
                <w:szCs w:val="18"/>
                <w:lang w:val="en-GB"/>
              </w:rPr>
              <w:t>[12]</w:t>
            </w:r>
            <w:r w:rsidRPr="00E70A8B">
              <w:rPr>
                <w:rFonts w:ascii="Arial" w:hAnsi="Arial" w:cs="Arial"/>
              </w:rPr>
              <w:fldChar w:fldCharType="end"/>
            </w:r>
            <w:bookmarkEnd w:id="63"/>
            <w:bookmarkEnd w:id="64"/>
          </w:p>
        </w:tc>
      </w:tr>
      <w:tr w:rsidR="00514A54" w:rsidRPr="00E70A8B" w14:paraId="58787830" w14:textId="77777777">
        <w:tc>
          <w:tcPr>
            <w:tcW w:w="2382" w:type="dxa"/>
            <w:tcBorders>
              <w:top w:val="single" w:sz="6" w:space="0" w:color="000000"/>
              <w:bottom w:val="single" w:sz="6" w:space="0" w:color="000000"/>
            </w:tcBorders>
            <w:shd w:val="clear" w:color="auto" w:fill="auto"/>
          </w:tcPr>
          <w:p w14:paraId="726D5159" w14:textId="77777777" w:rsidR="00514A54" w:rsidRPr="00E70A8B" w:rsidRDefault="00A80BB8">
            <w:pPr>
              <w:pStyle w:val="TableContents"/>
              <w:rPr>
                <w:rFonts w:ascii="Arial" w:hAnsi="Arial" w:cs="Arial"/>
                <w:sz w:val="18"/>
                <w:szCs w:val="18"/>
                <w:lang w:val="en-GB"/>
              </w:rPr>
            </w:pPr>
            <w:proofErr w:type="spellStart"/>
            <w:r w:rsidRPr="00E70A8B">
              <w:rPr>
                <w:rFonts w:ascii="Arial" w:hAnsi="Arial" w:cs="Arial"/>
                <w:color w:val="000000"/>
                <w:sz w:val="18"/>
                <w:szCs w:val="18"/>
                <w:lang w:val="en-GB"/>
              </w:rPr>
              <w:t>FOCS_Roadmap</w:t>
            </w:r>
            <w:proofErr w:type="spellEnd"/>
            <w:r w:rsidRPr="00E70A8B">
              <w:rPr>
                <w:rFonts w:ascii="Arial" w:hAnsi="Arial" w:cs="Arial"/>
                <w:color w:val="000000"/>
                <w:sz w:val="18"/>
                <w:szCs w:val="18"/>
                <w:lang w:val="en-GB"/>
              </w:rPr>
              <w:t xml:space="preserve"> target count</w:t>
            </w:r>
          </w:p>
        </w:tc>
        <w:tc>
          <w:tcPr>
            <w:tcW w:w="3250" w:type="dxa"/>
            <w:vMerge/>
            <w:tcBorders>
              <w:top w:val="single" w:sz="4" w:space="0" w:color="000000"/>
              <w:bottom w:val="single" w:sz="6" w:space="0" w:color="000000"/>
            </w:tcBorders>
            <w:shd w:val="clear" w:color="auto" w:fill="auto"/>
          </w:tcPr>
          <w:p w14:paraId="66D6B18D" w14:textId="77777777" w:rsidR="00514A54" w:rsidRPr="00E70A8B" w:rsidRDefault="00514A54">
            <w:pPr>
              <w:pStyle w:val="TableContents"/>
              <w:snapToGrid w:val="0"/>
              <w:rPr>
                <w:rFonts w:ascii="Arial" w:hAnsi="Arial" w:cs="Arial"/>
                <w:color w:val="000000"/>
                <w:sz w:val="18"/>
                <w:szCs w:val="18"/>
                <w:lang w:val="en-GB"/>
              </w:rPr>
            </w:pPr>
          </w:p>
        </w:tc>
        <w:tc>
          <w:tcPr>
            <w:tcW w:w="1983" w:type="dxa"/>
            <w:vMerge/>
            <w:tcBorders>
              <w:top w:val="single" w:sz="6" w:space="0" w:color="000000"/>
              <w:bottom w:val="single" w:sz="6" w:space="0" w:color="000000"/>
            </w:tcBorders>
            <w:shd w:val="clear" w:color="auto" w:fill="auto"/>
            <w:vAlign w:val="center"/>
          </w:tcPr>
          <w:p w14:paraId="55664F8E" w14:textId="77777777" w:rsidR="00514A54" w:rsidRPr="00E70A8B" w:rsidRDefault="00514A54">
            <w:pPr>
              <w:pStyle w:val="TableContents"/>
              <w:snapToGrid w:val="0"/>
              <w:jc w:val="center"/>
              <w:rPr>
                <w:rFonts w:ascii="Arial" w:hAnsi="Arial" w:cs="Arial"/>
                <w:color w:val="000000"/>
                <w:sz w:val="18"/>
                <w:szCs w:val="18"/>
                <w:lang w:val="en-GB"/>
              </w:rPr>
            </w:pPr>
          </w:p>
        </w:tc>
        <w:tc>
          <w:tcPr>
            <w:tcW w:w="1315" w:type="dxa"/>
            <w:tcBorders>
              <w:top w:val="single" w:sz="6" w:space="0" w:color="000000"/>
              <w:bottom w:val="single" w:sz="6" w:space="0" w:color="000000"/>
            </w:tcBorders>
            <w:shd w:val="clear" w:color="auto" w:fill="auto"/>
          </w:tcPr>
          <w:p w14:paraId="5106D28D"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Discrete</w:t>
            </w:r>
          </w:p>
        </w:tc>
        <w:tc>
          <w:tcPr>
            <w:tcW w:w="1042" w:type="dxa"/>
            <w:tcBorders>
              <w:top w:val="single" w:sz="6" w:space="0" w:color="000000"/>
              <w:bottom w:val="single" w:sz="6" w:space="0" w:color="000000"/>
            </w:tcBorders>
            <w:shd w:val="clear" w:color="auto" w:fill="auto"/>
          </w:tcPr>
          <w:p w14:paraId="0DC84E82" w14:textId="31E902A4" w:rsidR="00514A54" w:rsidRPr="00E70A8B" w:rsidRDefault="00A80BB8">
            <w:pPr>
              <w:pStyle w:val="TableContents"/>
              <w:rPr>
                <w:rFonts w:ascii="Arial" w:hAnsi="Arial" w:cs="Arial"/>
              </w:rPr>
            </w:pPr>
            <w:r w:rsidRPr="00E70A8B">
              <w:rPr>
                <w:rFonts w:ascii="Arial" w:hAnsi="Arial" w:cs="Arial"/>
              </w:rPr>
              <w:fldChar w:fldCharType="begin"/>
            </w:r>
            <w:r w:rsidR="004A7EB4">
              <w:rPr>
                <w:rFonts w:ascii="Arial" w:hAnsi="Arial" w:cs="Arial"/>
              </w:rPr>
              <w:instrText xml:space="preserve"> ADDIN ZOTERO_ITEM CSL_CITATION {"citationID":"EDhq8VXl","properties":{"formattedCitation":"[12]","plainCitation":"[12]","noteIndex":0},"citationItems":[{"id":3330,"uris":["http://zotero.org/groups/2472009/items/WHXJEE7D"],"uri":["http://zotero.org/groups/2472009/items/WHXJEE7D"],"itemData":{"id":3330,"type":"article-journal","abstract":"Recent sequencing technologies enable joint quantification of promoters and their enhancer regions, allowing inference of enhancer-promoter links. We show that current enhancer-promoter inference methods produce a high rate of false positive links. We introduce FOCS, a new inference method, and by benchmarking against ChIA-PET, HiChIP, and eQTL data show that it results in lower false discovery rates and at the same time higher inference power. By applying FOCS to 2630 samples taken from ENCODE, Roadmap Epigenomics, FANTOM5, and a new compendium of GRO-seq samples, we provide extensive enhancer-promotor maps ( http://acgt.cs.tau.ac.il/focs ). We illustrate the usability of our maps for deriving biological hypotheses.","container-title":"Genome Biology","DOI":"10.1186/s13059-018-1432-2","ISSN":"1474-760X (Electronic) 1474-7596 (Linking)","issue":"1","page":"56","title":"FOCS: a novel method for analyzing enhancer and gene activity patterns infers an extensive enhancer-promoter map","volume":"19","author":[{"family":"Hait","given":"T. A."},{"family":"Amar","given":"D."},{"family":"Shamir","given":"R."},{"family":"Elkon","given":"R."}],"issued":{"date-parts":[["2018",5,1]]}}}],"schema":"https://github.com/citation-style-language/schema/raw/master/csl-citation.json"} </w:instrText>
            </w:r>
            <w:r w:rsidRPr="00E70A8B">
              <w:rPr>
                <w:rFonts w:ascii="Arial" w:hAnsi="Arial" w:cs="Arial"/>
              </w:rPr>
              <w:fldChar w:fldCharType="separate"/>
            </w:r>
            <w:bookmarkStart w:id="65" w:name="__Fieldmark__369_2281253091"/>
            <w:bookmarkStart w:id="66" w:name="__Fieldmark__331_3451003990"/>
            <w:r w:rsidR="004A7EB4">
              <w:rPr>
                <w:rFonts w:ascii="Arial" w:hAnsi="Arial" w:cs="Arial"/>
                <w:sz w:val="18"/>
                <w:szCs w:val="18"/>
                <w:lang w:val="en-GB"/>
              </w:rPr>
              <w:t>[12]</w:t>
            </w:r>
            <w:r w:rsidRPr="00E70A8B">
              <w:rPr>
                <w:rFonts w:ascii="Arial" w:hAnsi="Arial" w:cs="Arial"/>
              </w:rPr>
              <w:fldChar w:fldCharType="end"/>
            </w:r>
            <w:bookmarkEnd w:id="65"/>
            <w:bookmarkEnd w:id="66"/>
          </w:p>
        </w:tc>
      </w:tr>
      <w:tr w:rsidR="00514A54" w:rsidRPr="00E70A8B" w14:paraId="5264E407" w14:textId="77777777">
        <w:tc>
          <w:tcPr>
            <w:tcW w:w="2382" w:type="dxa"/>
            <w:tcBorders>
              <w:top w:val="single" w:sz="6" w:space="0" w:color="000000"/>
              <w:bottom w:val="single" w:sz="4" w:space="0" w:color="000000"/>
            </w:tcBorders>
            <w:shd w:val="clear" w:color="auto" w:fill="auto"/>
          </w:tcPr>
          <w:p w14:paraId="20A7B4AA"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Ratio shared targets</w:t>
            </w:r>
          </w:p>
        </w:tc>
        <w:tc>
          <w:tcPr>
            <w:tcW w:w="3250" w:type="dxa"/>
            <w:tcBorders>
              <w:top w:val="single" w:sz="6" w:space="0" w:color="000000"/>
              <w:bottom w:val="single" w:sz="4" w:space="0" w:color="000000"/>
            </w:tcBorders>
            <w:shd w:val="clear" w:color="auto" w:fill="auto"/>
          </w:tcPr>
          <w:p w14:paraId="5CCA8E76" w14:textId="77777777" w:rsidR="00514A54" w:rsidRPr="00E70A8B" w:rsidRDefault="00A80BB8">
            <w:pPr>
              <w:pStyle w:val="TableContents"/>
              <w:snapToGrid w:val="0"/>
              <w:rPr>
                <w:rFonts w:ascii="Arial" w:hAnsi="Arial" w:cs="Arial"/>
                <w:color w:val="000000"/>
                <w:sz w:val="18"/>
                <w:szCs w:val="18"/>
                <w:lang w:val="en-GB"/>
              </w:rPr>
            </w:pPr>
            <w:r w:rsidRPr="00E70A8B">
              <w:rPr>
                <w:rFonts w:ascii="Arial" w:hAnsi="Arial" w:cs="Arial"/>
                <w:color w:val="000000"/>
                <w:sz w:val="18"/>
                <w:szCs w:val="18"/>
                <w:lang w:val="en-GB"/>
              </w:rPr>
              <w:t>At positions overlapped by regulatory regions of from multiple source, we divide the number of genes predicted as a target by more than 1 source, by the total number of target genes across sources.</w:t>
            </w:r>
          </w:p>
        </w:tc>
        <w:tc>
          <w:tcPr>
            <w:tcW w:w="1983" w:type="dxa"/>
            <w:vMerge/>
            <w:tcBorders>
              <w:top w:val="single" w:sz="6" w:space="0" w:color="000000"/>
              <w:bottom w:val="single" w:sz="4" w:space="0" w:color="000000"/>
            </w:tcBorders>
            <w:shd w:val="clear" w:color="auto" w:fill="auto"/>
            <w:vAlign w:val="center"/>
          </w:tcPr>
          <w:p w14:paraId="61C82141" w14:textId="77777777" w:rsidR="00514A54" w:rsidRPr="00E70A8B" w:rsidRDefault="00514A54">
            <w:pPr>
              <w:pStyle w:val="TableContents"/>
              <w:snapToGrid w:val="0"/>
              <w:jc w:val="center"/>
              <w:rPr>
                <w:rFonts w:ascii="Arial" w:hAnsi="Arial" w:cs="Arial"/>
                <w:color w:val="000000"/>
                <w:sz w:val="18"/>
                <w:szCs w:val="18"/>
                <w:lang w:val="en-GB"/>
              </w:rPr>
            </w:pPr>
          </w:p>
        </w:tc>
        <w:tc>
          <w:tcPr>
            <w:tcW w:w="1315" w:type="dxa"/>
            <w:tcBorders>
              <w:top w:val="single" w:sz="6" w:space="0" w:color="000000"/>
              <w:bottom w:val="single" w:sz="4" w:space="0" w:color="000000"/>
            </w:tcBorders>
            <w:shd w:val="clear" w:color="auto" w:fill="auto"/>
          </w:tcPr>
          <w:p w14:paraId="55B09307" w14:textId="77777777" w:rsidR="00514A54" w:rsidRPr="00E70A8B" w:rsidRDefault="00A80BB8">
            <w:pPr>
              <w:pStyle w:val="TableContents"/>
              <w:rPr>
                <w:rFonts w:ascii="Arial" w:hAnsi="Arial" w:cs="Arial"/>
                <w:sz w:val="18"/>
                <w:szCs w:val="18"/>
                <w:lang w:val="en-GB"/>
              </w:rPr>
            </w:pPr>
            <w:r w:rsidRPr="00E70A8B">
              <w:rPr>
                <w:rFonts w:ascii="Arial" w:hAnsi="Arial" w:cs="Arial"/>
                <w:color w:val="000000"/>
                <w:sz w:val="18"/>
                <w:szCs w:val="18"/>
                <w:lang w:val="en-GB"/>
              </w:rPr>
              <w:t>Continuous</w:t>
            </w:r>
          </w:p>
        </w:tc>
        <w:tc>
          <w:tcPr>
            <w:tcW w:w="1042" w:type="dxa"/>
            <w:tcBorders>
              <w:top w:val="single" w:sz="6" w:space="0" w:color="000000"/>
              <w:bottom w:val="single" w:sz="4" w:space="0" w:color="000000"/>
            </w:tcBorders>
            <w:shd w:val="clear" w:color="auto" w:fill="auto"/>
          </w:tcPr>
          <w:p w14:paraId="72055A44" w14:textId="77777777" w:rsidR="00514A54" w:rsidRPr="00E70A8B" w:rsidRDefault="00A80BB8">
            <w:pPr>
              <w:pStyle w:val="TableContents"/>
              <w:rPr>
                <w:rFonts w:ascii="Arial" w:hAnsi="Arial" w:cs="Arial"/>
                <w:sz w:val="18"/>
                <w:szCs w:val="18"/>
                <w:lang w:val="en-GB"/>
              </w:rPr>
            </w:pPr>
            <w:r w:rsidRPr="00E70A8B">
              <w:rPr>
                <w:rFonts w:ascii="Arial" w:hAnsi="Arial" w:cs="Arial"/>
                <w:sz w:val="18"/>
                <w:szCs w:val="18"/>
                <w:lang w:val="en-GB"/>
              </w:rPr>
              <w:t>This study</w:t>
            </w:r>
          </w:p>
        </w:tc>
      </w:tr>
    </w:tbl>
    <w:p w14:paraId="038CCE2B" w14:textId="561711DE" w:rsidR="00514A54" w:rsidRPr="00E70A8B" w:rsidRDefault="007523EE">
      <w:pPr>
        <w:spacing w:line="480" w:lineRule="auto"/>
        <w:rPr>
          <w:rFonts w:ascii="Arial" w:hAnsi="Arial" w:cs="Arial"/>
          <w:b/>
          <w:sz w:val="22"/>
          <w:szCs w:val="22"/>
          <w:lang w:val="en-GB"/>
        </w:rPr>
      </w:pPr>
      <w:r>
        <w:rPr>
          <w:rStyle w:val="TitleChar"/>
          <w:rFonts w:ascii="Arial" w:hAnsi="Arial" w:cs="Arial"/>
          <w:b/>
          <w:sz w:val="22"/>
          <w:szCs w:val="22"/>
          <w:lang w:val="en-GB"/>
        </w:rPr>
        <w:t>Table A</w:t>
      </w:r>
      <w:r w:rsidR="00A80BB8" w:rsidRPr="00E70A8B">
        <w:rPr>
          <w:rFonts w:ascii="Arial" w:hAnsi="Arial" w:cs="Arial"/>
          <w:b/>
          <w:sz w:val="22"/>
          <w:szCs w:val="22"/>
          <w:lang w:val="en-GB"/>
        </w:rPr>
        <w:t>: Sources of functional annotations used by FINSURF</w:t>
      </w:r>
      <w:r w:rsidR="00A80BB8" w:rsidRPr="00E70A8B">
        <w:rPr>
          <w:rFonts w:ascii="Arial" w:hAnsi="Arial" w:cs="Arial"/>
          <w:lang w:val="en-US"/>
        </w:rPr>
        <w:br w:type="page"/>
      </w:r>
    </w:p>
    <w:tbl>
      <w:tblPr>
        <w:tblW w:w="9972" w:type="dxa"/>
        <w:tblBorders>
          <w:top w:val="single" w:sz="6" w:space="0" w:color="000000"/>
          <w:bottom w:val="single" w:sz="6" w:space="0" w:color="000000"/>
          <w:insideH w:val="single" w:sz="6" w:space="0" w:color="000000"/>
        </w:tblBorders>
        <w:tblCellMar>
          <w:left w:w="0" w:type="dxa"/>
          <w:right w:w="0" w:type="dxa"/>
        </w:tblCellMar>
        <w:tblLook w:val="0000" w:firstRow="0" w:lastRow="0" w:firstColumn="0" w:lastColumn="0" w:noHBand="0" w:noVBand="0"/>
      </w:tblPr>
      <w:tblGrid>
        <w:gridCol w:w="2383"/>
        <w:gridCol w:w="3250"/>
        <w:gridCol w:w="2674"/>
        <w:gridCol w:w="1665"/>
      </w:tblGrid>
      <w:tr w:rsidR="00514A54" w:rsidRPr="00E70A8B" w14:paraId="3995791B" w14:textId="77777777">
        <w:tc>
          <w:tcPr>
            <w:tcW w:w="2382" w:type="dxa"/>
            <w:tcBorders>
              <w:top w:val="single" w:sz="6" w:space="0" w:color="000000"/>
              <w:bottom w:val="single" w:sz="6" w:space="0" w:color="000000"/>
            </w:tcBorders>
            <w:shd w:val="clear" w:color="auto" w:fill="auto"/>
          </w:tcPr>
          <w:p w14:paraId="4BCDF122" w14:textId="77777777" w:rsidR="00514A54" w:rsidRPr="00E70A8B" w:rsidRDefault="00A80BB8">
            <w:pPr>
              <w:pStyle w:val="TableContents"/>
              <w:pageBreakBefore/>
              <w:rPr>
                <w:rFonts w:ascii="Arial" w:hAnsi="Arial" w:cs="Arial"/>
                <w:lang w:val="en-GB"/>
              </w:rPr>
            </w:pPr>
            <w:r w:rsidRPr="00E70A8B">
              <w:rPr>
                <w:rFonts w:ascii="Arial" w:hAnsi="Arial" w:cs="Arial"/>
                <w:b/>
                <w:sz w:val="22"/>
                <w:szCs w:val="22"/>
                <w:lang w:val="en-GB"/>
              </w:rPr>
              <w:lastRenderedPageBreak/>
              <w:t>Source</w:t>
            </w:r>
          </w:p>
        </w:tc>
        <w:tc>
          <w:tcPr>
            <w:tcW w:w="3250" w:type="dxa"/>
            <w:tcBorders>
              <w:top w:val="single" w:sz="6" w:space="0" w:color="000000"/>
              <w:bottom w:val="single" w:sz="6" w:space="0" w:color="000000"/>
            </w:tcBorders>
            <w:shd w:val="clear" w:color="auto" w:fill="auto"/>
          </w:tcPr>
          <w:p w14:paraId="36A870F5" w14:textId="77777777" w:rsidR="00514A54" w:rsidRPr="00E70A8B" w:rsidRDefault="00A80BB8">
            <w:pPr>
              <w:pStyle w:val="TableContents"/>
              <w:rPr>
                <w:rFonts w:ascii="Arial" w:hAnsi="Arial" w:cs="Arial"/>
                <w:lang w:val="en-GB"/>
              </w:rPr>
            </w:pPr>
            <w:r w:rsidRPr="00E70A8B">
              <w:rPr>
                <w:rFonts w:ascii="Arial" w:hAnsi="Arial" w:cs="Arial"/>
                <w:b/>
                <w:sz w:val="22"/>
                <w:szCs w:val="22"/>
                <w:lang w:val="en-GB"/>
              </w:rPr>
              <w:t>Description</w:t>
            </w:r>
          </w:p>
        </w:tc>
        <w:tc>
          <w:tcPr>
            <w:tcW w:w="2674" w:type="dxa"/>
            <w:tcBorders>
              <w:top w:val="single" w:sz="6" w:space="0" w:color="000000"/>
              <w:bottom w:val="single" w:sz="6" w:space="0" w:color="000000"/>
            </w:tcBorders>
            <w:shd w:val="clear" w:color="auto" w:fill="auto"/>
          </w:tcPr>
          <w:p w14:paraId="7702250B" w14:textId="77777777" w:rsidR="00514A54" w:rsidRPr="00E70A8B" w:rsidRDefault="00A80BB8">
            <w:pPr>
              <w:pStyle w:val="TableContents"/>
              <w:rPr>
                <w:rFonts w:ascii="Arial" w:hAnsi="Arial" w:cs="Arial"/>
                <w:lang w:val="en-GB"/>
              </w:rPr>
            </w:pPr>
            <w:r w:rsidRPr="00E70A8B">
              <w:rPr>
                <w:rFonts w:ascii="Arial" w:hAnsi="Arial" w:cs="Arial"/>
                <w:b/>
                <w:sz w:val="22"/>
                <w:szCs w:val="22"/>
                <w:lang w:val="en-GB"/>
              </w:rPr>
              <w:t>Number of bases</w:t>
            </w:r>
          </w:p>
        </w:tc>
        <w:tc>
          <w:tcPr>
            <w:tcW w:w="1665" w:type="dxa"/>
            <w:tcBorders>
              <w:top w:val="single" w:sz="6" w:space="0" w:color="000000"/>
              <w:bottom w:val="single" w:sz="6" w:space="0" w:color="000000"/>
            </w:tcBorders>
            <w:shd w:val="clear" w:color="auto" w:fill="auto"/>
          </w:tcPr>
          <w:p w14:paraId="2854001F" w14:textId="77777777" w:rsidR="00514A54" w:rsidRPr="00E70A8B" w:rsidRDefault="00A80BB8">
            <w:pPr>
              <w:pStyle w:val="TableContents"/>
              <w:rPr>
                <w:rFonts w:ascii="Arial" w:hAnsi="Arial" w:cs="Arial"/>
                <w:b/>
                <w:bCs/>
                <w:lang w:val="en-GB"/>
              </w:rPr>
            </w:pPr>
            <w:r w:rsidRPr="00E70A8B">
              <w:rPr>
                <w:rFonts w:ascii="Arial" w:hAnsi="Arial" w:cs="Arial"/>
                <w:b/>
                <w:bCs/>
                <w:lang w:val="en-GB"/>
              </w:rPr>
              <w:t>Reference</w:t>
            </w:r>
          </w:p>
        </w:tc>
      </w:tr>
      <w:tr w:rsidR="00514A54" w:rsidRPr="00E70A8B" w14:paraId="53D0CF8F" w14:textId="77777777">
        <w:tc>
          <w:tcPr>
            <w:tcW w:w="2382" w:type="dxa"/>
            <w:tcBorders>
              <w:top w:val="single" w:sz="6" w:space="0" w:color="000000"/>
              <w:bottom w:val="single" w:sz="6" w:space="0" w:color="000000"/>
            </w:tcBorders>
            <w:shd w:val="clear" w:color="auto" w:fill="auto"/>
          </w:tcPr>
          <w:p w14:paraId="3653E477" w14:textId="77777777" w:rsidR="00514A54" w:rsidRPr="00E70A8B" w:rsidRDefault="00A80BB8">
            <w:pPr>
              <w:pStyle w:val="TableContents"/>
              <w:rPr>
                <w:rFonts w:ascii="Arial" w:hAnsi="Arial" w:cs="Arial"/>
                <w:lang w:val="en-GB"/>
              </w:rPr>
            </w:pPr>
            <w:r w:rsidRPr="00E70A8B">
              <w:rPr>
                <w:rFonts w:ascii="Arial" w:hAnsi="Arial" w:cs="Arial"/>
                <w:lang w:val="en-GB"/>
              </w:rPr>
              <w:t>GENCODE v29liftHg19</w:t>
            </w:r>
          </w:p>
        </w:tc>
        <w:tc>
          <w:tcPr>
            <w:tcW w:w="3250" w:type="dxa"/>
            <w:tcBorders>
              <w:top w:val="single" w:sz="6" w:space="0" w:color="000000"/>
              <w:bottom w:val="single" w:sz="6" w:space="0" w:color="000000"/>
            </w:tcBorders>
            <w:shd w:val="clear" w:color="auto" w:fill="auto"/>
          </w:tcPr>
          <w:p w14:paraId="4B707309" w14:textId="77777777" w:rsidR="00514A54" w:rsidRPr="00E70A8B" w:rsidRDefault="00A80BB8">
            <w:pPr>
              <w:pStyle w:val="TableContents"/>
              <w:snapToGrid w:val="0"/>
              <w:rPr>
                <w:rFonts w:ascii="Arial" w:hAnsi="Arial" w:cs="Arial"/>
                <w:lang w:val="en-GB"/>
              </w:rPr>
            </w:pPr>
            <w:r w:rsidRPr="00E70A8B">
              <w:rPr>
                <w:rFonts w:ascii="Arial" w:hAnsi="Arial" w:cs="Arial"/>
                <w:lang w:val="en-GB"/>
              </w:rPr>
              <w:t xml:space="preserve">Extracted 5’UTR and 3’UTR regions, </w:t>
            </w:r>
            <w:proofErr w:type="gramStart"/>
            <w:r w:rsidRPr="00E70A8B">
              <w:rPr>
                <w:rFonts w:ascii="Arial" w:hAnsi="Arial" w:cs="Arial"/>
                <w:lang w:val="en-GB"/>
              </w:rPr>
              <w:t>as  well</w:t>
            </w:r>
            <w:proofErr w:type="gramEnd"/>
            <w:r w:rsidRPr="00E70A8B">
              <w:rPr>
                <w:rFonts w:ascii="Arial" w:hAnsi="Arial" w:cs="Arial"/>
                <w:lang w:val="en-GB"/>
              </w:rPr>
              <w:t xml:space="preserve"> as proximal regulatory regions set as the 2,000bp before the first position of annotated genes (both coding and non-coding).</w:t>
            </w:r>
          </w:p>
        </w:tc>
        <w:tc>
          <w:tcPr>
            <w:tcW w:w="2674" w:type="dxa"/>
            <w:tcBorders>
              <w:top w:val="single" w:sz="6" w:space="0" w:color="000000"/>
              <w:bottom w:val="single" w:sz="6" w:space="0" w:color="000000"/>
            </w:tcBorders>
            <w:shd w:val="clear" w:color="auto" w:fill="auto"/>
            <w:vAlign w:val="center"/>
          </w:tcPr>
          <w:p w14:paraId="33F9F6E3" w14:textId="77777777" w:rsidR="00514A54" w:rsidRPr="00E70A8B" w:rsidRDefault="00A80BB8">
            <w:pPr>
              <w:pStyle w:val="TableContents"/>
              <w:rPr>
                <w:rFonts w:ascii="Arial" w:hAnsi="Arial" w:cs="Arial"/>
                <w:lang w:val="en-GB"/>
              </w:rPr>
            </w:pPr>
            <w:r w:rsidRPr="00E70A8B">
              <w:rPr>
                <w:rFonts w:ascii="Arial" w:hAnsi="Arial" w:cs="Arial"/>
                <w:lang w:val="en-GB"/>
              </w:rPr>
              <w:t>128,404,642</w:t>
            </w:r>
          </w:p>
        </w:tc>
        <w:tc>
          <w:tcPr>
            <w:tcW w:w="1665" w:type="dxa"/>
            <w:tcBorders>
              <w:top w:val="single" w:sz="6" w:space="0" w:color="000000"/>
              <w:bottom w:val="single" w:sz="6" w:space="0" w:color="000000"/>
            </w:tcBorders>
            <w:shd w:val="clear" w:color="auto" w:fill="auto"/>
          </w:tcPr>
          <w:p w14:paraId="17813B68" w14:textId="4B0C681E" w:rsidR="00514A54" w:rsidRPr="00E70A8B" w:rsidRDefault="00A80BB8">
            <w:pPr>
              <w:pStyle w:val="TableContents"/>
              <w:rPr>
                <w:rFonts w:ascii="Arial" w:hAnsi="Arial" w:cs="Arial"/>
              </w:rPr>
            </w:pPr>
            <w:r w:rsidRPr="00E70A8B">
              <w:rPr>
                <w:rFonts w:ascii="Arial" w:hAnsi="Arial" w:cs="Arial"/>
              </w:rPr>
              <w:fldChar w:fldCharType="begin"/>
            </w:r>
            <w:r w:rsidR="004A7EB4">
              <w:rPr>
                <w:rFonts w:ascii="Arial" w:hAnsi="Arial" w:cs="Arial"/>
              </w:rPr>
              <w:instrText xml:space="preserve"> ADDIN ZOTERO_ITEM CSL_CITATION {"citationID":"5HCpZMlv","properties":{"formattedCitation":"[13]","plainCitation":"[13]","noteIndex":0},"citationItems":[{"id":5001,"uris":["http://zotero.org/groups/2472009/items/AYQM9KFD"],"uri":["http://zotero.org/groups/2472009/items/AYQM9KFD"],"itemData":{"id":5001,"type":"article-journal","container-title":"Genome Research","DOI":"10.1101/gr.135350.111","ISSN":"1088-9051","issue":"9","page":"1760-1774","title":"GENCODE: The reference human genome annotation for The ENCODE Project","volume":"22","author":[{"family":"Harrow","given":"J."},{"family":"Frankish","given":"A."},{"family":"Gonzalez","given":"J. M."},{"family":"Tapanari","given":"E."},{"family":"Diekhans","given":"M."},{"family":"Kokocinski","given":"F."},{"family":"Aken","given":"B. L."},{"family":"Barrell","given":"D."},{"family":"Zadissa","given":"A."},{"family":"Searle","given":"S."},{"family":"Barnes","given":"I."},{"family":"Bignell","given":"A."},{"family":"Boychenko","given":"V."},{"family":"Hunt","given":"T."},{"family":"Kay","given":"M."},{"family":"Mukherjee","given":"G."},{"family":"Rajan","given":"J."},{"family":"Despacio-Reyes","given":"G."},{"family":"Saunders","given":"G."},{"family":"Steward","given":"C."},{"family":"Harte","given":"R."},{"family":"Lin","given":"M."},{"family":"Howald","given":"C."},{"family":"Tanzer","given":"A."},{"family":"Derrien","given":"T."},{"family":"Chrast","given":"J."},{"family":"Walters","given":"N."},{"family":"Balasubramanian","given":"S."},{"family":"Pei","given":"B."},{"family":"Tress","given":"M."},{"family":"Rodriguez","given":"J. M."},{"family":"Ezkurdia","given":"I."},{"family":"Baren","given":"J.","non-dropping-particle":"van"},{"family":"Brent","given":"M."},{"family":"Haussler","given":"D."},{"family":"Kellis","given":"M."},{"family":"Valencia","given":"A."},{"family":"Reymond","given":"A."},{"family":"Gerstein","given":"M."},{"family":"Guigo","given":"R."},{"family":"Hubbard","given":"T. J."}],"issued":{"date-parts":[["2012"]]}}}],"schema":"https://github.com/citation-style-language/schema/raw/master/csl-citation.json"} </w:instrText>
            </w:r>
            <w:r w:rsidRPr="00E70A8B">
              <w:rPr>
                <w:rFonts w:ascii="Arial" w:hAnsi="Arial" w:cs="Arial"/>
              </w:rPr>
              <w:fldChar w:fldCharType="separate"/>
            </w:r>
            <w:bookmarkStart w:id="67" w:name="__Fieldmark__812_2281253091"/>
            <w:bookmarkStart w:id="68" w:name="__Fieldmark__772_3451003990"/>
            <w:r w:rsidR="004A7EB4">
              <w:rPr>
                <w:rFonts w:ascii="Arial" w:hAnsi="Arial" w:cs="Arial"/>
                <w:szCs w:val="24"/>
                <w:lang w:val="en-GB"/>
              </w:rPr>
              <w:t>[13]</w:t>
            </w:r>
            <w:r w:rsidRPr="00E70A8B">
              <w:rPr>
                <w:rFonts w:ascii="Arial" w:hAnsi="Arial" w:cs="Arial"/>
              </w:rPr>
              <w:fldChar w:fldCharType="end"/>
            </w:r>
            <w:bookmarkEnd w:id="67"/>
            <w:bookmarkEnd w:id="68"/>
          </w:p>
        </w:tc>
      </w:tr>
      <w:tr w:rsidR="00514A54" w:rsidRPr="00E70A8B" w14:paraId="300129E2" w14:textId="77777777">
        <w:tc>
          <w:tcPr>
            <w:tcW w:w="2382" w:type="dxa"/>
            <w:tcBorders>
              <w:top w:val="single" w:sz="6" w:space="0" w:color="000000"/>
              <w:bottom w:val="single" w:sz="6" w:space="0" w:color="000000"/>
            </w:tcBorders>
            <w:shd w:val="clear" w:color="auto" w:fill="auto"/>
          </w:tcPr>
          <w:p w14:paraId="0CB7856E" w14:textId="77777777" w:rsidR="00514A54" w:rsidRPr="00E70A8B" w:rsidRDefault="00A80BB8">
            <w:pPr>
              <w:pStyle w:val="TableContents"/>
              <w:rPr>
                <w:rFonts w:ascii="Arial" w:hAnsi="Arial" w:cs="Arial"/>
                <w:lang w:val="en-GB"/>
              </w:rPr>
            </w:pPr>
            <w:r w:rsidRPr="00E70A8B">
              <w:rPr>
                <w:rFonts w:ascii="Arial" w:hAnsi="Arial" w:cs="Arial"/>
                <w:lang w:val="en-GB"/>
              </w:rPr>
              <w:t>PEGASUS</w:t>
            </w:r>
          </w:p>
        </w:tc>
        <w:tc>
          <w:tcPr>
            <w:tcW w:w="3250" w:type="dxa"/>
            <w:tcBorders>
              <w:top w:val="single" w:sz="6" w:space="0" w:color="000000"/>
              <w:bottom w:val="single" w:sz="6" w:space="0" w:color="000000"/>
            </w:tcBorders>
            <w:shd w:val="clear" w:color="auto" w:fill="auto"/>
          </w:tcPr>
          <w:p w14:paraId="778696B0" w14:textId="77777777" w:rsidR="00514A54" w:rsidRPr="00E70A8B" w:rsidRDefault="00A80BB8">
            <w:pPr>
              <w:pStyle w:val="TableContents"/>
              <w:snapToGrid w:val="0"/>
              <w:rPr>
                <w:rFonts w:ascii="Arial" w:hAnsi="Arial" w:cs="Arial"/>
                <w:lang w:val="en-GB"/>
              </w:rPr>
            </w:pPr>
            <w:r w:rsidRPr="00E70A8B">
              <w:rPr>
                <w:rFonts w:ascii="Arial" w:hAnsi="Arial" w:cs="Arial"/>
                <w:lang w:val="en-GB"/>
              </w:rPr>
              <w:t>Predicted regulatory regions identified from conserved non-coding elements.</w:t>
            </w:r>
          </w:p>
        </w:tc>
        <w:tc>
          <w:tcPr>
            <w:tcW w:w="2674" w:type="dxa"/>
            <w:tcBorders>
              <w:top w:val="single" w:sz="6" w:space="0" w:color="000000"/>
              <w:bottom w:val="single" w:sz="6" w:space="0" w:color="000000"/>
            </w:tcBorders>
            <w:shd w:val="clear" w:color="auto" w:fill="auto"/>
            <w:vAlign w:val="center"/>
          </w:tcPr>
          <w:p w14:paraId="014FD3F4" w14:textId="77777777" w:rsidR="00514A54" w:rsidRPr="00E70A8B" w:rsidRDefault="00A80BB8">
            <w:pPr>
              <w:pStyle w:val="TableContents"/>
              <w:rPr>
                <w:rFonts w:ascii="Arial" w:hAnsi="Arial" w:cs="Arial"/>
                <w:lang w:val="en-GB"/>
              </w:rPr>
            </w:pPr>
            <w:r w:rsidRPr="00E70A8B">
              <w:rPr>
                <w:rFonts w:ascii="Arial" w:hAnsi="Arial" w:cs="Arial"/>
                <w:lang w:val="en-GB"/>
              </w:rPr>
              <w:t>68,593,981</w:t>
            </w:r>
          </w:p>
        </w:tc>
        <w:tc>
          <w:tcPr>
            <w:tcW w:w="1665" w:type="dxa"/>
            <w:tcBorders>
              <w:top w:val="single" w:sz="6" w:space="0" w:color="000000"/>
              <w:bottom w:val="single" w:sz="6" w:space="0" w:color="000000"/>
            </w:tcBorders>
            <w:shd w:val="clear" w:color="auto" w:fill="auto"/>
          </w:tcPr>
          <w:p w14:paraId="6E82EE69" w14:textId="28270DB5" w:rsidR="00514A54" w:rsidRPr="00E70A8B" w:rsidRDefault="00A80BB8">
            <w:pPr>
              <w:pStyle w:val="TableContents"/>
              <w:rPr>
                <w:rFonts w:ascii="Arial" w:hAnsi="Arial" w:cs="Arial"/>
              </w:rPr>
            </w:pPr>
            <w:r w:rsidRPr="00E70A8B">
              <w:rPr>
                <w:rFonts w:ascii="Arial" w:hAnsi="Arial" w:cs="Arial"/>
              </w:rPr>
              <w:fldChar w:fldCharType="begin"/>
            </w:r>
            <w:r w:rsidR="004A7EB4">
              <w:rPr>
                <w:rFonts w:ascii="Arial" w:hAnsi="Arial" w:cs="Arial"/>
              </w:rPr>
              <w:instrText xml:space="preserve"> ADDIN ZOTERO_ITEM CSL_CITATION {"citationID":"MAUSIIdc","properties":{"formattedCitation":"[9]","plainCitation":"[9]","noteIndex":0},"citationItems":[{"id":3419,"uris":["http://zotero.org/groups/2472009/items/JMKHXTZB"],"uri":["http://zotero.org/groups/2472009/items/JMKHXTZB"],"itemData":{"id":3419,"type":"article-journal","abstract":"The spatiotemporal expression of genes is controlled by enhancer sequences that bind transcription factors. Identifying the target genes of enhancers remains difficult because enhancers regulate gene expression over long genomic distances. To address this, we used an evolutionary approach to build two genome-wide maps of predicted enhancer-gene associations in the human and zebrafish genomes. Evolutionary conserved sequences were linked to their predicted target genes using PEGASUS, a bioinformatics method that relies on evolutionary conservation of synteny. The analysis of these maps revealed that the number of predicted enhancers linked to a gene correlate with its expression breadth. Comparison of both maps identified hundreds of putative vertebrate ancestral regulatory relationships from which we could determine that predicted enhancer-gene distances scale with genome size despite strong positional conservation. The two maps represent a resource for further studies, including the prioritization of sequence variants in whole genome sequence of patients affected by genetic diseases.","container-title":"Nucleic Acids Research","DOI":"10.1093/nar/gkz1199","ISSN":"1362-4962","issue":"5","journalAbbreviation":"Nucleic Acids Res.","language":"eng","note":"PMID: 31943068\nPMCID: PMC7049698","page":"2357-2371","source":"PubMed","title":"Enhancer-gene maps in the human and zebrafish genomes using evolutionary linkage conservation","volume":"48","author":[{"family":"Clément","given":"Yves"},{"family":"Torbey","given":"Patrick"},{"family":"Gilardi-Hebenstreit","given":"Pascale"},{"family":"Crollius","given":"Hugues Roest"}],"issued":{"date-parts":[["2020",3,18]]}}}],"schema":"https://github.com/citation-style-language/schema/raw/master/csl-citation.json"} </w:instrText>
            </w:r>
            <w:r w:rsidRPr="00E70A8B">
              <w:rPr>
                <w:rFonts w:ascii="Arial" w:hAnsi="Arial" w:cs="Arial"/>
              </w:rPr>
              <w:fldChar w:fldCharType="separate"/>
            </w:r>
            <w:bookmarkStart w:id="69" w:name="__Fieldmark__822_2281253091"/>
            <w:bookmarkStart w:id="70" w:name="__Fieldmark__780_3451003990"/>
            <w:r w:rsidR="004A7EB4">
              <w:rPr>
                <w:rFonts w:ascii="Arial" w:hAnsi="Arial" w:cs="Arial"/>
                <w:szCs w:val="24"/>
                <w:lang w:val="en-GB"/>
              </w:rPr>
              <w:t>[9]</w:t>
            </w:r>
            <w:r w:rsidRPr="00E70A8B">
              <w:rPr>
                <w:rFonts w:ascii="Arial" w:hAnsi="Arial" w:cs="Arial"/>
              </w:rPr>
              <w:fldChar w:fldCharType="end"/>
            </w:r>
            <w:bookmarkEnd w:id="69"/>
            <w:bookmarkEnd w:id="70"/>
          </w:p>
        </w:tc>
      </w:tr>
      <w:tr w:rsidR="00514A54" w:rsidRPr="007523EE" w14:paraId="088CF3CD" w14:textId="77777777">
        <w:tc>
          <w:tcPr>
            <w:tcW w:w="2382" w:type="dxa"/>
            <w:tcBorders>
              <w:top w:val="single" w:sz="6" w:space="0" w:color="000000"/>
              <w:bottom w:val="single" w:sz="6" w:space="0" w:color="000000"/>
            </w:tcBorders>
            <w:shd w:val="clear" w:color="auto" w:fill="auto"/>
          </w:tcPr>
          <w:p w14:paraId="37B08C28" w14:textId="77777777" w:rsidR="00514A54" w:rsidRPr="00E70A8B" w:rsidRDefault="00A80BB8">
            <w:pPr>
              <w:pStyle w:val="TableContents"/>
              <w:rPr>
                <w:rFonts w:ascii="Arial" w:hAnsi="Arial" w:cs="Arial"/>
                <w:lang w:val="en-GB"/>
              </w:rPr>
            </w:pPr>
            <w:r w:rsidRPr="00E70A8B">
              <w:rPr>
                <w:rFonts w:ascii="Arial" w:hAnsi="Arial" w:cs="Arial"/>
                <w:color w:val="000000"/>
                <w:lang w:val="en-GB"/>
              </w:rPr>
              <w:t>FANTOM5</w:t>
            </w:r>
          </w:p>
        </w:tc>
        <w:tc>
          <w:tcPr>
            <w:tcW w:w="3250" w:type="dxa"/>
            <w:tcBorders>
              <w:top w:val="single" w:sz="6" w:space="0" w:color="000000"/>
              <w:bottom w:val="single" w:sz="6" w:space="0" w:color="000000"/>
            </w:tcBorders>
            <w:shd w:val="clear" w:color="auto" w:fill="auto"/>
          </w:tcPr>
          <w:p w14:paraId="0AFDB832" w14:textId="77777777" w:rsidR="00514A54" w:rsidRPr="00E70A8B" w:rsidRDefault="00A80BB8">
            <w:pPr>
              <w:pStyle w:val="TableContents"/>
              <w:snapToGrid w:val="0"/>
              <w:rPr>
                <w:rFonts w:ascii="Arial" w:hAnsi="Arial" w:cs="Arial"/>
                <w:lang w:val="en-GB"/>
              </w:rPr>
            </w:pPr>
            <w:r w:rsidRPr="00E70A8B">
              <w:rPr>
                <w:rFonts w:ascii="Arial" w:hAnsi="Arial" w:cs="Arial"/>
                <w:color w:val="000000"/>
                <w:lang w:val="en-GB"/>
              </w:rPr>
              <w:t>Robust enhancer-promoter associations based on correlation of expression levels measured by CAGE.</w:t>
            </w:r>
          </w:p>
        </w:tc>
        <w:tc>
          <w:tcPr>
            <w:tcW w:w="2674" w:type="dxa"/>
            <w:tcBorders>
              <w:top w:val="single" w:sz="6" w:space="0" w:color="000000"/>
              <w:bottom w:val="single" w:sz="6" w:space="0" w:color="000000"/>
            </w:tcBorders>
            <w:shd w:val="clear" w:color="auto" w:fill="auto"/>
            <w:vAlign w:val="center"/>
          </w:tcPr>
          <w:p w14:paraId="42900B97" w14:textId="77777777" w:rsidR="00514A54" w:rsidRPr="00E70A8B" w:rsidRDefault="00A80BB8">
            <w:pPr>
              <w:pStyle w:val="TableContents"/>
              <w:rPr>
                <w:rFonts w:ascii="Arial" w:hAnsi="Arial" w:cs="Arial"/>
                <w:lang w:val="en-GB"/>
              </w:rPr>
            </w:pPr>
            <w:r w:rsidRPr="00E70A8B">
              <w:rPr>
                <w:rFonts w:ascii="Arial" w:hAnsi="Arial" w:cs="Arial"/>
                <w:color w:val="000000"/>
                <w:lang w:val="en-GB"/>
              </w:rPr>
              <w:t>8,444,398</w:t>
            </w:r>
          </w:p>
        </w:tc>
        <w:tc>
          <w:tcPr>
            <w:tcW w:w="1665" w:type="dxa"/>
            <w:tcBorders>
              <w:top w:val="single" w:sz="6" w:space="0" w:color="000000"/>
              <w:bottom w:val="single" w:sz="6" w:space="0" w:color="000000"/>
            </w:tcBorders>
            <w:shd w:val="clear" w:color="auto" w:fill="auto"/>
          </w:tcPr>
          <w:p w14:paraId="2B1966E4" w14:textId="4806A57A" w:rsidR="00514A54" w:rsidRPr="00E70A8B" w:rsidRDefault="00A80BB8">
            <w:pPr>
              <w:pStyle w:val="TableContents"/>
              <w:rPr>
                <w:rFonts w:ascii="Arial" w:hAnsi="Arial" w:cs="Arial"/>
                <w:lang w:val="en-US"/>
              </w:rPr>
            </w:pPr>
            <w:r w:rsidRPr="00E70A8B">
              <w:rPr>
                <w:rFonts w:ascii="Arial" w:hAnsi="Arial" w:cs="Arial"/>
              </w:rPr>
              <w:fldChar w:fldCharType="begin"/>
            </w:r>
            <w:r w:rsidR="004A7EB4">
              <w:rPr>
                <w:rFonts w:ascii="Arial" w:hAnsi="Arial" w:cs="Arial"/>
              </w:rPr>
              <w:instrText xml:space="preserve"> ADDIN ZOTERO_ITEM CSL_CITATION {"citationID":"vgWkHzNQ","properties":{"formattedCitation":"[10]","plainCitation":"[10]","noteIndex":0},"citationItems":[{"id":3011,"uris":["http://zotero.org/groups/2472009/items/E7DSKRAF"],"uri":["http://zotero.org/groups/2472009/items/E7DSKRAF"],"itemData":{"id":3011,"type":"article-journal","abstract":"Enhancers control the correct temporal and cell-type-specific activation of gene expression in multicellular eukaryotes. Knowing their properties, regulatory activity and targets is crucial to understand the regulation of differentiation and homeostasis. Here we use the FANTOM5 panel of samples, covering the majority of human tissues and cell types, to produce an atlas of active, in vivo-transcribed enhancers. We show that enhancers share properties with CpG-poor messenger RNA promoters but produce bidirectional, exosome-sensitive, relatively short unspliced RNAs, the generation of which is strongly related to enhancer activity. The atlas is used to compare regulatory programs between different cells at unprecedented depth, to identify disease-associated regulatory single nucleotide polymorphisms, and to classify cell-type-specific and ubiquitous enhancers. We further explore the utility of enhancer redundancy, which explains gene expression strength rather than expression patterns. The online FANTOM5 enhancer atlas represents a unique resource for studies on cell-type-specific enhancers and gene regulation.","container-title":"Nature","DOI":"10.1038/nature12787","ISSN":"1476-4687 (Electronic) 0028-0836 (Linking)","issue":"7493","journalAbbreviation":"Nature","language":"eng","page":"455-461","title":"An atlas of active enhancers across human cell types and tissues","volume":"507","author":[{"family":"Andersson","given":"R."},{"family":"Gebhard","given":"C."},{"family":"Miguel-Escalada","given":"I."},{"family":"Hoof","given":"I."},{"family":"Bornholdt","given":"J."},{"family":"Boyd","given":"M."},{"family":"Chen","given":"Y."},{"family":"Zhao","given":"X."},{"family":"Schmidl","given":"C."},{"family":"Suzuki","given":"T."},{"family":"Ntini","given":"E."},{"family":"Arner","given":"E."},{"family":"Valen","given":"E."},{"family":"Li","given":"K."},{"family":"Schwarzfischer","given":"L."},{"family":"Glatz","given":"D."},{"family":"Raithel","given":"J."},{"family":"Lilje","given":"B."},{"family":"Rapin","given":"N."},{"family":"Bagger","given":"F. O."},{"family":"Jorgensen","given":"M."},{"family":"Andersen","given":"P. R."},{"family":"Bertin","given":"N."},{"family":"Rackham","given":"O."},{"family":"Burroughs","given":"A. M."},{"family":"Baillie","given":"J. K."},{"family":"Ishizu","given":"Y."},{"family":"Shimizu","given":"Y."},{"family":"Furuhata","given":"E."},{"family":"Maeda","given":"S."},{"family":"Negishi","given":"Y."},{"family":"Mungall","given":"C. J."},{"family":"Meehan","given":"T. F."},{"family":"Lassmann","given":"T."},{"family":"Itoh","given":"M."},{"family":"Kawaji","given":"H."},{"family":"Kondo","given":"N."},{"family":"Kawai","given":"J."},{"family":"Lennartsson","given":"A."},{"family":"Daub","given":"C. O."},{"family":"Heutink","given":"P."},{"family":"Hume","given":"D. A."},{"family":"Jensen","given":"T. H."},{"family":"Suzuki","given":"H."},{"family":"Hayashizaki","given":"Y."},{"family":"Muller","given":"F."},{"family":"Forrest","given":"A. R."},{"family":"Carninci","given":"P."},{"family":"Rehli","given":"M."},{"family":"Sandelin","given":"A."},{"family":"Kawaji","given":"H."},{"family":"Baillie","given":"J. K."},{"family":"Hoon","given":"M. J.","non-dropping-particle":"de"},{"family":"Haberle","given":"V."},{"family":"Lassmann","given":"T."},{"family":"Kulakovskiy","given":"I. V."},{"family":"Lizio","given":"M."},{"family":"Itoh","given":"M."},{"family":"Andersson","given":"R."},{"family":"Mungall","given":"C. J."},{"family":"Meehan","given":"T. F."},{"family":"Schmeier","given":"S."},{"family":"Bertin","given":"N."},{"family":"Jorgensen","given":"M."},{"family":"Dimont","given":"E."},{"family":"Arner","given":"E."},{"family":"Schmid","given":"C."},{"family":"Schaefer","given":"U."},{"family":"Medvedeva","given":"Y. A."},{"family":"Plessy","given":"C."},{"family":"Vitezic","given":"M."},{"family":"Severin","given":"J."},{"family":"Semple","given":"C. A."},{"family":"Ishizu","given":"Y."},{"family":"Young","given":"R. S."},{"family":"Francescatto","given":"M."},{"family":"Alam","given":"I."},{"family":"Albanese","given":"D."},{"family":"Altschuler","given":"G. M."},{"family":"Arakawa","given":"T."},{"family":"Archer","given":"J. A."},{"family":"Arner","given":"P."},{"family":"Babina","given":"M."},{"family":"Rennie","given":"S."},{"family":"Balwierz","given":"P. J."},{"family":"Beckhouse","given":"A. G."},{"family":"Pradhan-Bhatt","given":"S."},{"family":"Blake","given":"J. A."},{"family":"Blumenthal","given":"A."},{"family":"Bodega","given":"B."},{"family":"Bonetti","given":"A."},{"family":"Briggs","given":"J."},{"family":"Brombacher","given":"F."},{"family":"Burroughs","given":"A. M."},{"family":"Califano","given":"A."},{"family":"Cannistraci","given":"C. V."},{"family":"Carbajo","given":"D."},{"family":"Chen","given":"Y."},{"family":"Chierici","given":"M."},{"family":"Ciani","given":"Y."},{"family":"Clevers","given":"H. C."},{"family":"Dalla","given":"E."},{"family":"Davis","given":"C. A."},{"family":"Detmar","given":"M."},{"family":"Diehl","given":"A. D."},{"family":"Dohi","given":"T."},{"family":"Drablos","given":"F."},{"family":"Edge","given":"A. S."},{"family":"Edinger","given":"M."},{"family":"Ekwall","given":"K."},{"family":"Endoh","given":"M."},{"family":"Enomoto","given":"H."},{"family":"Fagiolini","given":"M."},{"family":"Fairbairn","given":"L."},{"family":"Fang","given":"H."},{"family":"Farach-Carson","given":"M. C."},{"family":"Faulkner","given":"G. J."},{"family":"Favorov","given":"A. V."},{"family":"Fisher","given":"M. E."},{"family":"Frith","given":"M. C."},{"family":"Fujita","given":"R."},{"family":"Fukuda","given":"S."},{"family":"Furlanello","given":"C."},{"family":"Furuno","given":"M."},{"family":"Furusawa","given":"J."},{"family":"Geijtenbeek","given":"T. B."},{"family":"Gibson","given":"A. P."},{"family":"Gingeras","given":"T."},{"family":"Goldowitz","given":"D."},{"family":"Gough","given":"J."},{"family":"Guhl","given":"S."},{"family":"Guler","given":"R."},{"family":"Gustincich","given":"S."},{"family":"Ha","given":"T. J."},{"family":"Hamaguchi","given":"M."},{"family":"Hara","given":"M."},{"family":"Harbers","given":"M."},{"family":"Harshbarger","given":"J."},{"family":"Hasegawa","given":"A."},{"family":"Hasegawa","given":"Y."},{"family":"Hashimoto","given":"T."},{"family":"Herlyn","given":"M."},{"family":"Hitchens","given":"K. J."},{"family":"Ho Sui","given":"S. J."},{"family":"Hofmann","given":"O. M."},{"family":"Hoof","given":"I."},{"family":"Hori","given":"F."},{"family":"Huminiecki","given":"L."},{"family":"Iida","given":"K."},{"family":"Ikawa","given":"T."},{"family":"Jankovic","given":"B. R."},{"family":"Jia","given":"H."},{"family":"Joshi","given":"A."},{"family":"Jurman","given":"G."},{"family":"Kaczkowski","given":"B."},{"family":"Kai","given":"C."},{"family":"Kaida","given":"K."},{"family":"Kaiho","given":"A."},{"family":"Kajiyama","given":"K."},{"family":"Kanamori-Katayama","given":"M."},{"family":"Kasianov","given":"A. S."},{"family":"Kasukawa","given":"T."},{"family":"Katayama","given":"S."},{"family":"Kato","given":"S."},{"family":"Kawaguchi","given":"S."},{"family":"Kawamoto","given":"H."},{"family":"Kawamura","given":"Y. I."},{"family":"Kawashima","given":"T."},{"family":"Kempfle","given":"J. S."},{"family":"Kenna","given":"T. J."},{"family":"Kere","given":"J."},{"family":"Khachigian","given":"L. M."},{"family":"Kitamura","given":"T."},{"family":"Klinken","given":"S. P."},{"family":"Knox","given":"A. J."},{"family":"Kojima","given":"M."},{"family":"Kojima","given":"S."},{"family":"Kondo","given":"N."},{"family":"Koseki","given":"H."},{"family":"Koyasu","given":"S."},{"family":"Krampitz","given":"S."},{"family":"Kubosaki","given":"A."},{"family":"Kwon","given":"A. T."},{"family":"Laros","given":"J. F."},{"family":"Lee","given":"W."},{"family":"Lennartsson","given":"A."},{"family":"Li","given":"K."},{"family":"Lilje","given":"B."},{"family":"Lipovich","given":"L."},{"family":"Mackay-sim","given":"A."},{"family":"Manabe","given":"R."},{"family":"Mar","given":"J. C."},{"family":"Marchand","given":"B."},{"family":"Mathelier","given":"A."},{"family":"Mejhert","given":"N."},{"family":"Meynert","given":"A."},{"family":"Mizuno","given":"Y."},{"family":"Lima Morais","given":"D. A.","non-dropping-particle":"de"},{"family":"Morikawa","given":"H."},{"family":"Morimoto","given":"M."},{"family":"Moro","given":"K."},{"family":"Motakis","given":"E."},{"family":"Motohashi","given":"H."},{"family":"Mummery","given":"C. L."},{"family":"Murata","given":"M."},{"family":"Nagao-Sato","given":"S."},{"family":"Nakachi","given":"Y."},{"family":"Nakahara","given":"F."},{"family":"Nakamura","given":"T."},{"family":"Nakamura","given":"Y."},{"family":"Nakazato","given":"K."},{"family":"Nimwegen","given":"E.","non-dropping-particle":"van"},{"family":"Ninomiya","given":"N."},{"family":"Nishiyori","given":"H."},{"family":"Noma","given":"S."},{"family":"Nozaki","given":"T."},{"family":"Ogishima","given":"S."},{"family":"Ohkura","given":"N."},{"family":"Ohmiya","given":"H."},{"family":"Ohno","given":"H."},{"family":"Ohshima","given":"M."},{"family":"Okada-Hatakeyama","given":"M."},{"family":"Okazaki","given":"Y."},{"family":"Orlando","given":"V."},{"family":"Ovchinnikov","given":"D. A."},{"family":"Pain","given":"A."},{"family":"Passier","given":"R."},{"family":"Patrikakis","given":"M."},{"family":"Persson","given":"H."},{"family":"Piazza","given":"S."},{"family":"Prendergast","given":"J. G."},{"family":"Rackham","given":"O. J."},{"family":"Ramilowski","given":"J. A."},{"family":"Rashid","given":"M."},{"family":"Ravasi","given":"T."},{"family":"Rizzu","given":"P."},{"family":"Roncador","given":"M."},{"family":"Roy","given":"S."},{"family":"Rye","given":"M. B."},{"family":"Saijyo","given":"E."},{"family":"Sajantila","given":"A."},{"family":"Saka","given":"A."},{"family":"Sakaguchi","given":"S."},{"family":"Sakai","given":"M."},{"family":"Sato","given":"H."},{"family":"Satoh","given":"H."},{"family":"Savvi","given":"S."},{"family":"Saxena","given":"A."},{"family":"Schneider","given":"C."},{"family":"Schultes","given":"E. A."},{"family":"Schulze-Tanzil","given":"G. G."},{"family":"Schwegmann","given":"A."},{"family":"Sengstag","given":"T."},{"family":"Sheng","given":"G."},{"family":"Shimoji","given":"H."},{"family":"Shimoni","given":"Y."},{"family":"Shin","given":"J. W."},{"family":"Simon","given":"C."},{"family":"Sugiyama","given":"D."},{"family":"Sugiyama","given":"T."},{"family":"Suzuki","given":"M."},{"family":"Suzuki","given":"N."},{"family":"Swoboda","given":"R. K."},{"family":"Hoen","given":"P. A.","non-dropping-particle":"t"},{"family":"Tagami","given":"M."},{"family":"Takahashi","given":"N."},{"family":"Takai","given":"J."},{"family":"Tanaka","given":"H."},{"family":"Tatsukawa","given":"H."},{"family":"Tatum","given":"Z."},</w:instrText>
            </w:r>
            <w:r w:rsidR="004A7EB4" w:rsidRPr="00AC0AD9">
              <w:rPr>
                <w:rFonts w:ascii="Arial" w:hAnsi="Arial" w:cs="Arial"/>
                <w:lang w:val="en-US"/>
              </w:rPr>
              <w:instrText xml:space="preserve">{"family":"Thompson","given":"M."},{"family":"Toyoda","given":"H."},{"family":"Toyoda","given":"T."},{"family":"Valen","given":"E."},{"family":"Wetering","given":"M.","non-dropping-particle":"van de"},{"family":"Berg","given":"L. M.","non-dropping-particle":"van den"},{"family":"Verardo","given":"R."},{"family":"Vijayan","given":"D."},{"family":"Vorontsov","given":"I. E."},{"family":"Wasserman","given":"W. W."},{"family":"Watanabe","given":"S."},{"family":"Wells","given":"C. A."},{"family":"Winteringham","given":"L. N."},{"family":"Wolvetang","given":"E."},{"family":"Wood","given":"E. J."},{"family":"Yamaguchi","given":"Y."},{"family":"Yamamoto","given":"M."},{"family":"Yoneda","given":"M."},{"family":"Yonekura","given":"Y."},{"family":"Yoshida","given":"S."},{"family":"Zabierowski","given":"S. E."},{"family":"Zhang","given":"P. G."},{"family":"Zhao","given":"X."},{"family":"Zucchelli","given":"S."},{"family":"Summers","given":"K. M."},{"family":"Suzuki","given":"H."},{"family":"Daub","given":"C. O."},{"family":"Kawai","given":"J."},{"family":"Heutink","given":"P."},{"family":"Hide","given":"W."},{"family":"Freeman","given":"T. C."},{"family":"Lenhard","given":"B."},{"family":"Bajic","given":"V. B."},{"family":"Taylor","given":"M. S."},{"family":"Makeev","given":"V. J."},{"family":"Hume","given":"D. A."},{"family":"Hayashizaki","given":"Y."}],"issued":{"date-parts":[["2014",3,27]]}}}],"schema":"https://github.com/citation-style-language/schema/raw/master/csl-citation.json"} </w:instrText>
            </w:r>
            <w:r w:rsidRPr="00E70A8B">
              <w:rPr>
                <w:rFonts w:ascii="Arial" w:hAnsi="Arial" w:cs="Arial"/>
              </w:rPr>
              <w:fldChar w:fldCharType="separate"/>
            </w:r>
            <w:bookmarkStart w:id="71" w:name="__Fieldmark__832_2281253091"/>
            <w:bookmarkStart w:id="72" w:name="__Fieldmark__788_3451003990"/>
            <w:r w:rsidR="004A7EB4">
              <w:rPr>
                <w:rFonts w:ascii="Arial" w:hAnsi="Arial" w:cs="Arial"/>
                <w:szCs w:val="24"/>
                <w:lang w:val="en-US"/>
              </w:rPr>
              <w:t>[10]</w:t>
            </w:r>
            <w:r w:rsidRPr="00E70A8B">
              <w:rPr>
                <w:rFonts w:ascii="Arial" w:hAnsi="Arial" w:cs="Arial"/>
              </w:rPr>
              <w:fldChar w:fldCharType="end"/>
            </w:r>
            <w:bookmarkEnd w:id="71"/>
            <w:bookmarkEnd w:id="72"/>
          </w:p>
        </w:tc>
      </w:tr>
      <w:tr w:rsidR="00514A54" w:rsidRPr="00E70A8B" w14:paraId="785223DB" w14:textId="77777777">
        <w:tc>
          <w:tcPr>
            <w:tcW w:w="2382" w:type="dxa"/>
            <w:tcBorders>
              <w:top w:val="single" w:sz="6" w:space="0" w:color="000000"/>
              <w:bottom w:val="single" w:sz="6" w:space="0" w:color="000000"/>
            </w:tcBorders>
            <w:shd w:val="clear" w:color="auto" w:fill="auto"/>
          </w:tcPr>
          <w:p w14:paraId="2271B114" w14:textId="77777777" w:rsidR="00514A54" w:rsidRPr="00E70A8B" w:rsidRDefault="00A80BB8">
            <w:pPr>
              <w:pStyle w:val="TableContents"/>
              <w:rPr>
                <w:rFonts w:ascii="Arial" w:hAnsi="Arial" w:cs="Arial"/>
                <w:lang w:val="en-US"/>
              </w:rPr>
            </w:pPr>
            <w:proofErr w:type="spellStart"/>
            <w:r w:rsidRPr="00E70A8B">
              <w:rPr>
                <w:rFonts w:ascii="Arial" w:hAnsi="Arial" w:cs="Arial"/>
                <w:lang w:val="en-US"/>
              </w:rPr>
              <w:t>GeneHancer</w:t>
            </w:r>
            <w:proofErr w:type="spellEnd"/>
          </w:p>
        </w:tc>
        <w:tc>
          <w:tcPr>
            <w:tcW w:w="3250" w:type="dxa"/>
            <w:tcBorders>
              <w:top w:val="single" w:sz="6" w:space="0" w:color="000000"/>
              <w:bottom w:val="single" w:sz="6" w:space="0" w:color="000000"/>
            </w:tcBorders>
            <w:shd w:val="clear" w:color="auto" w:fill="auto"/>
          </w:tcPr>
          <w:p w14:paraId="7EA3092E" w14:textId="77777777" w:rsidR="00514A54" w:rsidRPr="00E70A8B" w:rsidRDefault="00A80BB8">
            <w:pPr>
              <w:pStyle w:val="TableContents"/>
              <w:snapToGrid w:val="0"/>
              <w:rPr>
                <w:rFonts w:ascii="Arial" w:hAnsi="Arial" w:cs="Arial"/>
                <w:lang w:val="en-US"/>
              </w:rPr>
            </w:pPr>
            <w:r w:rsidRPr="00E70A8B">
              <w:rPr>
                <w:rFonts w:ascii="Arial" w:hAnsi="Arial" w:cs="Arial"/>
                <w:lang w:val="en-US"/>
              </w:rPr>
              <w:t xml:space="preserve">Unified predicted regulatory regions from a set of 4 </w:t>
            </w:r>
            <w:proofErr w:type="gramStart"/>
            <w:r w:rsidRPr="00E70A8B">
              <w:rPr>
                <w:rFonts w:ascii="Arial" w:hAnsi="Arial" w:cs="Arial"/>
                <w:lang w:val="en-US"/>
              </w:rPr>
              <w:t>sources :</w:t>
            </w:r>
            <w:proofErr w:type="gramEnd"/>
            <w:r w:rsidRPr="00E70A8B">
              <w:rPr>
                <w:rFonts w:ascii="Arial" w:hAnsi="Arial" w:cs="Arial"/>
                <w:lang w:val="en-US"/>
              </w:rPr>
              <w:t xml:space="preserve"> </w:t>
            </w:r>
            <w:proofErr w:type="spellStart"/>
            <w:r w:rsidRPr="00E70A8B">
              <w:rPr>
                <w:rFonts w:ascii="Arial" w:hAnsi="Arial" w:cs="Arial"/>
                <w:lang w:val="en-US"/>
              </w:rPr>
              <w:t>Ensembl</w:t>
            </w:r>
            <w:proofErr w:type="spellEnd"/>
            <w:r w:rsidRPr="00E70A8B">
              <w:rPr>
                <w:rFonts w:ascii="Arial" w:hAnsi="Arial" w:cs="Arial"/>
                <w:lang w:val="en-US"/>
              </w:rPr>
              <w:t xml:space="preserve"> regulatory built, FANTOM5 permissive enhancers, VISTA enhancers, and ENCODE proximal and distal enhancers.</w:t>
            </w:r>
          </w:p>
        </w:tc>
        <w:tc>
          <w:tcPr>
            <w:tcW w:w="2674" w:type="dxa"/>
            <w:tcBorders>
              <w:top w:val="single" w:sz="6" w:space="0" w:color="000000"/>
              <w:bottom w:val="single" w:sz="6" w:space="0" w:color="000000"/>
            </w:tcBorders>
            <w:shd w:val="clear" w:color="auto" w:fill="auto"/>
            <w:vAlign w:val="center"/>
          </w:tcPr>
          <w:p w14:paraId="4FA41D66" w14:textId="77777777" w:rsidR="00514A54" w:rsidRPr="00E70A8B" w:rsidRDefault="00A80BB8">
            <w:pPr>
              <w:pStyle w:val="TableContents"/>
              <w:rPr>
                <w:rFonts w:ascii="Arial" w:hAnsi="Arial" w:cs="Arial"/>
                <w:lang w:val="en-US"/>
              </w:rPr>
            </w:pPr>
            <w:r w:rsidRPr="00E70A8B">
              <w:rPr>
                <w:rFonts w:ascii="Arial" w:hAnsi="Arial" w:cs="Arial"/>
                <w:lang w:val="en-US"/>
              </w:rPr>
              <w:t>312,286,188</w:t>
            </w:r>
          </w:p>
        </w:tc>
        <w:tc>
          <w:tcPr>
            <w:tcW w:w="1665" w:type="dxa"/>
            <w:tcBorders>
              <w:top w:val="single" w:sz="6" w:space="0" w:color="000000"/>
              <w:bottom w:val="single" w:sz="6" w:space="0" w:color="000000"/>
            </w:tcBorders>
            <w:shd w:val="clear" w:color="auto" w:fill="auto"/>
          </w:tcPr>
          <w:p w14:paraId="6608BD46" w14:textId="4DB9CD43" w:rsidR="00514A54" w:rsidRPr="00E70A8B" w:rsidRDefault="00A80BB8">
            <w:pPr>
              <w:pStyle w:val="TableContents"/>
              <w:rPr>
                <w:rFonts w:ascii="Arial" w:hAnsi="Arial" w:cs="Arial"/>
              </w:rPr>
            </w:pPr>
            <w:r w:rsidRPr="00E70A8B">
              <w:rPr>
                <w:rFonts w:ascii="Arial" w:hAnsi="Arial" w:cs="Arial"/>
              </w:rPr>
              <w:fldChar w:fldCharType="begin"/>
            </w:r>
            <w:r w:rsidR="004A7EB4">
              <w:rPr>
                <w:rFonts w:ascii="Arial" w:hAnsi="Arial" w:cs="Arial"/>
                <w:lang w:val="en-US"/>
              </w:rPr>
              <w:instrText xml:space="preserve"> ADDIN ZOTERO_ITEM CSL_CITATION {"citationID":"K88tPMhr","properties":{"formattedCitation":"[11]","plainCitation":"[11]","noteIndex":0},"citationItems":[{"id":4509,"uris":["http://zotero.org/groups/2472009/items/UBBR6P4E"],"uri":["http://zotero.org/groups/2472009/items/UBBR6P4E"],"itemData":{"id":4509,"type":"article-journal","abstract":"Abstract.  A major challenge in understanding gene regulation is the unequivocal identification of enhancer elements and uncovering their connections to genes.","container-title":"Database","DOI":"10.1093/database/bax028","journalAbbreviation":"Database (Oxford)","language":"en","note":"publisher: Oxford Academic","source":"academic.oup.com","title":"GeneHancer: genome-wide integration of enhancers and target genes in GeneCards","title-short":"GeneHancer","URL":"https://academic.oup.com/database/article/doi/10.1093/database/bax028/3737828","volume":"2017","author":[{"family":"Fishilevich","given":"Simon"},{"family":"Nudel","given":"Ron"},{"family":"Rappaport","given":"Noa"},{"family":"Hadar","given":"Rotem"},{"family":"Plaschkes","given":"Inbar"},{"family":"Iny Stein","given":"Tsippi"},{"family":"Rosen","given":"Naomi"},{"family":"Kohn","given":"Asher"},{"family":"Twik","given":"Michal"},{"family":"Safran","given":"Marilyn"},{"family":"Lancet","given":"Doron"},{"family":"Cohen","given":"Dana"}],"accessed":{"date-parts":[["2020",4,8]]},"issued":{"date-parts":[["2017",1,1]]}}}],"schema":"https://github.com/citation-style-language/schema/raw/master/csl-citation.json"} </w:instrText>
            </w:r>
            <w:r w:rsidRPr="00E70A8B">
              <w:rPr>
                <w:rFonts w:ascii="Arial" w:hAnsi="Arial" w:cs="Arial"/>
              </w:rPr>
              <w:fldChar w:fldCharType="separate"/>
            </w:r>
            <w:bookmarkStart w:id="73" w:name="__Fieldmark__842_2281253091"/>
            <w:bookmarkStart w:id="74" w:name="__Fieldmark__796_3451003990"/>
            <w:r w:rsidR="004A7EB4">
              <w:rPr>
                <w:rFonts w:ascii="Arial" w:hAnsi="Arial" w:cs="Arial"/>
                <w:szCs w:val="24"/>
                <w:lang w:val="en-GB"/>
              </w:rPr>
              <w:t>[11]</w:t>
            </w:r>
            <w:r w:rsidRPr="00E70A8B">
              <w:rPr>
                <w:rFonts w:ascii="Arial" w:hAnsi="Arial" w:cs="Arial"/>
              </w:rPr>
              <w:fldChar w:fldCharType="end"/>
            </w:r>
            <w:bookmarkEnd w:id="73"/>
            <w:bookmarkEnd w:id="74"/>
          </w:p>
        </w:tc>
      </w:tr>
      <w:tr w:rsidR="00514A54" w:rsidRPr="00E70A8B" w14:paraId="09DB947A" w14:textId="77777777">
        <w:tc>
          <w:tcPr>
            <w:tcW w:w="2382" w:type="dxa"/>
            <w:tcBorders>
              <w:top w:val="single" w:sz="6" w:space="0" w:color="000000"/>
              <w:bottom w:val="single" w:sz="6" w:space="0" w:color="000000"/>
            </w:tcBorders>
            <w:shd w:val="clear" w:color="auto" w:fill="auto"/>
          </w:tcPr>
          <w:p w14:paraId="02368B50" w14:textId="77777777" w:rsidR="00514A54" w:rsidRPr="00E70A8B" w:rsidRDefault="00A80BB8">
            <w:pPr>
              <w:pStyle w:val="TableContents"/>
              <w:rPr>
                <w:rFonts w:ascii="Arial" w:hAnsi="Arial" w:cs="Arial"/>
                <w:lang w:val="en-GB"/>
              </w:rPr>
            </w:pPr>
            <w:r w:rsidRPr="00E70A8B">
              <w:rPr>
                <w:rFonts w:ascii="Arial" w:hAnsi="Arial" w:cs="Arial"/>
                <w:color w:val="000000"/>
                <w:lang w:val="en-GB"/>
              </w:rPr>
              <w:t>FOCS FANTOM5</w:t>
            </w:r>
          </w:p>
        </w:tc>
        <w:tc>
          <w:tcPr>
            <w:tcW w:w="3250" w:type="dxa"/>
            <w:tcBorders>
              <w:top w:val="single" w:sz="6" w:space="0" w:color="000000"/>
              <w:bottom w:val="single" w:sz="6" w:space="0" w:color="000000"/>
            </w:tcBorders>
            <w:shd w:val="clear" w:color="auto" w:fill="auto"/>
          </w:tcPr>
          <w:p w14:paraId="018B2E32" w14:textId="77777777" w:rsidR="00514A54" w:rsidRPr="00E70A8B" w:rsidRDefault="00A80BB8">
            <w:pPr>
              <w:pStyle w:val="TableContents"/>
              <w:rPr>
                <w:rFonts w:ascii="Arial" w:hAnsi="Arial" w:cs="Arial"/>
                <w:lang w:val="en-GB"/>
              </w:rPr>
            </w:pPr>
            <w:r w:rsidRPr="00E70A8B">
              <w:rPr>
                <w:rFonts w:ascii="Arial" w:hAnsi="Arial" w:cs="Arial"/>
                <w:color w:val="000000"/>
                <w:lang w:val="en-GB"/>
              </w:rPr>
              <w:t>Predictions through the FOCS pipeline of regulatory associations from FANTOM5 expressed regions.</w:t>
            </w:r>
          </w:p>
        </w:tc>
        <w:tc>
          <w:tcPr>
            <w:tcW w:w="2674" w:type="dxa"/>
            <w:tcBorders>
              <w:top w:val="single" w:sz="6" w:space="0" w:color="000000"/>
              <w:bottom w:val="single" w:sz="6" w:space="0" w:color="000000"/>
            </w:tcBorders>
            <w:shd w:val="clear" w:color="auto" w:fill="auto"/>
            <w:vAlign w:val="center"/>
          </w:tcPr>
          <w:p w14:paraId="5377D522" w14:textId="77777777" w:rsidR="00514A54" w:rsidRPr="00E70A8B" w:rsidRDefault="00A80BB8">
            <w:pPr>
              <w:pStyle w:val="TableContents"/>
              <w:snapToGrid w:val="0"/>
              <w:rPr>
                <w:rFonts w:ascii="Arial" w:hAnsi="Arial" w:cs="Arial"/>
                <w:color w:val="000000"/>
                <w:lang w:val="en-GB"/>
              </w:rPr>
            </w:pPr>
            <w:r w:rsidRPr="00E70A8B">
              <w:rPr>
                <w:rFonts w:ascii="Arial" w:hAnsi="Arial" w:cs="Arial"/>
                <w:color w:val="000000"/>
                <w:lang w:val="en-GB"/>
              </w:rPr>
              <w:t>5,131,199</w:t>
            </w:r>
          </w:p>
        </w:tc>
        <w:tc>
          <w:tcPr>
            <w:tcW w:w="1665" w:type="dxa"/>
            <w:tcBorders>
              <w:top w:val="single" w:sz="6" w:space="0" w:color="000000"/>
              <w:bottom w:val="single" w:sz="6" w:space="0" w:color="000000"/>
            </w:tcBorders>
            <w:shd w:val="clear" w:color="auto" w:fill="auto"/>
          </w:tcPr>
          <w:p w14:paraId="37386731" w14:textId="06821F2E" w:rsidR="00514A54" w:rsidRPr="00E70A8B" w:rsidRDefault="00A80BB8">
            <w:pPr>
              <w:pStyle w:val="TableContents"/>
              <w:rPr>
                <w:rFonts w:ascii="Arial" w:hAnsi="Arial" w:cs="Arial"/>
              </w:rPr>
            </w:pPr>
            <w:r w:rsidRPr="00E70A8B">
              <w:rPr>
                <w:rFonts w:ascii="Arial" w:hAnsi="Arial" w:cs="Arial"/>
              </w:rPr>
              <w:fldChar w:fldCharType="begin"/>
            </w:r>
            <w:r w:rsidR="004A7EB4">
              <w:rPr>
                <w:rFonts w:ascii="Arial" w:hAnsi="Arial" w:cs="Arial"/>
              </w:rPr>
              <w:instrText xml:space="preserve"> ADDIN ZOTERO_ITEM CSL_CITATION {"citationID":"6yLRBMWu","properties":{"formattedCitation":"[12]","plainCitation":"[12]","noteIndex":0},"citationItems":[{"id":3330,"uris":["http://zotero.org/groups/2472009/items/WHXJEE7D"],"uri":["http://zotero.org/groups/2472009/items/WHXJEE7D"],"itemData":{"id":3330,"type":"article-journal","abstract":"Recent sequencing technologies enable joint quantification of promoters and their enhancer regions, allowing inference of enhancer-promoter links. We show that current enhancer-promoter inference methods produce a high rate of false positive links. We introduce FOCS, a new inference method, and by benchmarking against ChIA-PET, HiChIP, and eQTL data show that it results in lower false discovery rates and at the same time higher inference power. By applying FOCS to 2630 samples taken from ENCODE, Roadmap Epigenomics, FANTOM5, and a new compendium of GRO-seq samples, we provide extensive enhancer-promotor maps ( http://acgt.cs.tau.ac.il/focs ). We illustrate the usability of our maps for deriving biological hypotheses.","container-title":"Genome Biology","DOI":"10.1186/s13059-018-1432-2","ISSN":"1474-760X (Electronic) 1474-7596 (Linking)","issue":"1","page":"56","title":"FOCS: a novel method for analyzing enhancer and gene activity patterns infers an extensive enhancer-promoter map","volume":"19","author":[{"family":"Hait","given":"T. A."},{"family":"Amar","given":"D."},{"family":"Shamir","given":"R."},{"family":"Elkon","given":"R."}],"issued":{"date-parts":[["2018",5,1]]}}}],"schema":"https://github.com/citation-style-language/schema/raw/master/csl-citation.json"} </w:instrText>
            </w:r>
            <w:r w:rsidRPr="00E70A8B">
              <w:rPr>
                <w:rFonts w:ascii="Arial" w:hAnsi="Arial" w:cs="Arial"/>
              </w:rPr>
              <w:fldChar w:fldCharType="separate"/>
            </w:r>
            <w:bookmarkStart w:id="75" w:name="__Fieldmark__852_2281253091"/>
            <w:bookmarkStart w:id="76" w:name="__Fieldmark__804_3451003990"/>
            <w:r w:rsidR="004A7EB4">
              <w:rPr>
                <w:rFonts w:ascii="Arial" w:hAnsi="Arial" w:cs="Arial"/>
                <w:szCs w:val="24"/>
                <w:lang w:val="en-GB"/>
              </w:rPr>
              <w:t>[12]</w:t>
            </w:r>
            <w:r w:rsidRPr="00E70A8B">
              <w:rPr>
                <w:rFonts w:ascii="Arial" w:hAnsi="Arial" w:cs="Arial"/>
              </w:rPr>
              <w:fldChar w:fldCharType="end"/>
            </w:r>
            <w:bookmarkEnd w:id="75"/>
            <w:bookmarkEnd w:id="76"/>
          </w:p>
        </w:tc>
      </w:tr>
      <w:tr w:rsidR="00514A54" w:rsidRPr="00E70A8B" w14:paraId="0CA1EC2F" w14:textId="77777777">
        <w:tc>
          <w:tcPr>
            <w:tcW w:w="2382" w:type="dxa"/>
            <w:tcBorders>
              <w:top w:val="single" w:sz="6" w:space="0" w:color="000000"/>
              <w:bottom w:val="single" w:sz="4" w:space="0" w:color="000000"/>
            </w:tcBorders>
            <w:shd w:val="clear" w:color="auto" w:fill="auto"/>
          </w:tcPr>
          <w:p w14:paraId="47DBBF59" w14:textId="77777777" w:rsidR="00514A54" w:rsidRPr="00E70A8B" w:rsidRDefault="00A80BB8">
            <w:pPr>
              <w:pStyle w:val="TableContents"/>
              <w:rPr>
                <w:rFonts w:ascii="Arial" w:hAnsi="Arial" w:cs="Arial"/>
                <w:lang w:val="en-GB"/>
              </w:rPr>
            </w:pPr>
            <w:r w:rsidRPr="00E70A8B">
              <w:rPr>
                <w:rFonts w:ascii="Arial" w:hAnsi="Arial" w:cs="Arial"/>
                <w:color w:val="000000"/>
                <w:lang w:val="en-GB"/>
              </w:rPr>
              <w:t xml:space="preserve">FOCS </w:t>
            </w:r>
            <w:proofErr w:type="spellStart"/>
            <w:r w:rsidRPr="00E70A8B">
              <w:rPr>
                <w:rFonts w:ascii="Arial" w:hAnsi="Arial" w:cs="Arial"/>
                <w:color w:val="000000"/>
                <w:lang w:val="en-GB"/>
              </w:rPr>
              <w:t>GroSeq</w:t>
            </w:r>
            <w:proofErr w:type="spellEnd"/>
          </w:p>
        </w:tc>
        <w:tc>
          <w:tcPr>
            <w:tcW w:w="3250" w:type="dxa"/>
            <w:tcBorders>
              <w:top w:val="single" w:sz="6" w:space="0" w:color="000000"/>
              <w:bottom w:val="single" w:sz="4" w:space="0" w:color="000000"/>
            </w:tcBorders>
            <w:shd w:val="clear" w:color="auto" w:fill="auto"/>
          </w:tcPr>
          <w:p w14:paraId="5448878E" w14:textId="3BEC7413" w:rsidR="00514A54" w:rsidRPr="00E70A8B" w:rsidRDefault="00A80BB8">
            <w:pPr>
              <w:pStyle w:val="TableContents"/>
              <w:rPr>
                <w:rFonts w:ascii="Arial" w:hAnsi="Arial" w:cs="Arial"/>
                <w:lang w:val="en-GB"/>
              </w:rPr>
            </w:pPr>
            <w:bookmarkStart w:id="77" w:name="__DdeLink__524_1354875959"/>
            <w:r w:rsidRPr="00E70A8B">
              <w:rPr>
                <w:rFonts w:ascii="Arial" w:hAnsi="Arial" w:cs="Arial"/>
                <w:color w:val="000000"/>
                <w:lang w:val="en-GB"/>
              </w:rPr>
              <w:t>Predictions through the FOCS pipeline of regulatory associations from global run-on sequencing datasets.</w:t>
            </w:r>
            <w:bookmarkEnd w:id="77"/>
          </w:p>
        </w:tc>
        <w:tc>
          <w:tcPr>
            <w:tcW w:w="2674" w:type="dxa"/>
            <w:tcBorders>
              <w:top w:val="single" w:sz="6" w:space="0" w:color="000000"/>
              <w:bottom w:val="single" w:sz="4" w:space="0" w:color="000000"/>
            </w:tcBorders>
            <w:shd w:val="clear" w:color="auto" w:fill="auto"/>
            <w:vAlign w:val="center"/>
          </w:tcPr>
          <w:p w14:paraId="7D8544B3" w14:textId="77777777" w:rsidR="00514A54" w:rsidRPr="00E70A8B" w:rsidRDefault="00A80BB8">
            <w:pPr>
              <w:pStyle w:val="TableContents"/>
              <w:snapToGrid w:val="0"/>
              <w:rPr>
                <w:rFonts w:ascii="Arial" w:hAnsi="Arial" w:cs="Arial"/>
                <w:color w:val="000000"/>
                <w:lang w:val="en-GB"/>
              </w:rPr>
            </w:pPr>
            <w:r w:rsidRPr="00E70A8B">
              <w:rPr>
                <w:rFonts w:ascii="Arial" w:hAnsi="Arial" w:cs="Arial"/>
                <w:color w:val="000000"/>
                <w:lang w:val="en-GB"/>
              </w:rPr>
              <w:t>21,636,242</w:t>
            </w:r>
          </w:p>
        </w:tc>
        <w:tc>
          <w:tcPr>
            <w:tcW w:w="1665" w:type="dxa"/>
            <w:tcBorders>
              <w:top w:val="single" w:sz="6" w:space="0" w:color="000000"/>
              <w:bottom w:val="single" w:sz="4" w:space="0" w:color="000000"/>
            </w:tcBorders>
            <w:shd w:val="clear" w:color="auto" w:fill="auto"/>
          </w:tcPr>
          <w:p w14:paraId="7CA9795D" w14:textId="4482FA33" w:rsidR="00514A54" w:rsidRPr="00E70A8B" w:rsidRDefault="00A80BB8">
            <w:pPr>
              <w:pStyle w:val="TableContents"/>
              <w:rPr>
                <w:rFonts w:ascii="Arial" w:hAnsi="Arial" w:cs="Arial"/>
              </w:rPr>
            </w:pPr>
            <w:r w:rsidRPr="00E70A8B">
              <w:rPr>
                <w:rFonts w:ascii="Arial" w:hAnsi="Arial" w:cs="Arial"/>
              </w:rPr>
              <w:fldChar w:fldCharType="begin"/>
            </w:r>
            <w:r w:rsidR="004A7EB4">
              <w:rPr>
                <w:rFonts w:ascii="Arial" w:hAnsi="Arial" w:cs="Arial"/>
              </w:rPr>
              <w:instrText xml:space="preserve"> ADDIN ZOTERO_ITEM CSL_CITATION {"citationID":"4coUTPoJ","properties":{"formattedCitation":"[12]","plainCitation":"[12]","noteIndex":0},"citationItems":[{"id":3330,"uris":["http://zotero.org/groups/2472009/items/WHXJEE7D"],"uri":["http://zotero.org/groups/2472009/items/WHXJEE7D"],"itemData":{"id":3330,"type":"article-journal","abstract":"Recent sequencing technologies enable joint quantification of promoters and their enhancer regions, allowing inference of enhancer-promoter links. We show that current enhancer-promoter inference methods produce a high rate of false positive links. We introduce FOCS, a new inference method, and by benchmarking against ChIA-PET, HiChIP, and eQTL data show that it results in lower false discovery rates and at the same time higher inference power. By applying FOCS to 2630 samples taken from ENCODE, Roadmap Epigenomics, FANTOM5, and a new compendium of GRO-seq samples, we provide extensive enhancer-promotor maps ( http://acgt.cs.tau.ac.il/focs ). We illustrate the usability of our maps for deriving biological hypotheses.","container-title":"Genome Biology","DOI":"10.1186/s13059-018-1432-2","ISSN":"1474-760X (Electronic) 1474-7596 (Linking)","issue":"1","page":"56","title":"FOCS: a novel method for analyzing enhancer and gene activity patterns infers an extensive enhancer-promoter map","volume":"19","author":[{"family":"Hait","given":"T. A."},{"family":"Amar","given":"D."},{"family":"Shamir","given":"R."},{"family":"Elkon","given":"R."}],"issued":{"date-parts":[["2018",5,1]]}}}],"schema":"https://github.com/citation-style-language/schema/raw/master/csl-citation.json"} </w:instrText>
            </w:r>
            <w:r w:rsidRPr="00E70A8B">
              <w:rPr>
                <w:rFonts w:ascii="Arial" w:hAnsi="Arial" w:cs="Arial"/>
              </w:rPr>
              <w:fldChar w:fldCharType="separate"/>
            </w:r>
            <w:bookmarkStart w:id="78" w:name="__Fieldmark__865_2281253091"/>
            <w:bookmarkStart w:id="79" w:name="__Fieldmark__816_3451003990"/>
            <w:r w:rsidR="004A7EB4">
              <w:rPr>
                <w:rFonts w:ascii="Arial" w:hAnsi="Arial" w:cs="Arial"/>
                <w:szCs w:val="24"/>
                <w:lang w:val="en-GB"/>
              </w:rPr>
              <w:t>[12]</w:t>
            </w:r>
            <w:r w:rsidRPr="00E70A8B">
              <w:rPr>
                <w:rFonts w:ascii="Arial" w:hAnsi="Arial" w:cs="Arial"/>
              </w:rPr>
              <w:fldChar w:fldCharType="end"/>
            </w:r>
            <w:bookmarkEnd w:id="78"/>
            <w:bookmarkEnd w:id="79"/>
          </w:p>
        </w:tc>
      </w:tr>
      <w:tr w:rsidR="00514A54" w:rsidRPr="00E70A8B" w14:paraId="01598D7D" w14:textId="77777777">
        <w:tc>
          <w:tcPr>
            <w:tcW w:w="2382" w:type="dxa"/>
            <w:tcBorders>
              <w:top w:val="single" w:sz="6" w:space="0" w:color="000000"/>
              <w:bottom w:val="single" w:sz="4" w:space="0" w:color="000000"/>
            </w:tcBorders>
            <w:shd w:val="clear" w:color="auto" w:fill="auto"/>
          </w:tcPr>
          <w:p w14:paraId="3AEE833E" w14:textId="77777777" w:rsidR="00514A54" w:rsidRPr="00E70A8B" w:rsidRDefault="00A80BB8">
            <w:pPr>
              <w:pStyle w:val="TableContents"/>
              <w:rPr>
                <w:rFonts w:ascii="Arial" w:hAnsi="Arial" w:cs="Arial"/>
                <w:lang w:val="en-GB"/>
              </w:rPr>
            </w:pPr>
            <w:r w:rsidRPr="00E70A8B">
              <w:rPr>
                <w:rFonts w:ascii="Arial" w:hAnsi="Arial" w:cs="Arial"/>
                <w:color w:val="000000"/>
                <w:lang w:val="en-GB"/>
              </w:rPr>
              <w:t>FOCS Roadmap</w:t>
            </w:r>
          </w:p>
        </w:tc>
        <w:tc>
          <w:tcPr>
            <w:tcW w:w="3250" w:type="dxa"/>
            <w:tcBorders>
              <w:top w:val="single" w:sz="6" w:space="0" w:color="000000"/>
              <w:bottom w:val="single" w:sz="4" w:space="0" w:color="000000"/>
            </w:tcBorders>
            <w:shd w:val="clear" w:color="auto" w:fill="auto"/>
          </w:tcPr>
          <w:p w14:paraId="6B2DB5E4" w14:textId="77777777" w:rsidR="00514A54" w:rsidRPr="00E70A8B" w:rsidRDefault="00A80BB8">
            <w:pPr>
              <w:pStyle w:val="TableContents"/>
              <w:rPr>
                <w:rFonts w:ascii="Arial" w:hAnsi="Arial" w:cs="Arial"/>
                <w:lang w:val="en-GB"/>
              </w:rPr>
            </w:pPr>
            <w:r w:rsidRPr="00E70A8B">
              <w:rPr>
                <w:rFonts w:ascii="Arial" w:hAnsi="Arial" w:cs="Arial"/>
                <w:color w:val="000000"/>
                <w:lang w:val="en-GB"/>
              </w:rPr>
              <w:t>Predictions through the FOCS pipeline of regulatory associations from DHS datasets from Roadmap Epigenomics.</w:t>
            </w:r>
          </w:p>
        </w:tc>
        <w:tc>
          <w:tcPr>
            <w:tcW w:w="2674" w:type="dxa"/>
            <w:tcBorders>
              <w:top w:val="single" w:sz="6" w:space="0" w:color="000000"/>
              <w:bottom w:val="single" w:sz="4" w:space="0" w:color="000000"/>
            </w:tcBorders>
            <w:shd w:val="clear" w:color="auto" w:fill="auto"/>
            <w:vAlign w:val="center"/>
          </w:tcPr>
          <w:p w14:paraId="53A7D9E6" w14:textId="77777777" w:rsidR="00514A54" w:rsidRPr="00E70A8B" w:rsidRDefault="00A80BB8">
            <w:pPr>
              <w:pStyle w:val="TableContents"/>
              <w:snapToGrid w:val="0"/>
              <w:rPr>
                <w:rFonts w:ascii="Arial" w:hAnsi="Arial" w:cs="Arial"/>
                <w:color w:val="000000"/>
                <w:lang w:val="en-GB"/>
              </w:rPr>
            </w:pPr>
            <w:r w:rsidRPr="00E70A8B">
              <w:rPr>
                <w:rFonts w:ascii="Arial" w:hAnsi="Arial" w:cs="Arial"/>
                <w:color w:val="000000"/>
                <w:lang w:val="en-GB"/>
              </w:rPr>
              <w:t>13,401,492</w:t>
            </w:r>
          </w:p>
        </w:tc>
        <w:tc>
          <w:tcPr>
            <w:tcW w:w="1665" w:type="dxa"/>
            <w:tcBorders>
              <w:top w:val="single" w:sz="6" w:space="0" w:color="000000"/>
              <w:bottom w:val="single" w:sz="4" w:space="0" w:color="000000"/>
            </w:tcBorders>
            <w:shd w:val="clear" w:color="auto" w:fill="auto"/>
          </w:tcPr>
          <w:p w14:paraId="695F1FF3" w14:textId="5F89CE1E" w:rsidR="00514A54" w:rsidRPr="00E70A8B" w:rsidRDefault="00A80BB8">
            <w:pPr>
              <w:pStyle w:val="TableContents"/>
              <w:rPr>
                <w:rFonts w:ascii="Arial" w:hAnsi="Arial" w:cs="Arial"/>
              </w:rPr>
            </w:pPr>
            <w:r w:rsidRPr="00E70A8B">
              <w:rPr>
                <w:rFonts w:ascii="Arial" w:hAnsi="Arial" w:cs="Arial"/>
              </w:rPr>
              <w:fldChar w:fldCharType="begin"/>
            </w:r>
            <w:r w:rsidR="004A7EB4">
              <w:rPr>
                <w:rFonts w:ascii="Arial" w:hAnsi="Arial" w:cs="Arial"/>
              </w:rPr>
              <w:instrText xml:space="preserve"> ADDIN ZOTERO_ITEM CSL_CITATION {"citationID":"jR9wDovX","properties":{"formattedCitation":"[12]","plainCitation":"[12]","noteIndex":0},"citationItems":[{"id":3330,"uris":["http://zotero.org/groups/2472009/items/WHXJEE7D"],"uri":["http://zotero.org/groups/2472009/items/WHXJEE7D"],"itemData":{"id":3330,"type":"article-journal","abstract":"Recent sequencing technologies enable joint quantification of promoters and their enhancer regions, allowing inference of enhancer-promoter links. We show that current enhancer-promoter inference methods produce a high rate of false positive links. We introduce FOCS, a new inference method, and by benchmarking against ChIA-PET, HiChIP, and eQTL data show that it results in lower false discovery rates and at the same time higher inference power. By applying FOCS to 2630 samples taken from ENCODE, Roadmap Epigenomics, FANTOM5, and a new compendium of GRO-seq samples, we provide extensive enhancer-promotor maps ( http://acgt.cs.tau.ac.il/focs ). We illustrate the usability of our maps for deriving biological hypotheses.","container-title":"Genome Biology","DOI":"10.1186/s13059-018-1432-2","ISSN":"1474-760X (Electronic) 1474-7596 (Linking)","issue":"1","page":"56","title":"FOCS: a novel method for analyzing enhancer and gene activity patterns infers an extensive enhancer-promoter map","volume":"19","author":[{"family":"Hait","given":"T. A."},{"family":"Amar","given":"D."},{"family":"Shamir","given":"R."},{"family":"Elkon","given":"R."}],"issued":{"date-parts":[["2018",5,1]]}}}],"schema":"https://github.com/citation-style-language/schema/raw/master/csl-citation.json"} </w:instrText>
            </w:r>
            <w:r w:rsidRPr="00E70A8B">
              <w:rPr>
                <w:rFonts w:ascii="Arial" w:hAnsi="Arial" w:cs="Arial"/>
              </w:rPr>
              <w:fldChar w:fldCharType="separate"/>
            </w:r>
            <w:bookmarkStart w:id="80" w:name="__Fieldmark__875_2281253091"/>
            <w:bookmarkStart w:id="81" w:name="__Fieldmark__824_3451003990"/>
            <w:r w:rsidR="004A7EB4">
              <w:rPr>
                <w:rFonts w:ascii="Arial" w:hAnsi="Arial" w:cs="Arial"/>
                <w:szCs w:val="24"/>
                <w:lang w:val="en-GB"/>
              </w:rPr>
              <w:t>[12]</w:t>
            </w:r>
            <w:r w:rsidRPr="00E70A8B">
              <w:rPr>
                <w:rFonts w:ascii="Arial" w:hAnsi="Arial" w:cs="Arial"/>
              </w:rPr>
              <w:fldChar w:fldCharType="end"/>
            </w:r>
            <w:bookmarkEnd w:id="80"/>
            <w:bookmarkEnd w:id="81"/>
          </w:p>
        </w:tc>
      </w:tr>
    </w:tbl>
    <w:p w14:paraId="6395B093" w14:textId="77777777" w:rsidR="00514A54" w:rsidRPr="00E70A8B" w:rsidRDefault="00514A54">
      <w:pPr>
        <w:suppressAutoHyphens w:val="0"/>
        <w:spacing w:line="480" w:lineRule="auto"/>
        <w:rPr>
          <w:rFonts w:ascii="Arial" w:hAnsi="Arial" w:cs="Arial"/>
          <w:b/>
          <w:sz w:val="22"/>
          <w:szCs w:val="22"/>
          <w:lang w:val="en-GB"/>
        </w:rPr>
      </w:pPr>
    </w:p>
    <w:p w14:paraId="00A3F224" w14:textId="2E8F97BC" w:rsidR="00514A54" w:rsidRPr="002E2719" w:rsidRDefault="007523EE">
      <w:pPr>
        <w:suppressAutoHyphens w:val="0"/>
        <w:spacing w:line="480" w:lineRule="auto"/>
        <w:rPr>
          <w:rFonts w:ascii="Arial" w:hAnsi="Arial" w:cs="Arial"/>
          <w:sz w:val="22"/>
          <w:szCs w:val="22"/>
          <w:lang w:val="en-GB"/>
        </w:rPr>
      </w:pPr>
      <w:r>
        <w:rPr>
          <w:rStyle w:val="TitleChar"/>
          <w:rFonts w:ascii="Arial" w:hAnsi="Arial" w:cs="Arial"/>
          <w:b/>
          <w:sz w:val="22"/>
          <w:szCs w:val="22"/>
          <w:lang w:val="en-GB"/>
        </w:rPr>
        <w:t>Table B</w:t>
      </w:r>
      <w:r w:rsidR="00A80BB8" w:rsidRPr="002E2719">
        <w:rPr>
          <w:rFonts w:ascii="Arial" w:hAnsi="Arial" w:cs="Arial"/>
          <w:b/>
          <w:sz w:val="22"/>
          <w:szCs w:val="22"/>
          <w:lang w:val="en-GB"/>
        </w:rPr>
        <w:t>: Sources of regulatory regions associated to putative target genes used by FINSURF</w:t>
      </w:r>
      <w:r w:rsidR="00A80BB8" w:rsidRPr="002E2719">
        <w:rPr>
          <w:rFonts w:ascii="Arial" w:hAnsi="Arial" w:cs="Arial"/>
          <w:sz w:val="22"/>
          <w:szCs w:val="22"/>
          <w:lang w:val="en-US"/>
        </w:rPr>
        <w:br w:type="page"/>
      </w:r>
    </w:p>
    <w:tbl>
      <w:tblPr>
        <w:tblW w:w="9072"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val="04A0" w:firstRow="1" w:lastRow="0" w:firstColumn="1" w:lastColumn="0" w:noHBand="0" w:noVBand="1"/>
      </w:tblPr>
      <w:tblGrid>
        <w:gridCol w:w="1800"/>
        <w:gridCol w:w="1805"/>
        <w:gridCol w:w="3696"/>
        <w:gridCol w:w="1122"/>
        <w:gridCol w:w="649"/>
      </w:tblGrid>
      <w:tr w:rsidR="00514A54" w:rsidRPr="00E70A8B" w14:paraId="4BDD3A0C" w14:textId="77777777">
        <w:tc>
          <w:tcPr>
            <w:tcW w:w="1814" w:type="dxa"/>
            <w:tcBorders>
              <w:top w:val="single" w:sz="2" w:space="0" w:color="000000"/>
              <w:left w:val="single" w:sz="2" w:space="0" w:color="000000"/>
              <w:bottom w:val="single" w:sz="2" w:space="0" w:color="000000"/>
            </w:tcBorders>
            <w:shd w:val="clear" w:color="auto" w:fill="auto"/>
          </w:tcPr>
          <w:p w14:paraId="2C8CFBE3" w14:textId="77777777" w:rsidR="00514A54" w:rsidRPr="00E70A8B" w:rsidRDefault="00A80BB8">
            <w:pPr>
              <w:pStyle w:val="TableContents"/>
              <w:pageBreakBefore/>
              <w:rPr>
                <w:rFonts w:ascii="Arial" w:hAnsi="Arial" w:cs="Arial"/>
                <w:b/>
                <w:bCs/>
                <w:lang w:val="en-GB"/>
              </w:rPr>
            </w:pPr>
            <w:r w:rsidRPr="00E70A8B">
              <w:rPr>
                <w:rFonts w:ascii="Arial" w:hAnsi="Arial" w:cs="Arial"/>
                <w:b/>
                <w:bCs/>
                <w:lang w:val="en-GB"/>
              </w:rPr>
              <w:lastRenderedPageBreak/>
              <w:t>Name</w:t>
            </w:r>
          </w:p>
        </w:tc>
        <w:tc>
          <w:tcPr>
            <w:tcW w:w="1814" w:type="dxa"/>
            <w:tcBorders>
              <w:top w:val="single" w:sz="2" w:space="0" w:color="000000"/>
              <w:left w:val="single" w:sz="2" w:space="0" w:color="000000"/>
              <w:bottom w:val="single" w:sz="2" w:space="0" w:color="000000"/>
            </w:tcBorders>
            <w:shd w:val="clear" w:color="auto" w:fill="auto"/>
          </w:tcPr>
          <w:p w14:paraId="37A7FEC5" w14:textId="77777777" w:rsidR="00514A54" w:rsidRPr="00E70A8B" w:rsidRDefault="00A80BB8">
            <w:pPr>
              <w:pStyle w:val="TableContents"/>
              <w:rPr>
                <w:rFonts w:ascii="Arial" w:hAnsi="Arial" w:cs="Arial"/>
                <w:b/>
                <w:bCs/>
                <w:lang w:val="en-GB"/>
              </w:rPr>
            </w:pPr>
            <w:r w:rsidRPr="00E70A8B">
              <w:rPr>
                <w:rFonts w:ascii="Arial" w:hAnsi="Arial" w:cs="Arial"/>
                <w:b/>
                <w:bCs/>
                <w:lang w:val="en-GB"/>
              </w:rPr>
              <w:t>Model</w:t>
            </w:r>
          </w:p>
        </w:tc>
        <w:tc>
          <w:tcPr>
            <w:tcW w:w="3747" w:type="dxa"/>
            <w:tcBorders>
              <w:top w:val="single" w:sz="2" w:space="0" w:color="000000"/>
              <w:left w:val="single" w:sz="2" w:space="0" w:color="000000"/>
              <w:bottom w:val="single" w:sz="2" w:space="0" w:color="000000"/>
            </w:tcBorders>
            <w:shd w:val="clear" w:color="auto" w:fill="auto"/>
          </w:tcPr>
          <w:p w14:paraId="42E59F99" w14:textId="77777777" w:rsidR="00514A54" w:rsidRPr="00E70A8B" w:rsidRDefault="00A80BB8">
            <w:pPr>
              <w:pStyle w:val="TableContents"/>
              <w:rPr>
                <w:rFonts w:ascii="Arial" w:hAnsi="Arial" w:cs="Arial"/>
                <w:b/>
                <w:bCs/>
                <w:lang w:val="en-GB"/>
              </w:rPr>
            </w:pPr>
            <w:r w:rsidRPr="00E70A8B">
              <w:rPr>
                <w:rFonts w:ascii="Arial" w:hAnsi="Arial" w:cs="Arial"/>
                <w:b/>
                <w:bCs/>
                <w:lang w:val="en-GB"/>
              </w:rPr>
              <w:t>Training scheme</w:t>
            </w:r>
          </w:p>
        </w:tc>
        <w:tc>
          <w:tcPr>
            <w:tcW w:w="1044" w:type="dxa"/>
            <w:tcBorders>
              <w:top w:val="single" w:sz="2" w:space="0" w:color="000000"/>
              <w:left w:val="single" w:sz="2" w:space="0" w:color="000000"/>
              <w:bottom w:val="single" w:sz="2" w:space="0" w:color="000000"/>
            </w:tcBorders>
            <w:shd w:val="clear" w:color="auto" w:fill="auto"/>
          </w:tcPr>
          <w:p w14:paraId="7E28926F" w14:textId="77777777" w:rsidR="00514A54" w:rsidRPr="00E70A8B" w:rsidRDefault="00A80BB8">
            <w:pPr>
              <w:pStyle w:val="TableContents"/>
              <w:rPr>
                <w:rFonts w:ascii="Arial" w:hAnsi="Arial" w:cs="Arial"/>
                <w:b/>
                <w:bCs/>
                <w:lang w:val="en-GB"/>
              </w:rPr>
            </w:pPr>
            <w:r w:rsidRPr="00E70A8B">
              <w:rPr>
                <w:rFonts w:ascii="Arial" w:hAnsi="Arial" w:cs="Arial"/>
                <w:b/>
                <w:bCs/>
                <w:lang w:val="en-GB"/>
              </w:rPr>
              <w:t>Evaluation</w:t>
            </w:r>
          </w:p>
        </w:tc>
        <w:tc>
          <w:tcPr>
            <w:tcW w:w="653" w:type="dxa"/>
            <w:tcBorders>
              <w:top w:val="single" w:sz="2" w:space="0" w:color="000000"/>
              <w:left w:val="single" w:sz="2" w:space="0" w:color="000000"/>
              <w:bottom w:val="single" w:sz="2" w:space="0" w:color="000000"/>
              <w:right w:val="single" w:sz="2" w:space="0" w:color="000000"/>
            </w:tcBorders>
            <w:shd w:val="clear" w:color="auto" w:fill="auto"/>
          </w:tcPr>
          <w:p w14:paraId="7586B511" w14:textId="77777777" w:rsidR="00514A54" w:rsidRPr="00E70A8B" w:rsidRDefault="00A80BB8">
            <w:pPr>
              <w:pStyle w:val="TableContents"/>
              <w:rPr>
                <w:rFonts w:ascii="Arial" w:hAnsi="Arial" w:cs="Arial"/>
                <w:b/>
                <w:bCs/>
                <w:lang w:val="en-GB"/>
              </w:rPr>
            </w:pPr>
            <w:r w:rsidRPr="00E70A8B">
              <w:rPr>
                <w:rFonts w:ascii="Arial" w:hAnsi="Arial" w:cs="Arial"/>
                <w:b/>
                <w:bCs/>
                <w:lang w:val="en-GB"/>
              </w:rPr>
              <w:t>Ref</w:t>
            </w:r>
          </w:p>
        </w:tc>
      </w:tr>
      <w:tr w:rsidR="00514A54" w:rsidRPr="00E70A8B" w14:paraId="08454B0D" w14:textId="77777777">
        <w:tc>
          <w:tcPr>
            <w:tcW w:w="1814" w:type="dxa"/>
            <w:tcBorders>
              <w:top w:val="single" w:sz="2" w:space="0" w:color="000000"/>
              <w:left w:val="single" w:sz="2" w:space="0" w:color="000000"/>
              <w:bottom w:val="single" w:sz="2" w:space="0" w:color="000000"/>
            </w:tcBorders>
            <w:shd w:val="clear" w:color="auto" w:fill="auto"/>
          </w:tcPr>
          <w:p w14:paraId="0108B55B" w14:textId="77777777" w:rsidR="00514A54" w:rsidRPr="00E70A8B" w:rsidRDefault="00A80BB8">
            <w:pPr>
              <w:pStyle w:val="TableContents"/>
              <w:rPr>
                <w:rFonts w:ascii="Arial" w:hAnsi="Arial" w:cs="Arial"/>
                <w:lang w:val="en-GB"/>
              </w:rPr>
            </w:pPr>
            <w:proofErr w:type="spellStart"/>
            <w:r w:rsidRPr="00E70A8B">
              <w:rPr>
                <w:rFonts w:ascii="Arial" w:hAnsi="Arial" w:cs="Arial"/>
                <w:lang w:val="en-GB"/>
              </w:rPr>
              <w:t>Genomiser</w:t>
            </w:r>
            <w:proofErr w:type="spellEnd"/>
          </w:p>
        </w:tc>
        <w:tc>
          <w:tcPr>
            <w:tcW w:w="1814" w:type="dxa"/>
            <w:tcBorders>
              <w:top w:val="single" w:sz="2" w:space="0" w:color="000000"/>
              <w:left w:val="single" w:sz="2" w:space="0" w:color="000000"/>
              <w:bottom w:val="single" w:sz="2" w:space="0" w:color="000000"/>
            </w:tcBorders>
            <w:shd w:val="clear" w:color="auto" w:fill="auto"/>
          </w:tcPr>
          <w:p w14:paraId="4622131D" w14:textId="77777777" w:rsidR="00514A54" w:rsidRPr="00E70A8B" w:rsidRDefault="00A80BB8">
            <w:pPr>
              <w:pStyle w:val="TableContents"/>
              <w:rPr>
                <w:rFonts w:ascii="Arial" w:hAnsi="Arial" w:cs="Arial"/>
                <w:lang w:val="en-GB"/>
              </w:rPr>
            </w:pPr>
            <w:r w:rsidRPr="00E70A8B">
              <w:rPr>
                <w:rFonts w:ascii="Arial" w:hAnsi="Arial" w:cs="Arial"/>
                <w:lang w:val="en-GB"/>
              </w:rPr>
              <w:t>Supervised classification with an ensemble of random forests.</w:t>
            </w:r>
          </w:p>
        </w:tc>
        <w:tc>
          <w:tcPr>
            <w:tcW w:w="3747" w:type="dxa"/>
            <w:tcBorders>
              <w:top w:val="single" w:sz="2" w:space="0" w:color="000000"/>
              <w:left w:val="single" w:sz="2" w:space="0" w:color="000000"/>
              <w:bottom w:val="single" w:sz="2" w:space="0" w:color="000000"/>
            </w:tcBorders>
            <w:shd w:val="clear" w:color="auto" w:fill="auto"/>
          </w:tcPr>
          <w:p w14:paraId="24441C13" w14:textId="77777777" w:rsidR="00514A54" w:rsidRPr="00E70A8B" w:rsidRDefault="00A80BB8">
            <w:pPr>
              <w:pStyle w:val="TableContents"/>
              <w:rPr>
                <w:rFonts w:ascii="Arial" w:hAnsi="Arial" w:cs="Arial"/>
                <w:lang w:val="en-GB"/>
              </w:rPr>
            </w:pPr>
            <w:r w:rsidRPr="00E70A8B">
              <w:rPr>
                <w:rFonts w:ascii="Arial" w:hAnsi="Arial" w:cs="Arial"/>
                <w:lang w:val="en-GB"/>
              </w:rPr>
              <w:t>Manual curation of a set of functional variants (</w:t>
            </w:r>
            <w:proofErr w:type="gramStart"/>
            <w:r w:rsidRPr="00E70A8B">
              <w:rPr>
                <w:rFonts w:ascii="Arial" w:hAnsi="Arial" w:cs="Arial"/>
                <w:lang w:val="en-GB"/>
              </w:rPr>
              <w:t>note :</w:t>
            </w:r>
            <w:proofErr w:type="gramEnd"/>
            <w:r w:rsidRPr="00E70A8B">
              <w:rPr>
                <w:rFonts w:ascii="Arial" w:hAnsi="Arial" w:cs="Arial"/>
                <w:lang w:val="en-GB"/>
              </w:rPr>
              <w:t xml:space="preserve"> a large part overlaps with HGMD), against nearly fixed human-specific variants identified within the primate lineage, taken as negative controls.</w:t>
            </w:r>
          </w:p>
        </w:tc>
        <w:tc>
          <w:tcPr>
            <w:tcW w:w="1044" w:type="dxa"/>
            <w:tcBorders>
              <w:top w:val="single" w:sz="2" w:space="0" w:color="000000"/>
              <w:left w:val="single" w:sz="2" w:space="0" w:color="000000"/>
              <w:bottom w:val="single" w:sz="2" w:space="0" w:color="000000"/>
            </w:tcBorders>
            <w:shd w:val="clear" w:color="auto" w:fill="auto"/>
          </w:tcPr>
          <w:p w14:paraId="63F5D05A" w14:textId="77777777" w:rsidR="00514A54" w:rsidRPr="00E70A8B" w:rsidRDefault="00514A54">
            <w:pPr>
              <w:pStyle w:val="TableContents"/>
              <w:rPr>
                <w:rFonts w:ascii="Arial" w:hAnsi="Arial" w:cs="Arial"/>
                <w:lang w:val="en-GB"/>
              </w:rPr>
            </w:pPr>
          </w:p>
        </w:tc>
        <w:tc>
          <w:tcPr>
            <w:tcW w:w="653" w:type="dxa"/>
            <w:tcBorders>
              <w:top w:val="single" w:sz="2" w:space="0" w:color="000000"/>
              <w:left w:val="single" w:sz="2" w:space="0" w:color="000000"/>
              <w:bottom w:val="single" w:sz="2" w:space="0" w:color="000000"/>
              <w:right w:val="single" w:sz="2" w:space="0" w:color="000000"/>
            </w:tcBorders>
            <w:shd w:val="clear" w:color="auto" w:fill="auto"/>
          </w:tcPr>
          <w:p w14:paraId="68470986" w14:textId="6DC49369" w:rsidR="00514A54" w:rsidRPr="00E70A8B" w:rsidRDefault="00A80BB8">
            <w:pPr>
              <w:pStyle w:val="TableContents"/>
              <w:rPr>
                <w:rFonts w:ascii="Arial" w:hAnsi="Arial" w:cs="Arial"/>
              </w:rPr>
            </w:pPr>
            <w:r w:rsidRPr="00E70A8B">
              <w:rPr>
                <w:rFonts w:ascii="Arial" w:hAnsi="Arial" w:cs="Arial"/>
              </w:rPr>
              <w:fldChar w:fldCharType="begin"/>
            </w:r>
            <w:r w:rsidR="004A7EB4">
              <w:rPr>
                <w:rFonts w:ascii="Arial" w:hAnsi="Arial" w:cs="Arial"/>
              </w:rPr>
              <w:instrText xml:space="preserve"> ADDIN ZOTERO_ITEM CSL_CITATION {"citationID":"sFfKfLrP","properties":{"formattedCitation":"[14]","plainCitation":"[14]","noteIndex":0},"citationItems":[{"id":3407,"uris":["http://zotero.org/groups/2472009/items/PAQ6I2VJ"],"uri":["http://zotero.org/groups/2472009/items/PAQ6I2VJ"],"itemData":{"id":3407,"type":"article-journal","abstract":"The interpretation of non-coding variants still constitutes a major challenge in the application of whole-genome sequencing in Mendelian disease, especially for single-nucleotide and other small non-coding variants. Here we present Genomiser, an analysis framework that is able not only to score the relevance of variation in the non-coding genome, but also to associate regulatory variants to specific Mendelian diseases. Genomiser scores variants through either existing methods such as CADD or a bespoke machine learning method and combines these with allele frequency, regulatory sequences, chromosomal topological domains, and phenotypic relevance to discover variants associated to specific Mendelian disorders. Overall, Genomiser is able to identify causal regulatory variants as the top candidate in 77% of simulated whole genomes, allowing effective detection and discovery of regulatory variants in Mendelian disease.","container-title":"American Journal of Human Genetics","DOI":"10.1016/j.ajhg.2016.07.005","ISSN":"1537-6605","issue":"3","journalAbbreviation":"Am. J. Hum. Genet.","language":"eng","note":"PMID: 27569544\nPMCID: PMC5011059","page":"595-606","source":"PubMed","title":"A Whole-Genome Analysis Framework for Effective Identification of Pathogenic Regulatory Variants in Mendelian Disease","volume":"99","author":[{"family":"Smedley","given":"Damian"},{"family":"Schubach","given":"Max"},{"family":"Jacobsen","given":"Julius O. B."},{"family":"Köhler","given":"Sebastian"},{"family":"Zemojtel","given":"Tomasz"},{"family":"Spielmann","given":"Malte"},{"family":"Jäger","given":"Marten"},{"family":"Hochheiser","given":"Harry"},{"family":"Washington","given":"Nicole L."},{"family":"McMurry","given":"Julie A."},{"family":"Haendel","given":"Melissa A."},{"family":"Mungall","given":"Christopher J."},{"family":"Lewis","given":"Suzanna E."},{"family":"Groza","given":"Tudor"},{"family":"Valentini","given":"Giorgio"},{"family":"Robinson","given":"Peter N."}],"issued":{"date-parts":[["2016"]],"season":"01"}}}],"schema":"https://github.com/citation-style-language/schema/raw/master/csl-citation.json"} </w:instrText>
            </w:r>
            <w:r w:rsidRPr="00E70A8B">
              <w:rPr>
                <w:rFonts w:ascii="Arial" w:hAnsi="Arial" w:cs="Arial"/>
              </w:rPr>
              <w:fldChar w:fldCharType="separate"/>
            </w:r>
            <w:bookmarkStart w:id="82" w:name="__Fieldmark__963_2281253091"/>
            <w:bookmarkStart w:id="83" w:name="__Fieldmark__915_3451003990"/>
            <w:r w:rsidR="004A7EB4">
              <w:rPr>
                <w:rFonts w:ascii="Arial" w:hAnsi="Arial" w:cs="Arial"/>
                <w:szCs w:val="24"/>
                <w:lang w:val="en-GB"/>
              </w:rPr>
              <w:t>[14]</w:t>
            </w:r>
            <w:r w:rsidRPr="00E70A8B">
              <w:rPr>
                <w:rFonts w:ascii="Arial" w:hAnsi="Arial" w:cs="Arial"/>
              </w:rPr>
              <w:fldChar w:fldCharType="end"/>
            </w:r>
            <w:bookmarkEnd w:id="82"/>
            <w:bookmarkEnd w:id="83"/>
          </w:p>
        </w:tc>
      </w:tr>
      <w:tr w:rsidR="00514A54" w:rsidRPr="00E70A8B" w14:paraId="6BFDD0BB" w14:textId="77777777">
        <w:tc>
          <w:tcPr>
            <w:tcW w:w="1814" w:type="dxa"/>
            <w:tcBorders>
              <w:top w:val="single" w:sz="2" w:space="0" w:color="000000"/>
              <w:left w:val="single" w:sz="2" w:space="0" w:color="000000"/>
              <w:bottom w:val="single" w:sz="2" w:space="0" w:color="000000"/>
            </w:tcBorders>
            <w:shd w:val="clear" w:color="auto" w:fill="auto"/>
          </w:tcPr>
          <w:p w14:paraId="655CDE61" w14:textId="77777777" w:rsidR="00514A54" w:rsidRPr="00E70A8B" w:rsidRDefault="00A80BB8">
            <w:pPr>
              <w:pStyle w:val="TableContents"/>
              <w:rPr>
                <w:rFonts w:ascii="Arial" w:hAnsi="Arial" w:cs="Arial"/>
                <w:lang w:val="en-GB"/>
              </w:rPr>
            </w:pPr>
            <w:proofErr w:type="spellStart"/>
            <w:r w:rsidRPr="00E70A8B">
              <w:rPr>
                <w:rFonts w:ascii="Arial" w:hAnsi="Arial" w:cs="Arial"/>
                <w:lang w:val="en-GB"/>
              </w:rPr>
              <w:t>NCBoost</w:t>
            </w:r>
            <w:proofErr w:type="spellEnd"/>
          </w:p>
        </w:tc>
        <w:tc>
          <w:tcPr>
            <w:tcW w:w="1814" w:type="dxa"/>
            <w:tcBorders>
              <w:top w:val="single" w:sz="2" w:space="0" w:color="000000"/>
              <w:left w:val="single" w:sz="2" w:space="0" w:color="000000"/>
              <w:bottom w:val="single" w:sz="2" w:space="0" w:color="000000"/>
            </w:tcBorders>
            <w:shd w:val="clear" w:color="auto" w:fill="auto"/>
          </w:tcPr>
          <w:p w14:paraId="36CC12F8" w14:textId="77777777" w:rsidR="00514A54" w:rsidRPr="00E70A8B" w:rsidRDefault="00A80BB8">
            <w:pPr>
              <w:pStyle w:val="TableContents"/>
              <w:rPr>
                <w:rFonts w:ascii="Arial" w:hAnsi="Arial" w:cs="Arial"/>
                <w:lang w:val="en-GB"/>
              </w:rPr>
            </w:pPr>
            <w:r w:rsidRPr="00E70A8B">
              <w:rPr>
                <w:rFonts w:ascii="Arial" w:hAnsi="Arial" w:cs="Arial"/>
                <w:lang w:val="en-GB"/>
              </w:rPr>
              <w:t>Supervised classification with gradient-boosting of decision trees (</w:t>
            </w:r>
            <w:proofErr w:type="spellStart"/>
            <w:r w:rsidRPr="00E70A8B">
              <w:rPr>
                <w:rFonts w:ascii="Arial" w:hAnsi="Arial" w:cs="Arial"/>
                <w:lang w:val="en-GB"/>
              </w:rPr>
              <w:t>XGBoost</w:t>
            </w:r>
            <w:proofErr w:type="spellEnd"/>
            <w:r w:rsidRPr="00E70A8B">
              <w:rPr>
                <w:rFonts w:ascii="Arial" w:hAnsi="Arial" w:cs="Arial"/>
                <w:lang w:val="en-GB"/>
              </w:rPr>
              <w:t>).</w:t>
            </w:r>
          </w:p>
        </w:tc>
        <w:tc>
          <w:tcPr>
            <w:tcW w:w="3747" w:type="dxa"/>
            <w:tcBorders>
              <w:top w:val="single" w:sz="2" w:space="0" w:color="000000"/>
              <w:left w:val="single" w:sz="2" w:space="0" w:color="000000"/>
              <w:bottom w:val="single" w:sz="2" w:space="0" w:color="000000"/>
            </w:tcBorders>
            <w:shd w:val="clear" w:color="auto" w:fill="auto"/>
          </w:tcPr>
          <w:p w14:paraId="4E0084DE" w14:textId="77777777" w:rsidR="00514A54" w:rsidRPr="00E70A8B" w:rsidRDefault="00514A54">
            <w:pPr>
              <w:pStyle w:val="TableContents"/>
              <w:rPr>
                <w:rFonts w:ascii="Arial" w:hAnsi="Arial" w:cs="Arial"/>
                <w:lang w:val="en-GB"/>
              </w:rPr>
            </w:pPr>
          </w:p>
        </w:tc>
        <w:tc>
          <w:tcPr>
            <w:tcW w:w="1044" w:type="dxa"/>
            <w:tcBorders>
              <w:top w:val="single" w:sz="2" w:space="0" w:color="000000"/>
              <w:left w:val="single" w:sz="2" w:space="0" w:color="000000"/>
              <w:bottom w:val="single" w:sz="2" w:space="0" w:color="000000"/>
            </w:tcBorders>
            <w:shd w:val="clear" w:color="auto" w:fill="auto"/>
          </w:tcPr>
          <w:p w14:paraId="04F60B26" w14:textId="77777777" w:rsidR="00514A54" w:rsidRPr="00E70A8B" w:rsidRDefault="00514A54">
            <w:pPr>
              <w:pStyle w:val="TableContents"/>
              <w:rPr>
                <w:rFonts w:ascii="Arial" w:hAnsi="Arial" w:cs="Arial"/>
                <w:lang w:val="en-GB"/>
              </w:rPr>
            </w:pPr>
          </w:p>
        </w:tc>
        <w:tc>
          <w:tcPr>
            <w:tcW w:w="653" w:type="dxa"/>
            <w:tcBorders>
              <w:top w:val="single" w:sz="2" w:space="0" w:color="000000"/>
              <w:left w:val="single" w:sz="2" w:space="0" w:color="000000"/>
              <w:bottom w:val="single" w:sz="2" w:space="0" w:color="000000"/>
              <w:right w:val="single" w:sz="2" w:space="0" w:color="000000"/>
            </w:tcBorders>
            <w:shd w:val="clear" w:color="auto" w:fill="auto"/>
          </w:tcPr>
          <w:p w14:paraId="6E1663C1" w14:textId="0B35A20A" w:rsidR="00514A54" w:rsidRPr="00E70A8B" w:rsidRDefault="00A80BB8">
            <w:pPr>
              <w:pStyle w:val="TableContents"/>
              <w:rPr>
                <w:rFonts w:ascii="Arial" w:hAnsi="Arial" w:cs="Arial"/>
              </w:rPr>
            </w:pPr>
            <w:r w:rsidRPr="00E70A8B">
              <w:rPr>
                <w:rFonts w:ascii="Arial" w:hAnsi="Arial" w:cs="Arial"/>
              </w:rPr>
              <w:fldChar w:fldCharType="begin"/>
            </w:r>
            <w:r w:rsidR="004A7EB4">
              <w:rPr>
                <w:rFonts w:ascii="Arial" w:hAnsi="Arial" w:cs="Arial"/>
              </w:rPr>
              <w:instrText xml:space="preserve"> ADDIN ZOTERO_ITEM CSL_CITATION {"citationID":"40aOWwH7","properties":{"formattedCitation":"[15]","plainCitation":"[15]","noteIndex":0},"citationItems":[{"id":3410,"uris":["http://zotero.org/groups/2472009/items/EGW9VZ6H"],"uri":["http://zotero.org/groups/2472009/items/EGW9VZ6H"],"itemData":{"id":3410,"type":"article-journal","abstract":"State-of-the-art methods assessing pathogenic non-coding variants have mostly been characterized on common disease-associated polymorphisms, yet with modest accuracy and strong positional biases. In this study, we curated 737 high-confidence pathogenic non-coding variants associated with monogenic Mendelian diseases. In addition to interspecies conservation, a comprehensive set of recent and ongoing purifying selection signals in humans is explored, accounting for lineage-specific regulatory elements. Supervised learning using gradient tree boosting on such features achieves a high predictive performance and overcomes positional bias. NCBoost performs consistently across diverse learning and independent testing data sets and outperforms other existing reference methods.","container-title":"Genome Biology","DOI":"10.1186/s13059-019-1634-2","ISSN":"1474-760X","issue":"1","journalAbbreviation":"Genome Biol.","language":"eng","note":"PMID: 30744685\nPMCID: PMC6371618","page":"32","source":"PubMed","title":"NCBoost classifies pathogenic non-coding variants in Mendelian diseases through supervised learning on purifying selection signals in humans","volume":"20","author":[{"family":"Caron","given":"Barthélémy"},{"family":"Luo","given":"Yufei"},{"family":"Rausell","given":"Antonio"}],"issued":{"date-parts":[["2019"]],"season":"11"}}}],"schema":"https://github.com/citation-style-language/schema/raw/master/csl-citation.json"} </w:instrText>
            </w:r>
            <w:r w:rsidRPr="00E70A8B">
              <w:rPr>
                <w:rFonts w:ascii="Arial" w:hAnsi="Arial" w:cs="Arial"/>
              </w:rPr>
              <w:fldChar w:fldCharType="separate"/>
            </w:r>
            <w:bookmarkStart w:id="84" w:name="__Fieldmark__972_2281253091"/>
            <w:bookmarkStart w:id="85" w:name="__Fieldmark__924_3451003990"/>
            <w:r w:rsidR="004A7EB4">
              <w:rPr>
                <w:rFonts w:ascii="Arial" w:hAnsi="Arial" w:cs="Arial"/>
                <w:szCs w:val="24"/>
                <w:lang w:val="en-GB"/>
              </w:rPr>
              <w:t>[15]</w:t>
            </w:r>
            <w:r w:rsidRPr="00E70A8B">
              <w:rPr>
                <w:rFonts w:ascii="Arial" w:hAnsi="Arial" w:cs="Arial"/>
              </w:rPr>
              <w:fldChar w:fldCharType="end"/>
            </w:r>
            <w:bookmarkEnd w:id="84"/>
            <w:bookmarkEnd w:id="85"/>
          </w:p>
        </w:tc>
      </w:tr>
      <w:tr w:rsidR="00514A54" w:rsidRPr="00E70A8B" w14:paraId="65096573" w14:textId="77777777">
        <w:tc>
          <w:tcPr>
            <w:tcW w:w="1814" w:type="dxa"/>
            <w:tcBorders>
              <w:top w:val="single" w:sz="2" w:space="0" w:color="000000"/>
              <w:left w:val="single" w:sz="2" w:space="0" w:color="000000"/>
              <w:bottom w:val="single" w:sz="2" w:space="0" w:color="000000"/>
            </w:tcBorders>
            <w:shd w:val="clear" w:color="auto" w:fill="auto"/>
          </w:tcPr>
          <w:p w14:paraId="033D8C40" w14:textId="77777777" w:rsidR="00514A54" w:rsidRPr="00E70A8B" w:rsidRDefault="00A80BB8">
            <w:pPr>
              <w:pStyle w:val="TableContents"/>
              <w:rPr>
                <w:rFonts w:ascii="Arial" w:hAnsi="Arial" w:cs="Arial"/>
                <w:lang w:val="en-GB"/>
              </w:rPr>
            </w:pPr>
            <w:r w:rsidRPr="00E70A8B">
              <w:rPr>
                <w:rFonts w:ascii="Arial" w:hAnsi="Arial" w:cs="Arial"/>
                <w:lang w:val="en-GB"/>
              </w:rPr>
              <w:t>FATHMM-MKL</w:t>
            </w:r>
          </w:p>
        </w:tc>
        <w:tc>
          <w:tcPr>
            <w:tcW w:w="1814" w:type="dxa"/>
            <w:tcBorders>
              <w:top w:val="single" w:sz="2" w:space="0" w:color="000000"/>
              <w:left w:val="single" w:sz="2" w:space="0" w:color="000000"/>
              <w:bottom w:val="single" w:sz="2" w:space="0" w:color="000000"/>
            </w:tcBorders>
            <w:shd w:val="clear" w:color="auto" w:fill="auto"/>
          </w:tcPr>
          <w:p w14:paraId="6B3A1F88" w14:textId="77777777" w:rsidR="00514A54" w:rsidRPr="00E70A8B" w:rsidRDefault="00A80BB8">
            <w:pPr>
              <w:pStyle w:val="TableContents"/>
              <w:rPr>
                <w:rFonts w:ascii="Arial" w:hAnsi="Arial" w:cs="Arial"/>
                <w:lang w:val="en-GB"/>
              </w:rPr>
            </w:pPr>
            <w:r w:rsidRPr="00E70A8B">
              <w:rPr>
                <w:rFonts w:ascii="Arial" w:hAnsi="Arial" w:cs="Arial"/>
                <w:lang w:val="en-GB"/>
              </w:rPr>
              <w:t>Supervised classification with a Support Vector Machine using a Multi-Kernel learning approach.</w:t>
            </w:r>
          </w:p>
        </w:tc>
        <w:tc>
          <w:tcPr>
            <w:tcW w:w="3747" w:type="dxa"/>
            <w:tcBorders>
              <w:top w:val="single" w:sz="2" w:space="0" w:color="000000"/>
              <w:left w:val="single" w:sz="2" w:space="0" w:color="000000"/>
              <w:bottom w:val="single" w:sz="2" w:space="0" w:color="000000"/>
            </w:tcBorders>
            <w:shd w:val="clear" w:color="auto" w:fill="auto"/>
          </w:tcPr>
          <w:p w14:paraId="2FD88BA9" w14:textId="77777777" w:rsidR="00514A54" w:rsidRPr="00E70A8B" w:rsidRDefault="00A80BB8">
            <w:pPr>
              <w:pStyle w:val="TableContents"/>
              <w:rPr>
                <w:rFonts w:ascii="Arial" w:hAnsi="Arial" w:cs="Arial"/>
                <w:lang w:val="en-GB"/>
              </w:rPr>
            </w:pPr>
            <w:r w:rsidRPr="00E70A8B">
              <w:rPr>
                <w:rFonts w:ascii="Arial" w:hAnsi="Arial" w:cs="Arial"/>
                <w:lang w:val="en-GB"/>
              </w:rPr>
              <w:t xml:space="preserve">Positive controls are taken from HGMD. Negative controls are taken from the 1,000 genome </w:t>
            </w:r>
            <w:proofErr w:type="gramStart"/>
            <w:r w:rsidRPr="00E70A8B">
              <w:rPr>
                <w:rFonts w:ascii="Arial" w:hAnsi="Arial" w:cs="Arial"/>
                <w:lang w:val="en-GB"/>
              </w:rPr>
              <w:t>project :</w:t>
            </w:r>
            <w:proofErr w:type="gramEnd"/>
            <w:r w:rsidRPr="00E70A8B">
              <w:rPr>
                <w:rFonts w:ascii="Arial" w:hAnsi="Arial" w:cs="Arial"/>
                <w:lang w:val="en-GB"/>
              </w:rPr>
              <w:t xml:space="preserve"> variants with </w:t>
            </w:r>
            <w:proofErr w:type="spellStart"/>
            <w:r w:rsidRPr="00E70A8B">
              <w:rPr>
                <w:rFonts w:ascii="Arial" w:hAnsi="Arial" w:cs="Arial"/>
                <w:lang w:val="en-GB"/>
              </w:rPr>
              <w:t>mAF</w:t>
            </w:r>
            <w:proofErr w:type="spellEnd"/>
            <w:r w:rsidRPr="00E70A8B">
              <w:rPr>
                <w:rFonts w:ascii="Arial" w:hAnsi="Arial" w:cs="Arial"/>
                <w:lang w:val="en-GB"/>
              </w:rPr>
              <w:t xml:space="preserve">&gt;1 %, at a maximum distance of 1kb of a positive control. </w:t>
            </w:r>
          </w:p>
        </w:tc>
        <w:tc>
          <w:tcPr>
            <w:tcW w:w="1044" w:type="dxa"/>
            <w:tcBorders>
              <w:top w:val="single" w:sz="2" w:space="0" w:color="000000"/>
              <w:left w:val="single" w:sz="2" w:space="0" w:color="000000"/>
              <w:bottom w:val="single" w:sz="2" w:space="0" w:color="000000"/>
            </w:tcBorders>
            <w:shd w:val="clear" w:color="auto" w:fill="auto"/>
          </w:tcPr>
          <w:p w14:paraId="2172A87D" w14:textId="77777777" w:rsidR="00514A54" w:rsidRPr="00E70A8B" w:rsidRDefault="00514A54">
            <w:pPr>
              <w:pStyle w:val="TableContents"/>
              <w:rPr>
                <w:rFonts w:ascii="Arial" w:hAnsi="Arial" w:cs="Arial"/>
                <w:lang w:val="en-GB"/>
              </w:rPr>
            </w:pPr>
          </w:p>
        </w:tc>
        <w:tc>
          <w:tcPr>
            <w:tcW w:w="653" w:type="dxa"/>
            <w:tcBorders>
              <w:top w:val="single" w:sz="2" w:space="0" w:color="000000"/>
              <w:left w:val="single" w:sz="2" w:space="0" w:color="000000"/>
              <w:bottom w:val="single" w:sz="2" w:space="0" w:color="000000"/>
              <w:right w:val="single" w:sz="2" w:space="0" w:color="000000"/>
            </w:tcBorders>
            <w:shd w:val="clear" w:color="auto" w:fill="auto"/>
          </w:tcPr>
          <w:p w14:paraId="46B691EF" w14:textId="0AC30BA9" w:rsidR="00514A54" w:rsidRPr="00E70A8B" w:rsidRDefault="00A80BB8">
            <w:pPr>
              <w:pStyle w:val="TableContents"/>
              <w:rPr>
                <w:rFonts w:ascii="Arial" w:hAnsi="Arial" w:cs="Arial"/>
              </w:rPr>
            </w:pPr>
            <w:r w:rsidRPr="00E70A8B">
              <w:rPr>
                <w:rFonts w:ascii="Arial" w:hAnsi="Arial" w:cs="Arial"/>
              </w:rPr>
              <w:fldChar w:fldCharType="begin"/>
            </w:r>
            <w:r w:rsidR="004A7EB4">
              <w:rPr>
                <w:rFonts w:ascii="Arial" w:hAnsi="Arial" w:cs="Arial"/>
              </w:rPr>
              <w:instrText xml:space="preserve"> ADDIN ZOTERO_ITEM CSL_CITATION {"citationID":"KTVWD1kc","properties":{"formattedCitation":"[16]","plainCitation":"[16]","noteIndex":0},"citationItems":[{"id":5042,"uris":["http://zotero.org/groups/2472009/items/ICYPP6IF"],"uri":["http://zotero.org/groups/2472009/items/ICYPP6IF"],"itemData":{"id":5042,"type":"article-journal","abstract":"Summary\nWe present FATHMM-XF, a method for predicting pathogenic point mutations in the human genome. Drawing on an extensive feature set, FATHMM-XF outperforms competitors on benchmark tests, particularly in non-coding regions where the majority of pathogenic mutations are likely to be found.\n\nAvailability and implementation\nThe FATHMM-XF web server is available at http://fathmm.biocompute.org.uk/fathmm-xf/, and as tracks on the Genome Tolerance Browser: http://gtb.biocompute.org.uk. Predictions are provided for human genome version GRCh37/hg19. The data used for this project can be downloaded from: http://fathmm.biocompute.org.uk/fathmm-xf/\n\nSupplementary information\n\n are available at Bioinformatics online.","container-title":"Bioinformatics","DOI":"10.1093/bioinformatics/btx536","ISSN":"1367-4803","issue":"3","journalAbbreviation":"Bioinformatics","note":"PMID: 28968714\nPMCID: PMC5860356","page":"511-513","source":"PubMed Central","title":"FATHMM-XF: accurate prediction of pathogenic point mutations via extended features","title-short":"FATHMM-XF","volume":"34","author":[{"family":"Rogers","given":"Mark F"},{"family":"Shihab","given":"Hashem A"},{"family":"Mort","given":"Matthew"},{"family":"Cooper","given":"David N"},{"family":"Gaunt","given":"Tom R"},{"family":"Campbell","given":"Colin"}],"issued":{"date-parts":[["2018",2,1]]}}}],"schema":"https://github.com/citation-style-language/schema/raw/master/csl-citation.json"} </w:instrText>
            </w:r>
            <w:r w:rsidRPr="00E70A8B">
              <w:rPr>
                <w:rFonts w:ascii="Arial" w:hAnsi="Arial" w:cs="Arial"/>
              </w:rPr>
              <w:fldChar w:fldCharType="separate"/>
            </w:r>
            <w:bookmarkStart w:id="86" w:name="__Fieldmark__982_2281253091"/>
            <w:bookmarkStart w:id="87" w:name="__Fieldmark__934_3451003990"/>
            <w:r w:rsidR="004A7EB4">
              <w:rPr>
                <w:rFonts w:ascii="Arial" w:hAnsi="Arial" w:cs="Arial"/>
                <w:szCs w:val="24"/>
                <w:lang w:val="en-GB"/>
              </w:rPr>
              <w:t>[16]</w:t>
            </w:r>
            <w:r w:rsidRPr="00E70A8B">
              <w:rPr>
                <w:rFonts w:ascii="Arial" w:hAnsi="Arial" w:cs="Arial"/>
              </w:rPr>
              <w:fldChar w:fldCharType="end"/>
            </w:r>
            <w:bookmarkEnd w:id="86"/>
            <w:bookmarkEnd w:id="87"/>
          </w:p>
        </w:tc>
      </w:tr>
      <w:tr w:rsidR="00514A54" w:rsidRPr="00E70A8B" w14:paraId="1B32D445" w14:textId="77777777">
        <w:tc>
          <w:tcPr>
            <w:tcW w:w="1814" w:type="dxa"/>
            <w:tcBorders>
              <w:top w:val="single" w:sz="2" w:space="0" w:color="000000"/>
              <w:left w:val="single" w:sz="2" w:space="0" w:color="000000"/>
              <w:bottom w:val="single" w:sz="2" w:space="0" w:color="000000"/>
            </w:tcBorders>
            <w:shd w:val="clear" w:color="auto" w:fill="auto"/>
          </w:tcPr>
          <w:p w14:paraId="3485CEA2" w14:textId="77777777" w:rsidR="00514A54" w:rsidRPr="00E70A8B" w:rsidRDefault="00A80BB8">
            <w:pPr>
              <w:pStyle w:val="TableContents"/>
              <w:rPr>
                <w:rFonts w:ascii="Arial" w:hAnsi="Arial" w:cs="Arial"/>
                <w:lang w:val="en-GB"/>
              </w:rPr>
            </w:pPr>
            <w:r w:rsidRPr="00E70A8B">
              <w:rPr>
                <w:rFonts w:ascii="Arial" w:hAnsi="Arial" w:cs="Arial"/>
                <w:lang w:val="en-GB"/>
              </w:rPr>
              <w:t>Eigen</w:t>
            </w:r>
          </w:p>
        </w:tc>
        <w:tc>
          <w:tcPr>
            <w:tcW w:w="1814" w:type="dxa"/>
            <w:tcBorders>
              <w:top w:val="single" w:sz="2" w:space="0" w:color="000000"/>
              <w:left w:val="single" w:sz="2" w:space="0" w:color="000000"/>
              <w:bottom w:val="single" w:sz="2" w:space="0" w:color="000000"/>
            </w:tcBorders>
            <w:shd w:val="clear" w:color="auto" w:fill="auto"/>
          </w:tcPr>
          <w:p w14:paraId="0C54FF3C" w14:textId="77777777" w:rsidR="00514A54" w:rsidRPr="00E70A8B" w:rsidRDefault="00A80BB8">
            <w:pPr>
              <w:pStyle w:val="TableContents"/>
              <w:rPr>
                <w:rFonts w:ascii="Arial" w:hAnsi="Arial" w:cs="Arial"/>
                <w:lang w:val="en-GB"/>
              </w:rPr>
            </w:pPr>
            <w:r w:rsidRPr="00E70A8B">
              <w:rPr>
                <w:rFonts w:ascii="Arial" w:hAnsi="Arial" w:cs="Arial"/>
                <w:lang w:val="en-GB"/>
              </w:rPr>
              <w:t>Unsupervised learning</w:t>
            </w:r>
          </w:p>
        </w:tc>
        <w:tc>
          <w:tcPr>
            <w:tcW w:w="3747" w:type="dxa"/>
            <w:tcBorders>
              <w:top w:val="single" w:sz="2" w:space="0" w:color="000000"/>
              <w:left w:val="single" w:sz="2" w:space="0" w:color="000000"/>
              <w:bottom w:val="single" w:sz="2" w:space="0" w:color="000000"/>
            </w:tcBorders>
            <w:shd w:val="clear" w:color="auto" w:fill="auto"/>
          </w:tcPr>
          <w:p w14:paraId="33D0673B" w14:textId="77777777" w:rsidR="00514A54" w:rsidRPr="00E70A8B" w:rsidRDefault="00514A54">
            <w:pPr>
              <w:pStyle w:val="TableContents"/>
              <w:rPr>
                <w:rFonts w:ascii="Arial" w:hAnsi="Arial" w:cs="Arial"/>
                <w:lang w:val="en-GB"/>
              </w:rPr>
            </w:pPr>
          </w:p>
        </w:tc>
        <w:tc>
          <w:tcPr>
            <w:tcW w:w="1044" w:type="dxa"/>
            <w:tcBorders>
              <w:top w:val="single" w:sz="2" w:space="0" w:color="000000"/>
              <w:left w:val="single" w:sz="2" w:space="0" w:color="000000"/>
              <w:bottom w:val="single" w:sz="2" w:space="0" w:color="000000"/>
            </w:tcBorders>
            <w:shd w:val="clear" w:color="auto" w:fill="auto"/>
          </w:tcPr>
          <w:p w14:paraId="5D151261" w14:textId="77777777" w:rsidR="00514A54" w:rsidRPr="00E70A8B" w:rsidRDefault="00514A54">
            <w:pPr>
              <w:pStyle w:val="TableContents"/>
              <w:rPr>
                <w:rFonts w:ascii="Arial" w:hAnsi="Arial" w:cs="Arial"/>
                <w:lang w:val="en-GB"/>
              </w:rPr>
            </w:pPr>
          </w:p>
        </w:tc>
        <w:tc>
          <w:tcPr>
            <w:tcW w:w="653" w:type="dxa"/>
            <w:tcBorders>
              <w:top w:val="single" w:sz="2" w:space="0" w:color="000000"/>
              <w:left w:val="single" w:sz="2" w:space="0" w:color="000000"/>
              <w:bottom w:val="single" w:sz="2" w:space="0" w:color="000000"/>
              <w:right w:val="single" w:sz="2" w:space="0" w:color="000000"/>
            </w:tcBorders>
            <w:shd w:val="clear" w:color="auto" w:fill="auto"/>
          </w:tcPr>
          <w:p w14:paraId="0C6F0C2D" w14:textId="1A618439" w:rsidR="00514A54" w:rsidRPr="00E70A8B" w:rsidRDefault="00A80BB8">
            <w:pPr>
              <w:pStyle w:val="TableContents"/>
              <w:rPr>
                <w:rFonts w:ascii="Arial" w:hAnsi="Arial" w:cs="Arial"/>
              </w:rPr>
            </w:pPr>
            <w:r w:rsidRPr="00E70A8B">
              <w:rPr>
                <w:rFonts w:ascii="Arial" w:hAnsi="Arial" w:cs="Arial"/>
              </w:rPr>
              <w:fldChar w:fldCharType="begin"/>
            </w:r>
            <w:r w:rsidR="004A7EB4">
              <w:rPr>
                <w:rFonts w:ascii="Arial" w:hAnsi="Arial" w:cs="Arial"/>
              </w:rPr>
              <w:instrText xml:space="preserve"> ADDIN ZOTERO_ITEM CSL_CITATION {"citationID":"ZdSp3yro","properties":{"formattedCitation":"[17]","plainCitation":"[17]","noteIndex":0},"citationItems":[{"id":5045,"uris":["http://zotero.org/groups/2472009/items/QNLBDAUW"],"uri":["http://zotero.org/groups/2472009/items/QNLBDAUW"],"itemData":{"id":5045,"type":"article-journal","abstract":"Iuliana Ionita-Laza, Kenneth McCallum and colleagues developed an unsupervised statistical approach, Eigen, that integrates different functional annotations into a single measure of functional importance for coding and noncoding variants. Their meta-score can outperform the recently proposed CADD score and can be applied to fine-mapping studies.","container-title":"Nature Genetics","DOI":"10.1038/ng.3477","ISSN":"1546-1718","issue":"2","language":"en","note":"number: 2\npublisher: Nature Publishing Group","page":"214-220","source":"www-nature-com.insb.bib.cnrs.fr","title":"A spectral approach integrating functional genomic annotations for coding and noncoding variants","volume":"48","author":[{"family":"Ionita-Laza","given":"Iuliana"},{"family":"McCallum","given":"Kenneth"},{"family":"Xu","given":"Bin"},{"family":"Buxbaum","given":"Joseph D."}],"issued":{"date-parts":[["2016",2]]}}}],"schema":"https://github.com/citation-style-language/schema/raw/master/csl-citation.json"} </w:instrText>
            </w:r>
            <w:r w:rsidRPr="00E70A8B">
              <w:rPr>
                <w:rFonts w:ascii="Arial" w:hAnsi="Arial" w:cs="Arial"/>
              </w:rPr>
              <w:fldChar w:fldCharType="separate"/>
            </w:r>
            <w:bookmarkStart w:id="88" w:name="__Fieldmark__991_2281253091"/>
            <w:bookmarkStart w:id="89" w:name="__Fieldmark__941_3451003990"/>
            <w:r w:rsidR="004A7EB4">
              <w:rPr>
                <w:rFonts w:ascii="Arial" w:hAnsi="Arial" w:cs="Arial"/>
                <w:szCs w:val="24"/>
                <w:lang w:val="en-GB"/>
              </w:rPr>
              <w:t>[17]</w:t>
            </w:r>
            <w:r w:rsidRPr="00E70A8B">
              <w:rPr>
                <w:rFonts w:ascii="Arial" w:hAnsi="Arial" w:cs="Arial"/>
              </w:rPr>
              <w:fldChar w:fldCharType="end"/>
            </w:r>
            <w:bookmarkEnd w:id="88"/>
            <w:bookmarkEnd w:id="89"/>
          </w:p>
        </w:tc>
      </w:tr>
      <w:tr w:rsidR="00514A54" w:rsidRPr="00E70A8B" w14:paraId="6328F310" w14:textId="77777777">
        <w:tc>
          <w:tcPr>
            <w:tcW w:w="1814" w:type="dxa"/>
            <w:tcBorders>
              <w:top w:val="single" w:sz="2" w:space="0" w:color="000000"/>
              <w:left w:val="single" w:sz="2" w:space="0" w:color="000000"/>
              <w:bottom w:val="single" w:sz="2" w:space="0" w:color="000000"/>
            </w:tcBorders>
            <w:shd w:val="clear" w:color="auto" w:fill="auto"/>
          </w:tcPr>
          <w:p w14:paraId="08061E35" w14:textId="77777777" w:rsidR="00514A54" w:rsidRPr="00E70A8B" w:rsidRDefault="00A80BB8">
            <w:pPr>
              <w:pStyle w:val="TableContents"/>
              <w:rPr>
                <w:rFonts w:ascii="Arial" w:hAnsi="Arial" w:cs="Arial"/>
                <w:lang w:val="en-GB"/>
              </w:rPr>
            </w:pPr>
            <w:proofErr w:type="spellStart"/>
            <w:r w:rsidRPr="00E70A8B">
              <w:rPr>
                <w:rFonts w:ascii="Arial" w:hAnsi="Arial" w:cs="Arial"/>
                <w:lang w:val="en-GB"/>
              </w:rPr>
              <w:t>Linsight</w:t>
            </w:r>
            <w:proofErr w:type="spellEnd"/>
          </w:p>
        </w:tc>
        <w:tc>
          <w:tcPr>
            <w:tcW w:w="1814" w:type="dxa"/>
            <w:tcBorders>
              <w:top w:val="single" w:sz="2" w:space="0" w:color="000000"/>
              <w:left w:val="single" w:sz="2" w:space="0" w:color="000000"/>
              <w:bottom w:val="single" w:sz="2" w:space="0" w:color="000000"/>
            </w:tcBorders>
            <w:shd w:val="clear" w:color="auto" w:fill="auto"/>
          </w:tcPr>
          <w:p w14:paraId="6DC18123" w14:textId="77777777" w:rsidR="00514A54" w:rsidRPr="00E70A8B" w:rsidRDefault="00514A54">
            <w:pPr>
              <w:pStyle w:val="TableContents"/>
              <w:rPr>
                <w:rFonts w:ascii="Arial" w:hAnsi="Arial" w:cs="Arial"/>
                <w:lang w:val="en-GB"/>
              </w:rPr>
            </w:pPr>
          </w:p>
        </w:tc>
        <w:tc>
          <w:tcPr>
            <w:tcW w:w="3747" w:type="dxa"/>
            <w:tcBorders>
              <w:top w:val="single" w:sz="2" w:space="0" w:color="000000"/>
              <w:left w:val="single" w:sz="2" w:space="0" w:color="000000"/>
              <w:bottom w:val="single" w:sz="2" w:space="0" w:color="000000"/>
            </w:tcBorders>
            <w:shd w:val="clear" w:color="auto" w:fill="auto"/>
          </w:tcPr>
          <w:p w14:paraId="33840A29" w14:textId="77777777" w:rsidR="00514A54" w:rsidRPr="00E70A8B" w:rsidRDefault="00514A54">
            <w:pPr>
              <w:pStyle w:val="TableContents"/>
              <w:rPr>
                <w:rFonts w:ascii="Arial" w:hAnsi="Arial" w:cs="Arial"/>
                <w:lang w:val="en-GB"/>
              </w:rPr>
            </w:pPr>
          </w:p>
        </w:tc>
        <w:tc>
          <w:tcPr>
            <w:tcW w:w="1044" w:type="dxa"/>
            <w:tcBorders>
              <w:top w:val="single" w:sz="2" w:space="0" w:color="000000"/>
              <w:left w:val="single" w:sz="2" w:space="0" w:color="000000"/>
              <w:bottom w:val="single" w:sz="2" w:space="0" w:color="000000"/>
            </w:tcBorders>
            <w:shd w:val="clear" w:color="auto" w:fill="auto"/>
          </w:tcPr>
          <w:p w14:paraId="6B8696D7" w14:textId="77777777" w:rsidR="00514A54" w:rsidRPr="00E70A8B" w:rsidRDefault="00514A54">
            <w:pPr>
              <w:pStyle w:val="TableContents"/>
              <w:rPr>
                <w:rFonts w:ascii="Arial" w:hAnsi="Arial" w:cs="Arial"/>
                <w:lang w:val="en-GB"/>
              </w:rPr>
            </w:pPr>
          </w:p>
        </w:tc>
        <w:tc>
          <w:tcPr>
            <w:tcW w:w="653" w:type="dxa"/>
            <w:tcBorders>
              <w:top w:val="single" w:sz="2" w:space="0" w:color="000000"/>
              <w:left w:val="single" w:sz="2" w:space="0" w:color="000000"/>
              <w:bottom w:val="single" w:sz="2" w:space="0" w:color="000000"/>
              <w:right w:val="single" w:sz="2" w:space="0" w:color="000000"/>
            </w:tcBorders>
            <w:shd w:val="clear" w:color="auto" w:fill="auto"/>
          </w:tcPr>
          <w:p w14:paraId="2555AF0B" w14:textId="4A318A14" w:rsidR="00514A54" w:rsidRPr="00E70A8B" w:rsidRDefault="00A80BB8">
            <w:pPr>
              <w:pStyle w:val="TableContents"/>
              <w:rPr>
                <w:rFonts w:ascii="Arial" w:hAnsi="Arial" w:cs="Arial"/>
              </w:rPr>
            </w:pPr>
            <w:r w:rsidRPr="00E70A8B">
              <w:rPr>
                <w:rFonts w:ascii="Arial" w:hAnsi="Arial" w:cs="Arial"/>
              </w:rPr>
              <w:fldChar w:fldCharType="begin"/>
            </w:r>
            <w:r w:rsidR="004A7EB4">
              <w:rPr>
                <w:rFonts w:ascii="Arial" w:hAnsi="Arial" w:cs="Arial"/>
              </w:rPr>
              <w:instrText xml:space="preserve"> ADDIN ZOTERO_ITEM CSL_CITATION {"citationID":"bKE6rPO2","properties":{"formattedCitation":"[18]","plainCitation":"[18]","noteIndex":0},"citationItems":[{"id":5048,"uris":["http://zotero.org/groups/2472009/items/J6ECWMZ5"],"uri":["http://zotero.org/groups/2472009/items/J6ECWMZ5"],"itemData":{"id":5048,"type":"article-journal","abstract":"Many genetic variants that influence phenotypes of interest are located outside of protein-coding genes, yet existing methods for identifying such variants have poor predictive power. Here, we introduce a new computational method, called LINSIGHT, that substantially improves the prediction of noncoding nucleotide sites at which mutations are likely to have deleterious fitness consequences, and which therefore are likely to be phenotypically important. LINSIGHT combines a generalized linear model for functional genomic data with a probabilistic model of molecular evolution. The method is fast and highly scalable, enabling it to exploit the “Big Data” available in modern genomics. We show that LINSIGHT outperforms the best available methods in identifying human noncoding variants associated with inherited diseases. In addition, we apply LINSIGHT to an atlas of human enhancers and show that the fitness consequences at enhancers depend on cell type, tissue specificity, and constraints at associated promoters.","container-title":"Nature genetics","DOI":"10.1038/ng.3810","ISSN":"1061-4036","issue":"4","journalAbbreviation":"Nat Genet","note":"PMID: 28288115\nPMCID: PMC5395419","page":"618-624","source":"PubMed Central","title":"Fast, scalable prediction of deleterious noncoding variants from functional and population genomic data","volume":"49","author":[{"family":"Huang","given":"Yi-Fei"},{"family":"Gulko","given":"Brad"},{"family":"Siepel","given":"Adam"}],"issued":{"date-parts":[["2017",4]]}}}],"schema":"https://github.com/citation-style-language/schema/raw/master/csl-citation.json"} </w:instrText>
            </w:r>
            <w:r w:rsidRPr="00E70A8B">
              <w:rPr>
                <w:rFonts w:ascii="Arial" w:hAnsi="Arial" w:cs="Arial"/>
              </w:rPr>
              <w:fldChar w:fldCharType="separate"/>
            </w:r>
            <w:bookmarkStart w:id="90" w:name="__Fieldmark__999_2281253091"/>
            <w:bookmarkStart w:id="91" w:name="__Fieldmark__947_3451003990"/>
            <w:r w:rsidR="004A7EB4">
              <w:rPr>
                <w:rFonts w:ascii="Arial" w:hAnsi="Arial" w:cs="Arial"/>
                <w:szCs w:val="24"/>
                <w:lang w:val="en-GB"/>
              </w:rPr>
              <w:t>[18]</w:t>
            </w:r>
            <w:r w:rsidRPr="00E70A8B">
              <w:rPr>
                <w:rFonts w:ascii="Arial" w:hAnsi="Arial" w:cs="Arial"/>
              </w:rPr>
              <w:fldChar w:fldCharType="end"/>
            </w:r>
            <w:bookmarkEnd w:id="90"/>
            <w:bookmarkEnd w:id="91"/>
          </w:p>
        </w:tc>
      </w:tr>
      <w:tr w:rsidR="00514A54" w:rsidRPr="00E70A8B" w14:paraId="7671A553" w14:textId="77777777">
        <w:tc>
          <w:tcPr>
            <w:tcW w:w="1814" w:type="dxa"/>
            <w:tcBorders>
              <w:top w:val="single" w:sz="2" w:space="0" w:color="000000"/>
              <w:left w:val="single" w:sz="2" w:space="0" w:color="000000"/>
              <w:bottom w:val="single" w:sz="2" w:space="0" w:color="000000"/>
            </w:tcBorders>
            <w:shd w:val="clear" w:color="auto" w:fill="auto"/>
          </w:tcPr>
          <w:p w14:paraId="3501A440" w14:textId="77777777" w:rsidR="00514A54" w:rsidRPr="00E70A8B" w:rsidRDefault="00A80BB8">
            <w:pPr>
              <w:pStyle w:val="TableContents"/>
              <w:rPr>
                <w:rFonts w:ascii="Arial" w:hAnsi="Arial" w:cs="Arial"/>
                <w:lang w:val="en-GB"/>
              </w:rPr>
            </w:pPr>
            <w:proofErr w:type="spellStart"/>
            <w:r w:rsidRPr="00E70A8B">
              <w:rPr>
                <w:rFonts w:ascii="Arial" w:hAnsi="Arial" w:cs="Arial"/>
                <w:lang w:val="en-GB"/>
              </w:rPr>
              <w:t>FitCons</w:t>
            </w:r>
            <w:proofErr w:type="spellEnd"/>
          </w:p>
        </w:tc>
        <w:tc>
          <w:tcPr>
            <w:tcW w:w="1814" w:type="dxa"/>
            <w:tcBorders>
              <w:top w:val="single" w:sz="2" w:space="0" w:color="000000"/>
              <w:left w:val="single" w:sz="2" w:space="0" w:color="000000"/>
              <w:bottom w:val="single" w:sz="2" w:space="0" w:color="000000"/>
            </w:tcBorders>
            <w:shd w:val="clear" w:color="auto" w:fill="auto"/>
          </w:tcPr>
          <w:p w14:paraId="1B06F342" w14:textId="77777777" w:rsidR="00514A54" w:rsidRPr="00E70A8B" w:rsidRDefault="00A80BB8">
            <w:pPr>
              <w:pStyle w:val="TableContents"/>
              <w:rPr>
                <w:rFonts w:ascii="Arial" w:hAnsi="Arial" w:cs="Arial"/>
                <w:lang w:val="en-GB"/>
              </w:rPr>
            </w:pPr>
            <w:r w:rsidRPr="00E70A8B">
              <w:rPr>
                <w:rFonts w:ascii="Arial" w:hAnsi="Arial" w:cs="Arial"/>
                <w:lang w:val="en-GB"/>
              </w:rPr>
              <w:t>Evaluation of sequence-constraint at base-level within different genomic regions identified from biochemical features.</w:t>
            </w:r>
          </w:p>
        </w:tc>
        <w:tc>
          <w:tcPr>
            <w:tcW w:w="3747" w:type="dxa"/>
            <w:tcBorders>
              <w:top w:val="single" w:sz="2" w:space="0" w:color="000000"/>
              <w:left w:val="single" w:sz="2" w:space="0" w:color="000000"/>
              <w:bottom w:val="single" w:sz="2" w:space="0" w:color="000000"/>
            </w:tcBorders>
            <w:shd w:val="clear" w:color="auto" w:fill="auto"/>
          </w:tcPr>
          <w:p w14:paraId="74AEF3CE" w14:textId="77777777" w:rsidR="00514A54" w:rsidRPr="00E70A8B" w:rsidRDefault="00514A54">
            <w:pPr>
              <w:pStyle w:val="TableContents"/>
              <w:rPr>
                <w:rFonts w:ascii="Arial" w:hAnsi="Arial" w:cs="Arial"/>
                <w:lang w:val="en-GB"/>
              </w:rPr>
            </w:pPr>
          </w:p>
        </w:tc>
        <w:tc>
          <w:tcPr>
            <w:tcW w:w="1044" w:type="dxa"/>
            <w:tcBorders>
              <w:top w:val="single" w:sz="2" w:space="0" w:color="000000"/>
              <w:left w:val="single" w:sz="2" w:space="0" w:color="000000"/>
              <w:bottom w:val="single" w:sz="2" w:space="0" w:color="000000"/>
            </w:tcBorders>
            <w:shd w:val="clear" w:color="auto" w:fill="auto"/>
          </w:tcPr>
          <w:p w14:paraId="76CC14F4" w14:textId="77777777" w:rsidR="00514A54" w:rsidRPr="00E70A8B" w:rsidRDefault="00514A54">
            <w:pPr>
              <w:pStyle w:val="TableContents"/>
              <w:rPr>
                <w:rFonts w:ascii="Arial" w:hAnsi="Arial" w:cs="Arial"/>
                <w:lang w:val="en-GB"/>
              </w:rPr>
            </w:pPr>
          </w:p>
        </w:tc>
        <w:tc>
          <w:tcPr>
            <w:tcW w:w="653" w:type="dxa"/>
            <w:tcBorders>
              <w:top w:val="single" w:sz="2" w:space="0" w:color="000000"/>
              <w:left w:val="single" w:sz="2" w:space="0" w:color="000000"/>
              <w:bottom w:val="single" w:sz="2" w:space="0" w:color="000000"/>
              <w:right w:val="single" w:sz="2" w:space="0" w:color="000000"/>
            </w:tcBorders>
            <w:shd w:val="clear" w:color="auto" w:fill="auto"/>
          </w:tcPr>
          <w:p w14:paraId="0E4CBCDF" w14:textId="371AE19B" w:rsidR="00514A54" w:rsidRPr="00E70A8B" w:rsidRDefault="00A80BB8">
            <w:pPr>
              <w:pStyle w:val="TableContents"/>
              <w:rPr>
                <w:rFonts w:ascii="Arial" w:hAnsi="Arial" w:cs="Arial"/>
              </w:rPr>
            </w:pPr>
            <w:r w:rsidRPr="00E70A8B">
              <w:rPr>
                <w:rFonts w:ascii="Arial" w:hAnsi="Arial" w:cs="Arial"/>
              </w:rPr>
              <w:fldChar w:fldCharType="begin"/>
            </w:r>
            <w:r w:rsidR="004A7EB4">
              <w:rPr>
                <w:rFonts w:ascii="Arial" w:hAnsi="Arial" w:cs="Arial"/>
              </w:rPr>
              <w:instrText xml:space="preserve"> ADDIN ZOTERO_ITEM CSL_CITATION {"citationID":"CTAUI3pj","properties":{"formattedCitation":"[19]","plainCitation":"[19]","noteIndex":0},"citationItems":[{"id":5051,"uris":["http://zotero.org/groups/2472009/items/P478JU2G"],"uri":["http://zotero.org/groups/2472009/items/P478JU2G"],"itemData":{"id":5051,"type":"article-journal","abstract":"We describe a new computational method for estimating the probability that a point mutation at each position in a genome will influence fitness. These 'fitness consequence' (fitCons) scores serve as evolution-based measures of potential genomic function. Our approach is to cluster genomic positions into groups exhibiting distinct 'fingerprints' on the basis of high-throughput functional genomic data, then to estimate a probability of fitness consequences for each group from associated patterns of genetic polymorphism and divergence. We have generated fitCons scores for three human cell types on the basis of public data from ENCODE. In comparison with conventional conservation scores, fitCons scores show considerably improved prediction power for cis regulatory elements. In addition, fitCons scores indicate that 4.2-7.5% of nucleotides in the human genome have influenced fitness since the human-chimpanzee divergence, and they suggest that recent evolutionary turnover has had limited impact on the functional content of the genome.","container-title":"Nature Genetics","DOI":"10.1038/ng.3196","ISSN":"1546-1718","issue":"3","journalAbbreviation":"Nat Genet","language":"eng","note":"PMID: 25599402\nPMCID: PMC4342276","page":"276-283","source":"PubMed","title":"A method for calculating probabilities of fitness consequences for point mutations across the human genome","volume":"47","author":[{"family":"Gulko","given":"Brad"},{"family":"Hubisz","given":"Melissa J."},{"family":"Gronau","given":"Ilan"},{"family":"Siepel","given":"Adam"}],"issued":{"date-parts":[["2015",3]]}}}],"schema":"https://github.com/citation-style-language/schema/raw/master/csl-citation.json"} </w:instrText>
            </w:r>
            <w:r w:rsidRPr="00E70A8B">
              <w:rPr>
                <w:rFonts w:ascii="Arial" w:hAnsi="Arial" w:cs="Arial"/>
              </w:rPr>
              <w:fldChar w:fldCharType="separate"/>
            </w:r>
            <w:bookmarkStart w:id="92" w:name="__Fieldmark__1008_2281253091"/>
            <w:bookmarkStart w:id="93" w:name="__Fieldmark__954_3451003990"/>
            <w:r w:rsidR="004A7EB4">
              <w:rPr>
                <w:rFonts w:ascii="Arial" w:hAnsi="Arial" w:cs="Arial"/>
                <w:szCs w:val="24"/>
                <w:lang w:val="en-GB"/>
              </w:rPr>
              <w:t>[19]</w:t>
            </w:r>
            <w:r w:rsidRPr="00E70A8B">
              <w:rPr>
                <w:rFonts w:ascii="Arial" w:hAnsi="Arial" w:cs="Arial"/>
              </w:rPr>
              <w:fldChar w:fldCharType="end"/>
            </w:r>
            <w:bookmarkEnd w:id="92"/>
            <w:bookmarkEnd w:id="93"/>
          </w:p>
          <w:p w14:paraId="30F65D9A" w14:textId="77777777" w:rsidR="00514A54" w:rsidRPr="00E70A8B" w:rsidRDefault="00514A54">
            <w:pPr>
              <w:pStyle w:val="TableContents"/>
              <w:rPr>
                <w:rFonts w:ascii="Arial" w:hAnsi="Arial" w:cs="Arial"/>
                <w:lang w:val="en-GB"/>
              </w:rPr>
            </w:pPr>
          </w:p>
        </w:tc>
      </w:tr>
      <w:tr w:rsidR="00514A54" w:rsidRPr="00E70A8B" w14:paraId="2CB16E87" w14:textId="77777777">
        <w:tc>
          <w:tcPr>
            <w:tcW w:w="1814" w:type="dxa"/>
            <w:tcBorders>
              <w:top w:val="single" w:sz="2" w:space="0" w:color="000000"/>
              <w:left w:val="single" w:sz="2" w:space="0" w:color="000000"/>
              <w:bottom w:val="single" w:sz="2" w:space="0" w:color="000000"/>
            </w:tcBorders>
            <w:shd w:val="clear" w:color="auto" w:fill="auto"/>
          </w:tcPr>
          <w:p w14:paraId="00E04CD4" w14:textId="77777777" w:rsidR="00514A54" w:rsidRPr="00E70A8B" w:rsidRDefault="00A80BB8">
            <w:pPr>
              <w:pStyle w:val="TableContents"/>
              <w:rPr>
                <w:rFonts w:ascii="Arial" w:hAnsi="Arial" w:cs="Arial"/>
                <w:lang w:val="en-GB"/>
              </w:rPr>
            </w:pPr>
            <w:r w:rsidRPr="00E70A8B">
              <w:rPr>
                <w:rFonts w:ascii="Arial" w:hAnsi="Arial" w:cs="Arial"/>
                <w:lang w:val="en-GB"/>
              </w:rPr>
              <w:t>CADD</w:t>
            </w:r>
          </w:p>
        </w:tc>
        <w:tc>
          <w:tcPr>
            <w:tcW w:w="1814" w:type="dxa"/>
            <w:tcBorders>
              <w:top w:val="single" w:sz="2" w:space="0" w:color="000000"/>
              <w:left w:val="single" w:sz="2" w:space="0" w:color="000000"/>
              <w:bottom w:val="single" w:sz="2" w:space="0" w:color="000000"/>
            </w:tcBorders>
            <w:shd w:val="clear" w:color="auto" w:fill="auto"/>
          </w:tcPr>
          <w:p w14:paraId="37F0153E" w14:textId="77777777" w:rsidR="00514A54" w:rsidRPr="00E70A8B" w:rsidRDefault="00A80BB8">
            <w:pPr>
              <w:pStyle w:val="TableContents"/>
              <w:rPr>
                <w:rFonts w:ascii="Arial" w:hAnsi="Arial" w:cs="Arial"/>
                <w:lang w:val="en-GB"/>
              </w:rPr>
            </w:pPr>
            <w:r w:rsidRPr="00E70A8B">
              <w:rPr>
                <w:rFonts w:ascii="Arial" w:hAnsi="Arial" w:cs="Arial"/>
                <w:lang w:val="en-GB"/>
              </w:rPr>
              <w:t>Supervised classification with a Support Vector Machine using a linear kernel.</w:t>
            </w:r>
          </w:p>
        </w:tc>
        <w:tc>
          <w:tcPr>
            <w:tcW w:w="3747" w:type="dxa"/>
            <w:tcBorders>
              <w:top w:val="single" w:sz="2" w:space="0" w:color="000000"/>
              <w:left w:val="single" w:sz="2" w:space="0" w:color="000000"/>
              <w:bottom w:val="single" w:sz="2" w:space="0" w:color="000000"/>
            </w:tcBorders>
            <w:shd w:val="clear" w:color="auto" w:fill="auto"/>
          </w:tcPr>
          <w:p w14:paraId="106BB628" w14:textId="77777777" w:rsidR="00514A54" w:rsidRPr="00E70A8B" w:rsidRDefault="00514A54">
            <w:pPr>
              <w:pStyle w:val="TableContents"/>
              <w:rPr>
                <w:rFonts w:ascii="Arial" w:hAnsi="Arial" w:cs="Arial"/>
                <w:lang w:val="en-GB"/>
              </w:rPr>
            </w:pPr>
          </w:p>
        </w:tc>
        <w:tc>
          <w:tcPr>
            <w:tcW w:w="1044" w:type="dxa"/>
            <w:tcBorders>
              <w:top w:val="single" w:sz="2" w:space="0" w:color="000000"/>
              <w:left w:val="single" w:sz="2" w:space="0" w:color="000000"/>
              <w:bottom w:val="single" w:sz="2" w:space="0" w:color="000000"/>
            </w:tcBorders>
            <w:shd w:val="clear" w:color="auto" w:fill="auto"/>
          </w:tcPr>
          <w:p w14:paraId="0F37D82D" w14:textId="77777777" w:rsidR="00514A54" w:rsidRPr="00E70A8B" w:rsidRDefault="00514A54">
            <w:pPr>
              <w:pStyle w:val="TableContents"/>
              <w:rPr>
                <w:rFonts w:ascii="Arial" w:hAnsi="Arial" w:cs="Arial"/>
                <w:lang w:val="en-GB"/>
              </w:rPr>
            </w:pPr>
          </w:p>
        </w:tc>
        <w:tc>
          <w:tcPr>
            <w:tcW w:w="653" w:type="dxa"/>
            <w:tcBorders>
              <w:top w:val="single" w:sz="2" w:space="0" w:color="000000"/>
              <w:left w:val="single" w:sz="2" w:space="0" w:color="000000"/>
              <w:bottom w:val="single" w:sz="2" w:space="0" w:color="000000"/>
              <w:right w:val="single" w:sz="2" w:space="0" w:color="000000"/>
            </w:tcBorders>
            <w:shd w:val="clear" w:color="auto" w:fill="auto"/>
          </w:tcPr>
          <w:p w14:paraId="6C6D004D" w14:textId="3BB79597" w:rsidR="00514A54" w:rsidRPr="00E70A8B" w:rsidRDefault="00A80BB8">
            <w:pPr>
              <w:pStyle w:val="TableContents"/>
              <w:rPr>
                <w:rFonts w:ascii="Arial" w:hAnsi="Arial" w:cs="Arial"/>
              </w:rPr>
            </w:pPr>
            <w:r w:rsidRPr="00E70A8B">
              <w:rPr>
                <w:rFonts w:ascii="Arial" w:hAnsi="Arial" w:cs="Arial"/>
              </w:rPr>
              <w:fldChar w:fldCharType="begin"/>
            </w:r>
            <w:r w:rsidR="004A7EB4">
              <w:rPr>
                <w:rFonts w:ascii="Arial" w:hAnsi="Arial" w:cs="Arial"/>
              </w:rPr>
              <w:instrText xml:space="preserve"> ADDIN ZOTERO_ITEM CSL_CITATION {"citationID":"AJyCBxT3","properties":{"formattedCitation":"[20]","plainCitation":"[20]","noteIndex":0},"citationItems":[{"id":5023,"uris":["http://zotero.org/groups/2472009/items/VTB33CFN"],"uri":["http://zotero.org/groups/2472009/items/VTB33CFN"],"itemData":{"id":5023,"type":"article-journal","abstract":"Jay Shendure, Greg Cooper and colleagues report a framework for annotation of genetic variation, Combined Annotation–Dependent Depletion (CADD), integrating diverse annotations into a single C score. They show that C scores correlate with annotations of functionality, pathogenicity and experimentally measured regulatory effects.","container-title":"Nature Genetics","DOI":"10.1038/ng.2892","ISSN":"1546-1718","issue":"3","language":"en","note":"number: 3\npublisher: Nature Publishing Group","page":"310-315","source":"www-nature-com.insb.bib.cnrs.fr","title":"A general framework for estimating the relative pathogenicity of human genetic variants","volume":"46","author":[{"family":"Kircher","given":"Martin"},{"family":"Witten","given":"Daniela M."},{"family":"Jain","given":"Preti"},{"family":"O'Roak","given":"Brian J."},{"family":"Cooper","given":"Gregory M."},{"family":"Shendure","given":"Jay"}],"issued":{"date-parts":[["2014",3]]}}}],"schema":"https://github.com/citation-style-language/schema/raw/master/csl-citation.json"} </w:instrText>
            </w:r>
            <w:r w:rsidRPr="00E70A8B">
              <w:rPr>
                <w:rFonts w:ascii="Arial" w:hAnsi="Arial" w:cs="Arial"/>
              </w:rPr>
              <w:fldChar w:fldCharType="separate"/>
            </w:r>
            <w:bookmarkStart w:id="94" w:name="__Fieldmark__1017_2281253091"/>
            <w:bookmarkStart w:id="95" w:name="__Fieldmark__961_3451003990"/>
            <w:r w:rsidR="004A7EB4">
              <w:rPr>
                <w:rFonts w:ascii="Arial" w:hAnsi="Arial" w:cs="Arial"/>
                <w:szCs w:val="24"/>
                <w:lang w:val="en-GB"/>
              </w:rPr>
              <w:t>[20]</w:t>
            </w:r>
            <w:r w:rsidRPr="00E70A8B">
              <w:rPr>
                <w:rFonts w:ascii="Arial" w:hAnsi="Arial" w:cs="Arial"/>
              </w:rPr>
              <w:fldChar w:fldCharType="end"/>
            </w:r>
            <w:bookmarkEnd w:id="94"/>
            <w:bookmarkEnd w:id="95"/>
          </w:p>
        </w:tc>
      </w:tr>
    </w:tbl>
    <w:p w14:paraId="2DEA01E4" w14:textId="454A701C" w:rsidR="00514A54" w:rsidRPr="00E70A8B" w:rsidRDefault="007523EE">
      <w:pPr>
        <w:suppressAutoHyphens w:val="0"/>
        <w:spacing w:line="480" w:lineRule="auto"/>
        <w:rPr>
          <w:rFonts w:ascii="Arial" w:hAnsi="Arial" w:cs="Arial"/>
          <w:b/>
          <w:sz w:val="22"/>
          <w:szCs w:val="22"/>
          <w:lang w:val="en-GB"/>
        </w:rPr>
      </w:pPr>
      <w:r>
        <w:rPr>
          <w:rStyle w:val="TitleChar"/>
          <w:rFonts w:ascii="Arial" w:hAnsi="Arial" w:cs="Arial"/>
          <w:b/>
          <w:sz w:val="22"/>
          <w:szCs w:val="22"/>
          <w:lang w:val="en-GB"/>
        </w:rPr>
        <w:t>Table C</w:t>
      </w:r>
      <w:r w:rsidR="00A80BB8" w:rsidRPr="00E70A8B">
        <w:rPr>
          <w:rFonts w:ascii="Arial" w:hAnsi="Arial" w:cs="Arial"/>
          <w:b/>
          <w:lang w:val="en-GB"/>
        </w:rPr>
        <w:t>: Variant scoring methods compared to FINSURF</w:t>
      </w:r>
    </w:p>
    <w:p w14:paraId="0557614C" w14:textId="77777777" w:rsidR="00514A54" w:rsidRPr="00E70A8B" w:rsidRDefault="00514A54">
      <w:pPr>
        <w:rPr>
          <w:rFonts w:ascii="Arial" w:hAnsi="Arial" w:cs="Arial"/>
          <w:lang w:val="en-GB"/>
        </w:rPr>
      </w:pPr>
    </w:p>
    <w:p w14:paraId="043C4F72" w14:textId="77777777" w:rsidR="00514A54" w:rsidRPr="00E70A8B" w:rsidRDefault="00514A54">
      <w:pPr>
        <w:rPr>
          <w:rFonts w:ascii="Arial" w:hAnsi="Arial" w:cs="Arial"/>
          <w:lang w:val="en-GB"/>
        </w:rPr>
      </w:pPr>
    </w:p>
    <w:p w14:paraId="18C069AF" w14:textId="77777777" w:rsidR="00514A54" w:rsidRPr="00E70A8B" w:rsidRDefault="00514A54">
      <w:pPr>
        <w:rPr>
          <w:rFonts w:ascii="Arial" w:hAnsi="Arial" w:cs="Arial"/>
          <w:lang w:val="en-GB"/>
        </w:rPr>
      </w:pPr>
    </w:p>
    <w:p w14:paraId="28A32AEE" w14:textId="77777777" w:rsidR="00514A54" w:rsidRPr="00E70A8B" w:rsidRDefault="00514A54">
      <w:pPr>
        <w:rPr>
          <w:rFonts w:ascii="Arial" w:hAnsi="Arial" w:cs="Arial"/>
          <w:lang w:val="en-GB"/>
        </w:rPr>
      </w:pPr>
    </w:p>
    <w:p w14:paraId="16B2A376" w14:textId="77777777" w:rsidR="00514A54" w:rsidRPr="00E70A8B" w:rsidRDefault="00514A54">
      <w:pPr>
        <w:rPr>
          <w:rFonts w:ascii="Arial" w:hAnsi="Arial" w:cs="Arial"/>
          <w:lang w:val="en-GB"/>
        </w:rPr>
      </w:pPr>
    </w:p>
    <w:p w14:paraId="5E35A5C8" w14:textId="77777777" w:rsidR="00514A54" w:rsidRPr="00E70A8B" w:rsidRDefault="00514A54">
      <w:pPr>
        <w:rPr>
          <w:rFonts w:ascii="Arial" w:hAnsi="Arial" w:cs="Arial"/>
          <w:lang w:val="en-GB"/>
        </w:rPr>
      </w:pPr>
    </w:p>
    <w:p w14:paraId="4B25C12C" w14:textId="77777777" w:rsidR="00514A54" w:rsidRPr="00E70A8B" w:rsidRDefault="00514A54">
      <w:pPr>
        <w:rPr>
          <w:rFonts w:ascii="Arial" w:hAnsi="Arial" w:cs="Arial"/>
          <w:lang w:val="en-GB"/>
        </w:rPr>
      </w:pPr>
    </w:p>
    <w:p w14:paraId="027094D2" w14:textId="77777777" w:rsidR="00514A54" w:rsidRPr="00E70A8B" w:rsidRDefault="00514A54">
      <w:pPr>
        <w:rPr>
          <w:rFonts w:ascii="Arial" w:hAnsi="Arial" w:cs="Arial"/>
          <w:lang w:val="en-GB"/>
        </w:rPr>
      </w:pPr>
    </w:p>
    <w:p w14:paraId="3409FBFB" w14:textId="77777777" w:rsidR="00514A54" w:rsidRPr="00E70A8B" w:rsidRDefault="00514A54">
      <w:pPr>
        <w:rPr>
          <w:rFonts w:ascii="Arial" w:hAnsi="Arial" w:cs="Arial"/>
          <w:lang w:val="en-GB"/>
        </w:rPr>
      </w:pPr>
    </w:p>
    <w:p w14:paraId="7E148ECB" w14:textId="77777777" w:rsidR="00514A54" w:rsidRPr="00E70A8B" w:rsidRDefault="00514A54">
      <w:pPr>
        <w:rPr>
          <w:rFonts w:ascii="Arial" w:hAnsi="Arial" w:cs="Arial"/>
          <w:lang w:val="en-GB"/>
        </w:rPr>
      </w:pPr>
    </w:p>
    <w:p w14:paraId="75B704F1" w14:textId="77777777" w:rsidR="00514A54" w:rsidRPr="00E70A8B" w:rsidRDefault="00514A54">
      <w:pPr>
        <w:rPr>
          <w:rFonts w:ascii="Arial" w:hAnsi="Arial" w:cs="Arial"/>
          <w:lang w:val="en-GB"/>
        </w:rPr>
      </w:pPr>
    </w:p>
    <w:p w14:paraId="094593DB" w14:textId="77777777" w:rsidR="00514A54" w:rsidRPr="00E70A8B" w:rsidRDefault="00514A54">
      <w:pPr>
        <w:rPr>
          <w:rFonts w:ascii="Arial" w:hAnsi="Arial" w:cs="Arial"/>
          <w:lang w:val="en-GB"/>
        </w:rPr>
      </w:pPr>
    </w:p>
    <w:p w14:paraId="4D45E73D" w14:textId="77777777" w:rsidR="00514A54" w:rsidRPr="00E70A8B" w:rsidRDefault="00514A54">
      <w:pPr>
        <w:rPr>
          <w:rFonts w:ascii="Arial" w:hAnsi="Arial" w:cs="Arial"/>
          <w:lang w:val="en-GB"/>
        </w:rPr>
      </w:pPr>
    </w:p>
    <w:p w14:paraId="0DC4EF39" w14:textId="77777777" w:rsidR="00514A54" w:rsidRPr="00E70A8B" w:rsidRDefault="00514A54">
      <w:pPr>
        <w:rPr>
          <w:rFonts w:ascii="Arial" w:hAnsi="Arial" w:cs="Arial"/>
          <w:lang w:val="en-GB"/>
        </w:rPr>
      </w:pPr>
    </w:p>
    <w:p w14:paraId="571A0BF0" w14:textId="77777777" w:rsidR="00514A54" w:rsidRPr="00E70A8B" w:rsidRDefault="00514A54">
      <w:pPr>
        <w:rPr>
          <w:rFonts w:ascii="Arial" w:hAnsi="Arial" w:cs="Arial"/>
          <w:lang w:val="en-GB"/>
        </w:rPr>
      </w:pPr>
    </w:p>
    <w:p w14:paraId="1D48D2CD" w14:textId="77777777" w:rsidR="00514A54" w:rsidRPr="00E70A8B" w:rsidRDefault="00514A54">
      <w:pPr>
        <w:rPr>
          <w:rFonts w:ascii="Arial" w:hAnsi="Arial" w:cs="Arial"/>
          <w:lang w:val="en-GB"/>
        </w:rPr>
      </w:pPr>
    </w:p>
    <w:p w14:paraId="0DCBC96F" w14:textId="77777777" w:rsidR="00514A54" w:rsidRPr="00E70A8B" w:rsidRDefault="00514A54">
      <w:pPr>
        <w:rPr>
          <w:rFonts w:ascii="Arial" w:hAnsi="Arial" w:cs="Arial"/>
          <w:lang w:val="en-GB"/>
        </w:rPr>
      </w:pPr>
    </w:p>
    <w:p w14:paraId="5DFB5B53" w14:textId="77777777" w:rsidR="00514A54" w:rsidRPr="00E70A8B" w:rsidRDefault="00514A54">
      <w:pPr>
        <w:rPr>
          <w:rFonts w:ascii="Arial" w:hAnsi="Arial" w:cs="Arial"/>
          <w:lang w:val="en-GB"/>
        </w:rPr>
      </w:pPr>
    </w:p>
    <w:p w14:paraId="0EEB5B3E" w14:textId="77777777" w:rsidR="00514A54" w:rsidRPr="00E70A8B" w:rsidRDefault="00514A54">
      <w:pPr>
        <w:rPr>
          <w:rFonts w:ascii="Arial" w:hAnsi="Arial" w:cs="Arial"/>
          <w:lang w:val="en-GB"/>
        </w:rPr>
      </w:pPr>
    </w:p>
    <w:p w14:paraId="76181610" w14:textId="77777777" w:rsidR="00514A54" w:rsidRPr="00E70A8B" w:rsidRDefault="00514A54">
      <w:pPr>
        <w:rPr>
          <w:rFonts w:ascii="Arial" w:hAnsi="Arial" w:cs="Arial"/>
          <w:lang w:val="en-GB"/>
        </w:rPr>
      </w:pPr>
    </w:p>
    <w:p w14:paraId="15135B07" w14:textId="77777777" w:rsidR="00514A54" w:rsidRPr="00E70A8B" w:rsidRDefault="00514A54">
      <w:pPr>
        <w:rPr>
          <w:rFonts w:ascii="Arial" w:hAnsi="Arial" w:cs="Arial"/>
          <w:lang w:val="en-GB"/>
        </w:rPr>
      </w:pPr>
    </w:p>
    <w:p w14:paraId="2297CEB9" w14:textId="77777777" w:rsidR="00514A54" w:rsidRPr="00E70A8B" w:rsidRDefault="00514A54">
      <w:pPr>
        <w:rPr>
          <w:rFonts w:ascii="Arial" w:hAnsi="Arial" w:cs="Arial"/>
          <w:lang w:val="en-GB"/>
        </w:rPr>
      </w:pPr>
    </w:p>
    <w:p w14:paraId="34E24502" w14:textId="77777777" w:rsidR="00514A54" w:rsidRPr="00E70A8B" w:rsidRDefault="00514A54">
      <w:pPr>
        <w:rPr>
          <w:rFonts w:ascii="Arial" w:hAnsi="Arial" w:cs="Arial"/>
          <w:lang w:val="en-GB"/>
        </w:rPr>
      </w:pPr>
    </w:p>
    <w:p w14:paraId="677E213C" w14:textId="5C703533" w:rsidR="00514A54" w:rsidRPr="00E70A8B" w:rsidRDefault="00A80BB8">
      <w:pPr>
        <w:rPr>
          <w:rFonts w:ascii="Arial" w:hAnsi="Arial" w:cs="Arial"/>
          <w:lang w:val="en-GB"/>
        </w:rPr>
      </w:pPr>
      <w:r w:rsidRPr="00E70A8B">
        <w:rPr>
          <w:rFonts w:ascii="Arial" w:hAnsi="Arial" w:cs="Arial"/>
          <w:noProof/>
          <w:lang w:val="en-GB"/>
        </w:rPr>
        <w:drawing>
          <wp:anchor distT="0" distB="0" distL="114300" distR="114300" simplePos="0" relativeHeight="3" behindDoc="0" locked="0" layoutInCell="1" allowOverlap="1" wp14:anchorId="5B9005E1" wp14:editId="3F3E6C18">
            <wp:simplePos x="0" y="0"/>
            <wp:positionH relativeFrom="column">
              <wp:posOffset>0</wp:posOffset>
            </wp:positionH>
            <wp:positionV relativeFrom="paragraph">
              <wp:posOffset>635</wp:posOffset>
            </wp:positionV>
            <wp:extent cx="5763895" cy="5869940"/>
            <wp:effectExtent l="0" t="0" r="0" b="0"/>
            <wp:wrapNone/>
            <wp:docPr id="1" name="Image 4" descr="Macintosh HD:Users:hrc:ownCloud:FINSURF_paper:figures:supp_figures:001_FINSURF-CV_negativeCtrls-selection-schematic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 descr="Macintosh HD:Users:hrc:ownCloud:FINSURF_paper:figures:supp_figures:001_FINSURF-CV_negativeCtrls-selection-schematics.pdf"/>
                    <pic:cNvPicPr>
                      <a:picLocks noChangeAspect="1" noChangeArrowheads="1"/>
                    </pic:cNvPicPr>
                  </pic:nvPicPr>
                  <pic:blipFill>
                    <a:blip r:embed="rId6"/>
                    <a:stretch>
                      <a:fillRect/>
                    </a:stretch>
                  </pic:blipFill>
                  <pic:spPr bwMode="auto">
                    <a:xfrm>
                      <a:off x="0" y="0"/>
                      <a:ext cx="5763895" cy="5869940"/>
                    </a:xfrm>
                    <a:prstGeom prst="rect">
                      <a:avLst/>
                    </a:prstGeom>
                  </pic:spPr>
                </pic:pic>
              </a:graphicData>
            </a:graphic>
          </wp:anchor>
        </w:drawing>
      </w:r>
    </w:p>
    <w:p w14:paraId="6CCDEDE2" w14:textId="77777777" w:rsidR="00514A54" w:rsidRPr="00E70A8B" w:rsidRDefault="00514A54">
      <w:pPr>
        <w:rPr>
          <w:rFonts w:ascii="Arial" w:hAnsi="Arial" w:cs="Arial"/>
          <w:lang w:val="en-GB"/>
        </w:rPr>
      </w:pPr>
    </w:p>
    <w:p w14:paraId="332BF74E" w14:textId="77777777" w:rsidR="00514A54" w:rsidRPr="00E70A8B" w:rsidRDefault="00514A54">
      <w:pPr>
        <w:rPr>
          <w:rFonts w:ascii="Arial" w:hAnsi="Arial" w:cs="Arial"/>
          <w:lang w:val="en-GB"/>
        </w:rPr>
      </w:pPr>
    </w:p>
    <w:p w14:paraId="38BB3D15" w14:textId="77777777" w:rsidR="00514A54" w:rsidRPr="00E70A8B" w:rsidRDefault="00514A54">
      <w:pPr>
        <w:rPr>
          <w:rFonts w:ascii="Arial" w:hAnsi="Arial" w:cs="Arial"/>
          <w:lang w:val="en-GB"/>
        </w:rPr>
      </w:pPr>
    </w:p>
    <w:p w14:paraId="02232EFE" w14:textId="77777777" w:rsidR="00514A54" w:rsidRPr="00E70A8B" w:rsidRDefault="00514A54">
      <w:pPr>
        <w:rPr>
          <w:rFonts w:ascii="Arial" w:hAnsi="Arial" w:cs="Arial"/>
          <w:lang w:val="en-GB"/>
        </w:rPr>
      </w:pPr>
    </w:p>
    <w:p w14:paraId="1ACE6A04" w14:textId="77777777" w:rsidR="00514A54" w:rsidRPr="00E70A8B" w:rsidRDefault="00514A54">
      <w:pPr>
        <w:rPr>
          <w:rFonts w:ascii="Arial" w:hAnsi="Arial" w:cs="Arial"/>
          <w:lang w:val="en-GB"/>
        </w:rPr>
      </w:pPr>
    </w:p>
    <w:p w14:paraId="7BC5E794" w14:textId="77777777" w:rsidR="00514A54" w:rsidRPr="00E70A8B" w:rsidRDefault="00514A54">
      <w:pPr>
        <w:rPr>
          <w:rFonts w:ascii="Arial" w:hAnsi="Arial" w:cs="Arial"/>
          <w:lang w:val="en-GB"/>
        </w:rPr>
      </w:pPr>
    </w:p>
    <w:p w14:paraId="72521E96" w14:textId="77777777" w:rsidR="00514A54" w:rsidRPr="00E70A8B" w:rsidRDefault="00514A54">
      <w:pPr>
        <w:rPr>
          <w:rFonts w:ascii="Arial" w:hAnsi="Arial" w:cs="Arial"/>
          <w:lang w:val="en-GB"/>
        </w:rPr>
      </w:pPr>
    </w:p>
    <w:p w14:paraId="536C4A37" w14:textId="77777777" w:rsidR="00514A54" w:rsidRPr="00E70A8B" w:rsidRDefault="00514A54">
      <w:pPr>
        <w:rPr>
          <w:rFonts w:ascii="Arial" w:hAnsi="Arial" w:cs="Arial"/>
          <w:lang w:val="en-GB"/>
        </w:rPr>
      </w:pPr>
    </w:p>
    <w:p w14:paraId="7C680535" w14:textId="77777777" w:rsidR="00514A54" w:rsidRPr="00E70A8B" w:rsidRDefault="00514A54">
      <w:pPr>
        <w:rPr>
          <w:rFonts w:ascii="Arial" w:hAnsi="Arial" w:cs="Arial"/>
          <w:lang w:val="en-GB"/>
        </w:rPr>
      </w:pPr>
    </w:p>
    <w:p w14:paraId="3D9CAB4E" w14:textId="77777777" w:rsidR="00514A54" w:rsidRPr="00E70A8B" w:rsidRDefault="00514A54">
      <w:pPr>
        <w:rPr>
          <w:rFonts w:ascii="Arial" w:hAnsi="Arial" w:cs="Arial"/>
          <w:lang w:val="en-GB"/>
        </w:rPr>
      </w:pPr>
    </w:p>
    <w:p w14:paraId="3E649C4A" w14:textId="77777777" w:rsidR="00514A54" w:rsidRPr="00E70A8B" w:rsidRDefault="00514A54">
      <w:pPr>
        <w:rPr>
          <w:rFonts w:ascii="Arial" w:hAnsi="Arial" w:cs="Arial"/>
          <w:lang w:val="en-GB"/>
        </w:rPr>
      </w:pPr>
    </w:p>
    <w:p w14:paraId="34CC8B44" w14:textId="77777777" w:rsidR="00514A54" w:rsidRPr="00E70A8B" w:rsidRDefault="00514A54">
      <w:pPr>
        <w:rPr>
          <w:rFonts w:ascii="Arial" w:hAnsi="Arial" w:cs="Arial"/>
          <w:lang w:val="en-GB"/>
        </w:rPr>
      </w:pPr>
    </w:p>
    <w:p w14:paraId="26077504" w14:textId="77777777" w:rsidR="00514A54" w:rsidRPr="00E70A8B" w:rsidRDefault="00514A54">
      <w:pPr>
        <w:rPr>
          <w:rFonts w:ascii="Arial" w:hAnsi="Arial" w:cs="Arial"/>
          <w:lang w:val="en-GB"/>
        </w:rPr>
      </w:pPr>
    </w:p>
    <w:p w14:paraId="0720CE9B" w14:textId="77777777" w:rsidR="00514A54" w:rsidRPr="00E70A8B" w:rsidRDefault="00514A54">
      <w:pPr>
        <w:rPr>
          <w:rFonts w:ascii="Arial" w:hAnsi="Arial" w:cs="Arial"/>
          <w:lang w:val="en-GB"/>
        </w:rPr>
      </w:pPr>
    </w:p>
    <w:p w14:paraId="10A2D3F9" w14:textId="77777777" w:rsidR="00514A54" w:rsidRPr="00E70A8B" w:rsidRDefault="00514A54">
      <w:pPr>
        <w:rPr>
          <w:rFonts w:ascii="Arial" w:hAnsi="Arial" w:cs="Arial"/>
          <w:lang w:val="en-GB"/>
        </w:rPr>
      </w:pPr>
    </w:p>
    <w:p w14:paraId="51AAABC2" w14:textId="77777777" w:rsidR="00514A54" w:rsidRPr="00E70A8B" w:rsidRDefault="00514A54">
      <w:pPr>
        <w:rPr>
          <w:rFonts w:ascii="Arial" w:hAnsi="Arial" w:cs="Arial"/>
          <w:lang w:val="en-GB"/>
        </w:rPr>
      </w:pPr>
    </w:p>
    <w:p w14:paraId="1B8C0313" w14:textId="77777777" w:rsidR="00514A54" w:rsidRPr="00E70A8B" w:rsidRDefault="00514A54">
      <w:pPr>
        <w:rPr>
          <w:rFonts w:ascii="Arial" w:hAnsi="Arial" w:cs="Arial"/>
          <w:lang w:val="en-GB"/>
        </w:rPr>
      </w:pPr>
    </w:p>
    <w:p w14:paraId="655EC252" w14:textId="77777777" w:rsidR="00514A54" w:rsidRPr="00E70A8B" w:rsidRDefault="00514A54">
      <w:pPr>
        <w:rPr>
          <w:rFonts w:ascii="Arial" w:hAnsi="Arial" w:cs="Arial"/>
          <w:lang w:val="en-GB"/>
        </w:rPr>
      </w:pPr>
    </w:p>
    <w:p w14:paraId="7F51BC7F" w14:textId="77777777" w:rsidR="00514A54" w:rsidRPr="00E70A8B" w:rsidRDefault="00514A54">
      <w:pPr>
        <w:rPr>
          <w:rFonts w:ascii="Arial" w:hAnsi="Arial" w:cs="Arial"/>
          <w:lang w:val="en-GB"/>
        </w:rPr>
      </w:pPr>
    </w:p>
    <w:p w14:paraId="7DB945E0" w14:textId="77777777" w:rsidR="00514A54" w:rsidRPr="00E70A8B" w:rsidRDefault="00514A54">
      <w:pPr>
        <w:rPr>
          <w:rFonts w:ascii="Arial" w:hAnsi="Arial" w:cs="Arial"/>
          <w:lang w:val="en-GB"/>
        </w:rPr>
      </w:pPr>
    </w:p>
    <w:p w14:paraId="47BA9863" w14:textId="77777777" w:rsidR="00514A54" w:rsidRPr="00E70A8B" w:rsidRDefault="00514A54">
      <w:pPr>
        <w:rPr>
          <w:rFonts w:ascii="Arial" w:hAnsi="Arial" w:cs="Arial"/>
          <w:lang w:val="en-GB"/>
        </w:rPr>
      </w:pPr>
    </w:p>
    <w:p w14:paraId="5C74EB19" w14:textId="77777777" w:rsidR="00514A54" w:rsidRPr="00E70A8B" w:rsidRDefault="00514A54">
      <w:pPr>
        <w:rPr>
          <w:rFonts w:ascii="Arial" w:hAnsi="Arial" w:cs="Arial"/>
          <w:lang w:val="en-GB"/>
        </w:rPr>
      </w:pPr>
    </w:p>
    <w:p w14:paraId="0C6C15D2" w14:textId="77777777" w:rsidR="00514A54" w:rsidRPr="00E70A8B" w:rsidRDefault="00514A54">
      <w:pPr>
        <w:rPr>
          <w:rFonts w:ascii="Arial" w:hAnsi="Arial" w:cs="Arial"/>
          <w:lang w:val="en-GB"/>
        </w:rPr>
      </w:pPr>
    </w:p>
    <w:p w14:paraId="298DD6CF" w14:textId="77777777" w:rsidR="00514A54" w:rsidRPr="00E70A8B" w:rsidRDefault="00514A54">
      <w:pPr>
        <w:rPr>
          <w:rFonts w:ascii="Arial" w:hAnsi="Arial" w:cs="Arial"/>
          <w:lang w:val="en-GB"/>
        </w:rPr>
      </w:pPr>
    </w:p>
    <w:p w14:paraId="41767B8C" w14:textId="77777777" w:rsidR="00514A54" w:rsidRPr="00E70A8B" w:rsidRDefault="00514A54">
      <w:pPr>
        <w:rPr>
          <w:rFonts w:ascii="Arial" w:hAnsi="Arial" w:cs="Arial"/>
          <w:lang w:val="en-GB"/>
        </w:rPr>
      </w:pPr>
    </w:p>
    <w:p w14:paraId="796E741C" w14:textId="77777777" w:rsidR="00514A54" w:rsidRPr="00E70A8B" w:rsidRDefault="00514A54">
      <w:pPr>
        <w:rPr>
          <w:rFonts w:ascii="Arial" w:hAnsi="Arial" w:cs="Arial"/>
          <w:lang w:val="en-GB"/>
        </w:rPr>
      </w:pPr>
    </w:p>
    <w:p w14:paraId="1D69569A" w14:textId="77777777" w:rsidR="00514A54" w:rsidRPr="00E70A8B" w:rsidRDefault="00514A54">
      <w:pPr>
        <w:rPr>
          <w:rFonts w:ascii="Arial" w:hAnsi="Arial" w:cs="Arial"/>
          <w:lang w:val="en-GB"/>
        </w:rPr>
      </w:pPr>
    </w:p>
    <w:p w14:paraId="6D2C124E" w14:textId="77777777" w:rsidR="00514A54" w:rsidRPr="00E70A8B" w:rsidRDefault="00514A54">
      <w:pPr>
        <w:rPr>
          <w:rFonts w:ascii="Arial" w:hAnsi="Arial" w:cs="Arial"/>
          <w:lang w:val="en-GB"/>
        </w:rPr>
      </w:pPr>
    </w:p>
    <w:p w14:paraId="4EC73BA9" w14:textId="77777777" w:rsidR="00514A54" w:rsidRPr="00E70A8B" w:rsidRDefault="00514A54">
      <w:pPr>
        <w:rPr>
          <w:rFonts w:ascii="Arial" w:hAnsi="Arial" w:cs="Arial"/>
          <w:lang w:val="en-GB"/>
        </w:rPr>
      </w:pPr>
    </w:p>
    <w:p w14:paraId="4C48B004" w14:textId="77777777" w:rsidR="00514A54" w:rsidRPr="00E70A8B" w:rsidRDefault="00514A54">
      <w:pPr>
        <w:rPr>
          <w:rFonts w:ascii="Arial" w:hAnsi="Arial" w:cs="Arial"/>
          <w:lang w:val="en-GB"/>
        </w:rPr>
      </w:pPr>
    </w:p>
    <w:p w14:paraId="1B955954" w14:textId="77777777" w:rsidR="00514A54" w:rsidRPr="00E70A8B" w:rsidRDefault="00514A54">
      <w:pPr>
        <w:rPr>
          <w:rFonts w:ascii="Arial" w:hAnsi="Arial" w:cs="Arial"/>
          <w:lang w:val="en-GB"/>
        </w:rPr>
      </w:pPr>
    </w:p>
    <w:p w14:paraId="4B90B71E" w14:textId="77777777" w:rsidR="00514A54" w:rsidRPr="00E70A8B" w:rsidRDefault="00514A54">
      <w:pPr>
        <w:rPr>
          <w:rFonts w:ascii="Arial" w:hAnsi="Arial" w:cs="Arial"/>
          <w:lang w:val="en-GB"/>
        </w:rPr>
      </w:pPr>
    </w:p>
    <w:p w14:paraId="09CDDE4E" w14:textId="77777777" w:rsidR="00514A54" w:rsidRPr="00E70A8B" w:rsidRDefault="00514A54">
      <w:pPr>
        <w:rPr>
          <w:rFonts w:ascii="Arial" w:hAnsi="Arial" w:cs="Arial"/>
          <w:lang w:val="en-GB"/>
        </w:rPr>
      </w:pPr>
    </w:p>
    <w:p w14:paraId="39D61919" w14:textId="77777777" w:rsidR="00514A54" w:rsidRPr="00E70A8B" w:rsidRDefault="00514A54">
      <w:pPr>
        <w:rPr>
          <w:rFonts w:ascii="Arial" w:hAnsi="Arial" w:cs="Arial"/>
          <w:lang w:val="en-GB"/>
        </w:rPr>
      </w:pPr>
    </w:p>
    <w:p w14:paraId="658DA7DA" w14:textId="77777777" w:rsidR="00514A54" w:rsidRPr="00E70A8B" w:rsidRDefault="00514A54">
      <w:pPr>
        <w:rPr>
          <w:rFonts w:ascii="Arial" w:hAnsi="Arial" w:cs="Arial"/>
          <w:lang w:val="en-GB"/>
        </w:rPr>
      </w:pPr>
    </w:p>
    <w:p w14:paraId="066D32E3" w14:textId="77777777" w:rsidR="00514A54" w:rsidRPr="00E70A8B" w:rsidRDefault="00514A54">
      <w:pPr>
        <w:rPr>
          <w:rFonts w:ascii="Arial" w:hAnsi="Arial" w:cs="Arial"/>
          <w:lang w:val="en-GB"/>
        </w:rPr>
      </w:pPr>
    </w:p>
    <w:p w14:paraId="2645D607" w14:textId="77777777" w:rsidR="00514A54" w:rsidRPr="00E70A8B" w:rsidRDefault="00514A54">
      <w:pPr>
        <w:rPr>
          <w:rFonts w:ascii="Arial" w:hAnsi="Arial" w:cs="Arial"/>
          <w:lang w:val="en-GB"/>
        </w:rPr>
      </w:pPr>
    </w:p>
    <w:p w14:paraId="6030A0C9" w14:textId="77777777" w:rsidR="00514A54" w:rsidRPr="00E70A8B" w:rsidRDefault="00514A54">
      <w:pPr>
        <w:rPr>
          <w:rFonts w:ascii="Arial" w:hAnsi="Arial" w:cs="Arial"/>
          <w:lang w:val="en-GB"/>
        </w:rPr>
      </w:pPr>
    </w:p>
    <w:p w14:paraId="44951B7B" w14:textId="77777777" w:rsidR="00514A54" w:rsidRPr="00E70A8B" w:rsidRDefault="00514A54">
      <w:pPr>
        <w:rPr>
          <w:rFonts w:ascii="Arial" w:hAnsi="Arial" w:cs="Arial"/>
          <w:lang w:val="en-GB"/>
        </w:rPr>
      </w:pPr>
    </w:p>
    <w:p w14:paraId="274C1D12" w14:textId="77777777" w:rsidR="00514A54" w:rsidRPr="00E70A8B" w:rsidRDefault="00514A54">
      <w:pPr>
        <w:rPr>
          <w:rFonts w:ascii="Arial" w:hAnsi="Arial" w:cs="Arial"/>
          <w:lang w:val="en-GB"/>
        </w:rPr>
      </w:pPr>
    </w:p>
    <w:p w14:paraId="2E03F7C8" w14:textId="77777777" w:rsidR="00514A54" w:rsidRPr="00E70A8B" w:rsidRDefault="00514A54">
      <w:pPr>
        <w:rPr>
          <w:rFonts w:ascii="Arial" w:hAnsi="Arial" w:cs="Arial"/>
          <w:lang w:val="en-GB"/>
        </w:rPr>
      </w:pPr>
    </w:p>
    <w:p w14:paraId="69458EFE" w14:textId="54C920D4" w:rsidR="00514A54" w:rsidRPr="00E70A8B" w:rsidRDefault="00A80BB8">
      <w:pPr>
        <w:rPr>
          <w:rFonts w:ascii="Arial" w:hAnsi="Arial" w:cs="Arial"/>
          <w:lang w:val="en-GB"/>
        </w:rPr>
      </w:pPr>
      <w:r w:rsidRPr="00E70A8B">
        <w:rPr>
          <w:rFonts w:ascii="Arial" w:hAnsi="Arial" w:cs="Arial"/>
          <w:b/>
          <w:lang w:val="en-GB"/>
        </w:rPr>
        <w:t>Fig</w:t>
      </w:r>
      <w:r w:rsidR="00826FD0">
        <w:rPr>
          <w:rFonts w:ascii="Arial" w:hAnsi="Arial" w:cs="Arial"/>
          <w:b/>
          <w:lang w:val="en-GB"/>
        </w:rPr>
        <w:t xml:space="preserve"> A</w:t>
      </w:r>
      <w:r w:rsidRPr="00E70A8B">
        <w:rPr>
          <w:rFonts w:ascii="Arial" w:hAnsi="Arial" w:cs="Arial"/>
          <w:b/>
          <w:lang w:val="en-GB"/>
        </w:rPr>
        <w:t>.</w:t>
      </w:r>
      <w:r w:rsidRPr="00E70A8B">
        <w:rPr>
          <w:rFonts w:ascii="Arial" w:hAnsi="Arial" w:cs="Arial"/>
          <w:lang w:val="en-GB"/>
        </w:rPr>
        <w:t xml:space="preserve"> Design and cross-performance evaluation of the random </w:t>
      </w:r>
      <w:proofErr w:type="gramStart"/>
      <w:r w:rsidRPr="00E70A8B">
        <w:rPr>
          <w:rFonts w:ascii="Arial" w:hAnsi="Arial" w:cs="Arial"/>
          <w:lang w:val="en-GB"/>
        </w:rPr>
        <w:t>forests</w:t>
      </w:r>
      <w:proofErr w:type="gramEnd"/>
      <w:r w:rsidRPr="00E70A8B">
        <w:rPr>
          <w:rFonts w:ascii="Arial" w:hAnsi="Arial" w:cs="Arial"/>
          <w:lang w:val="en-GB"/>
        </w:rPr>
        <w:t xml:space="preserve"> models trained with the three approaches for sampling negative control variants. As described in the methods, the Random sampling does not correct for the differences in proportions between positive and negative controls in the different genomic annotations, while the Adjusted model corrects for this. The cross-performance of the models is evaluated by comparison of the ROC and precision-recall curves, recalculated from the </w:t>
      </w:r>
      <w:proofErr w:type="gramStart"/>
      <w:r w:rsidRPr="00E70A8B">
        <w:rPr>
          <w:rFonts w:ascii="Arial" w:hAnsi="Arial" w:cs="Arial"/>
          <w:lang w:val="en-GB"/>
        </w:rPr>
        <w:t>10 fold</w:t>
      </w:r>
      <w:proofErr w:type="gramEnd"/>
      <w:r w:rsidRPr="00E70A8B">
        <w:rPr>
          <w:rFonts w:ascii="Arial" w:hAnsi="Arial" w:cs="Arial"/>
          <w:lang w:val="en-GB"/>
        </w:rPr>
        <w:t xml:space="preserve"> cross validation step of each model (which correspond to the pairs of curves on the diagonal). A given column corresponds to the application of a model on the 10-fold subsets of variants obtained under the different </w:t>
      </w:r>
      <w:proofErr w:type="gramStart"/>
      <w:r w:rsidRPr="00E70A8B">
        <w:rPr>
          <w:rFonts w:ascii="Arial" w:hAnsi="Arial" w:cs="Arial"/>
          <w:lang w:val="en-GB"/>
        </w:rPr>
        <w:t>samples</w:t>
      </w:r>
      <w:proofErr w:type="gramEnd"/>
      <w:r w:rsidRPr="00E70A8B">
        <w:rPr>
          <w:rFonts w:ascii="Arial" w:hAnsi="Arial" w:cs="Arial"/>
          <w:lang w:val="en-GB"/>
        </w:rPr>
        <w:t xml:space="preserve"> methods (with filtering of overlapping variants between training and validation subsets, as described in the methods). Note that to allow the comparison of performances, a second </w:t>
      </w:r>
      <w:proofErr w:type="spellStart"/>
      <w:r w:rsidRPr="00E70A8B">
        <w:rPr>
          <w:rFonts w:ascii="Arial" w:hAnsi="Arial" w:cs="Arial"/>
          <w:lang w:val="en-GB"/>
        </w:rPr>
        <w:t>undersampling</w:t>
      </w:r>
      <w:proofErr w:type="spellEnd"/>
      <w:r w:rsidRPr="00E70A8B">
        <w:rPr>
          <w:rFonts w:ascii="Arial" w:hAnsi="Arial" w:cs="Arial"/>
          <w:lang w:val="en-GB"/>
        </w:rPr>
        <w:t xml:space="preserve"> of negative control variants was performed in the validation subset for the Random and Adjusted models, in order to match the observed proportion of 12.5% of positive controls in the Local sampling dataset. The area under the curves of the average curves is reported in the two tables for each combination of model and validation dataset.</w:t>
      </w:r>
    </w:p>
    <w:p w14:paraId="2C8B9039" w14:textId="77777777" w:rsidR="00514A54" w:rsidRPr="00E70A8B" w:rsidRDefault="00514A54">
      <w:pPr>
        <w:rPr>
          <w:rFonts w:ascii="Arial" w:hAnsi="Arial" w:cs="Arial"/>
          <w:lang w:val="en-GB"/>
        </w:rPr>
      </w:pPr>
    </w:p>
    <w:p w14:paraId="0128AE68" w14:textId="77777777" w:rsidR="00514A54" w:rsidRPr="00E70A8B" w:rsidRDefault="00A80BB8">
      <w:pPr>
        <w:suppressAutoHyphens w:val="0"/>
        <w:rPr>
          <w:rFonts w:ascii="Arial" w:hAnsi="Arial" w:cs="Arial"/>
          <w:highlight w:val="yellow"/>
          <w:lang w:val="en-GB"/>
        </w:rPr>
      </w:pPr>
      <w:r w:rsidRPr="00E70A8B">
        <w:rPr>
          <w:rFonts w:ascii="Arial" w:hAnsi="Arial" w:cs="Arial"/>
          <w:lang w:val="en-US"/>
        </w:rPr>
        <w:br w:type="page"/>
      </w:r>
    </w:p>
    <w:p w14:paraId="10B77B24" w14:textId="6BB68576" w:rsidR="00514A54" w:rsidRPr="00E70A8B" w:rsidRDefault="00A80BB8">
      <w:pPr>
        <w:rPr>
          <w:rFonts w:ascii="Arial" w:hAnsi="Arial" w:cs="Arial"/>
          <w:lang w:val="en-GB"/>
        </w:rPr>
      </w:pPr>
      <w:r w:rsidRPr="00E70A8B">
        <w:rPr>
          <w:rFonts w:ascii="Arial" w:hAnsi="Arial" w:cs="Arial"/>
          <w:noProof/>
        </w:rPr>
        <w:lastRenderedPageBreak/>
        <w:drawing>
          <wp:anchor distT="0" distB="0" distL="0" distR="0" simplePos="0" relativeHeight="5" behindDoc="0" locked="0" layoutInCell="1" allowOverlap="1" wp14:anchorId="58C5A903" wp14:editId="31F1BF31">
            <wp:simplePos x="0" y="0"/>
            <wp:positionH relativeFrom="column">
              <wp:posOffset>0</wp:posOffset>
            </wp:positionH>
            <wp:positionV relativeFrom="paragraph">
              <wp:posOffset>635</wp:posOffset>
            </wp:positionV>
            <wp:extent cx="5760720" cy="3674745"/>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7"/>
                    <a:stretch>
                      <a:fillRect/>
                    </a:stretch>
                  </pic:blipFill>
                  <pic:spPr bwMode="auto">
                    <a:xfrm>
                      <a:off x="0" y="0"/>
                      <a:ext cx="5760720" cy="3674745"/>
                    </a:xfrm>
                    <a:prstGeom prst="rect">
                      <a:avLst/>
                    </a:prstGeom>
                  </pic:spPr>
                </pic:pic>
              </a:graphicData>
            </a:graphic>
          </wp:anchor>
        </w:drawing>
      </w:r>
      <w:r w:rsidRPr="00E70A8B">
        <w:rPr>
          <w:rFonts w:ascii="Arial" w:hAnsi="Arial" w:cs="Arial"/>
          <w:b/>
          <w:lang w:val="en-GB"/>
        </w:rPr>
        <w:t>Fig</w:t>
      </w:r>
      <w:r w:rsidR="00826FD0">
        <w:rPr>
          <w:rFonts w:ascii="Arial" w:hAnsi="Arial" w:cs="Arial"/>
          <w:b/>
          <w:lang w:val="en-GB"/>
        </w:rPr>
        <w:t xml:space="preserve"> B</w:t>
      </w:r>
      <w:r w:rsidRPr="00E70A8B">
        <w:rPr>
          <w:rFonts w:ascii="Arial" w:hAnsi="Arial" w:cs="Arial"/>
          <w:b/>
          <w:lang w:val="en-GB"/>
        </w:rPr>
        <w:t>.</w:t>
      </w:r>
      <w:r w:rsidRPr="00E70A8B">
        <w:rPr>
          <w:rFonts w:ascii="Arial" w:hAnsi="Arial" w:cs="Arial"/>
          <w:lang w:val="en-GB"/>
        </w:rPr>
        <w:t xml:space="preserve"> Comparison of the cross-validation scheme for separating training and validation sets of variants. Separability plots include the Receiver Operating </w:t>
      </w:r>
      <w:proofErr w:type="gramStart"/>
      <w:r w:rsidRPr="00E70A8B">
        <w:rPr>
          <w:rFonts w:ascii="Arial" w:hAnsi="Arial" w:cs="Arial"/>
          <w:lang w:val="en-GB"/>
        </w:rPr>
        <w:t>Curve  (</w:t>
      </w:r>
      <w:proofErr w:type="gramEnd"/>
      <w:r w:rsidRPr="00E70A8B">
        <w:rPr>
          <w:rFonts w:ascii="Arial" w:hAnsi="Arial" w:cs="Arial"/>
          <w:lang w:val="en-GB"/>
        </w:rPr>
        <w:t xml:space="preserve">ROC) and Precision Recall Curve (PRC) averaged over 10-fold cross-validation, as well as the density plot of positive and negative controls over the range of FINSURF predicted scores. </w:t>
      </w:r>
      <w:r w:rsidRPr="00E70A8B">
        <w:rPr>
          <w:rFonts w:ascii="Arial" w:hAnsi="Arial" w:cs="Arial"/>
          <w:b/>
          <w:bCs/>
          <w:lang w:val="en-GB"/>
        </w:rPr>
        <w:t xml:space="preserve">a. </w:t>
      </w:r>
      <w:r w:rsidRPr="00E70A8B">
        <w:rPr>
          <w:rFonts w:ascii="Arial" w:hAnsi="Arial" w:cs="Arial"/>
          <w:lang w:val="en-GB"/>
        </w:rPr>
        <w:t>Results from a 10-fold cross-validation where variants were separated taking into account the</w:t>
      </w:r>
      <w:r w:rsidR="001B5B84" w:rsidRPr="00E70A8B">
        <w:rPr>
          <w:rFonts w:ascii="Arial" w:hAnsi="Arial" w:cs="Arial"/>
          <w:lang w:val="en-GB"/>
        </w:rPr>
        <w:t>ir</w:t>
      </w:r>
      <w:r w:rsidRPr="00E70A8B">
        <w:rPr>
          <w:rFonts w:ascii="Arial" w:hAnsi="Arial" w:cs="Arial"/>
          <w:lang w:val="en-GB"/>
        </w:rPr>
        <w:t xml:space="preserve"> locali</w:t>
      </w:r>
      <w:r w:rsidR="001B5B84" w:rsidRPr="00E70A8B">
        <w:rPr>
          <w:rFonts w:ascii="Arial" w:hAnsi="Arial" w:cs="Arial"/>
          <w:lang w:val="en-GB"/>
        </w:rPr>
        <w:t>sa</w:t>
      </w:r>
      <w:r w:rsidRPr="00E70A8B">
        <w:rPr>
          <w:rFonts w:ascii="Arial" w:hAnsi="Arial" w:cs="Arial"/>
          <w:lang w:val="en-GB"/>
        </w:rPr>
        <w:t xml:space="preserve">tion within cytogenetic bands. Variants (whether negative or positive controls) within a certain cytogenetic band are randomly assigned to one of the 10 folds for the cross-validation, ensuring that information from their local genomic context will not leak from the training set to the validation set.   This approach is the one retained for all cross-validations experiments in our analyses. Note that these ROC and PRC are the one presented in the </w:t>
      </w:r>
      <w:r w:rsidR="00174314">
        <w:rPr>
          <w:rFonts w:ascii="Arial" w:hAnsi="Arial" w:cs="Arial"/>
          <w:lang w:val="en-GB"/>
        </w:rPr>
        <w:t>Fig A in S1 Text</w:t>
      </w:r>
      <w:r w:rsidRPr="00E70A8B">
        <w:rPr>
          <w:rFonts w:ascii="Arial" w:hAnsi="Arial" w:cs="Arial"/>
          <w:lang w:val="en-GB"/>
        </w:rPr>
        <w:t xml:space="preserve"> and</w:t>
      </w:r>
      <w:r w:rsidR="00174314">
        <w:rPr>
          <w:rFonts w:ascii="Arial" w:hAnsi="Arial" w:cs="Arial"/>
          <w:lang w:val="en-GB"/>
        </w:rPr>
        <w:t xml:space="preserve"> Fig</w:t>
      </w:r>
      <w:r w:rsidRPr="00E70A8B">
        <w:rPr>
          <w:rFonts w:ascii="Arial" w:hAnsi="Arial" w:cs="Arial"/>
          <w:lang w:val="en-GB"/>
        </w:rPr>
        <w:t xml:space="preserve"> 2. </w:t>
      </w:r>
      <w:r w:rsidRPr="00E70A8B">
        <w:rPr>
          <w:rFonts w:ascii="Arial" w:hAnsi="Arial" w:cs="Arial"/>
          <w:b/>
          <w:bCs/>
          <w:lang w:val="en-GB"/>
        </w:rPr>
        <w:t xml:space="preserve">b. </w:t>
      </w:r>
      <w:r w:rsidRPr="00E70A8B">
        <w:rPr>
          <w:rFonts w:ascii="Arial" w:hAnsi="Arial" w:cs="Arial"/>
          <w:lang w:val="en-GB"/>
        </w:rPr>
        <w:t>Results from a 10-fold “Stratified” cross-validation, where only the imbalance of positive and negative variants was taken care of by the stratification procedure. The much better performance and cleaner separation between classes highlights data leakage from separating at random into train and validation sets variants that might share common genomic context.</w:t>
      </w:r>
      <w:r w:rsidRPr="00E70A8B">
        <w:rPr>
          <w:rFonts w:ascii="Arial" w:hAnsi="Arial" w:cs="Arial"/>
          <w:lang w:val="en-US"/>
        </w:rPr>
        <w:br w:type="page"/>
      </w:r>
    </w:p>
    <w:p w14:paraId="69FBBFC3" w14:textId="77777777" w:rsidR="00514A54" w:rsidRPr="00E70A8B" w:rsidRDefault="00514A54">
      <w:pPr>
        <w:rPr>
          <w:rFonts w:ascii="Arial" w:hAnsi="Arial" w:cs="Arial"/>
          <w:lang w:val="en-GB"/>
        </w:rPr>
      </w:pPr>
    </w:p>
    <w:p w14:paraId="79F87D35" w14:textId="12F488F0" w:rsidR="00514A54" w:rsidRPr="00E70A8B" w:rsidRDefault="00A80BB8">
      <w:pPr>
        <w:rPr>
          <w:rFonts w:ascii="Arial" w:hAnsi="Arial" w:cs="Arial"/>
          <w:lang w:val="en-GB"/>
        </w:rPr>
      </w:pPr>
      <w:r w:rsidRPr="00E70A8B">
        <w:rPr>
          <w:rFonts w:ascii="Arial" w:hAnsi="Arial" w:cs="Arial"/>
          <w:noProof/>
          <w:lang w:val="en-GB"/>
        </w:rPr>
        <w:drawing>
          <wp:anchor distT="0" distB="0" distL="114300" distR="114300" simplePos="0" relativeHeight="4" behindDoc="0" locked="0" layoutInCell="1" allowOverlap="1" wp14:anchorId="2240923F" wp14:editId="22372D64">
            <wp:simplePos x="0" y="0"/>
            <wp:positionH relativeFrom="column">
              <wp:posOffset>0</wp:posOffset>
            </wp:positionH>
            <wp:positionV relativeFrom="paragraph">
              <wp:posOffset>635</wp:posOffset>
            </wp:positionV>
            <wp:extent cx="5755640" cy="4269740"/>
            <wp:effectExtent l="0" t="0" r="0" b="0"/>
            <wp:wrapNone/>
            <wp:docPr id="3" name="Image 5" descr="Macintosh HD:Users:hrc:ownCloud:FINSURF_paper:figures:supp_figures:002_FINSURF-full-CytobandMatch_genomiser_eval_model-comparison-plo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5" descr="Macintosh HD:Users:hrc:ownCloud:FINSURF_paper:figures:supp_figures:002_FINSURF-full-CytobandMatch_genomiser_eval_model-comparison-plot.pdf"/>
                    <pic:cNvPicPr>
                      <a:picLocks noChangeAspect="1" noChangeArrowheads="1"/>
                    </pic:cNvPicPr>
                  </pic:nvPicPr>
                  <pic:blipFill>
                    <a:blip r:embed="rId8"/>
                    <a:stretch>
                      <a:fillRect/>
                    </a:stretch>
                  </pic:blipFill>
                  <pic:spPr bwMode="auto">
                    <a:xfrm>
                      <a:off x="0" y="0"/>
                      <a:ext cx="5755640" cy="4269740"/>
                    </a:xfrm>
                    <a:prstGeom prst="rect">
                      <a:avLst/>
                    </a:prstGeom>
                  </pic:spPr>
                </pic:pic>
              </a:graphicData>
            </a:graphic>
          </wp:anchor>
        </w:drawing>
      </w:r>
    </w:p>
    <w:p w14:paraId="4CE848D9" w14:textId="77777777" w:rsidR="00514A54" w:rsidRPr="00E70A8B" w:rsidRDefault="00514A54">
      <w:pPr>
        <w:rPr>
          <w:rFonts w:ascii="Arial" w:hAnsi="Arial" w:cs="Arial"/>
          <w:lang w:val="en-GB"/>
        </w:rPr>
      </w:pPr>
    </w:p>
    <w:p w14:paraId="063F8A92" w14:textId="77777777" w:rsidR="00514A54" w:rsidRPr="00E70A8B" w:rsidRDefault="00514A54">
      <w:pPr>
        <w:rPr>
          <w:rFonts w:ascii="Arial" w:hAnsi="Arial" w:cs="Arial"/>
          <w:lang w:val="en-GB"/>
        </w:rPr>
      </w:pPr>
    </w:p>
    <w:p w14:paraId="4EB3BF6E" w14:textId="77777777" w:rsidR="00514A54" w:rsidRPr="00E70A8B" w:rsidRDefault="00514A54">
      <w:pPr>
        <w:rPr>
          <w:rFonts w:ascii="Arial" w:hAnsi="Arial" w:cs="Arial"/>
          <w:lang w:val="en-GB"/>
        </w:rPr>
      </w:pPr>
    </w:p>
    <w:p w14:paraId="60C3C83C" w14:textId="77777777" w:rsidR="00514A54" w:rsidRPr="00E70A8B" w:rsidRDefault="00514A54">
      <w:pPr>
        <w:rPr>
          <w:rFonts w:ascii="Arial" w:hAnsi="Arial" w:cs="Arial"/>
          <w:lang w:val="en-GB"/>
        </w:rPr>
      </w:pPr>
    </w:p>
    <w:p w14:paraId="51E58781" w14:textId="77777777" w:rsidR="00514A54" w:rsidRPr="00E70A8B" w:rsidRDefault="00514A54">
      <w:pPr>
        <w:rPr>
          <w:rFonts w:ascii="Arial" w:hAnsi="Arial" w:cs="Arial"/>
          <w:lang w:val="en-GB"/>
        </w:rPr>
      </w:pPr>
    </w:p>
    <w:p w14:paraId="6D8C344E" w14:textId="77777777" w:rsidR="00514A54" w:rsidRPr="00E70A8B" w:rsidRDefault="00514A54">
      <w:pPr>
        <w:rPr>
          <w:rFonts w:ascii="Arial" w:hAnsi="Arial" w:cs="Arial"/>
          <w:lang w:val="en-GB"/>
        </w:rPr>
      </w:pPr>
    </w:p>
    <w:p w14:paraId="36BF8960" w14:textId="77777777" w:rsidR="00514A54" w:rsidRPr="00E70A8B" w:rsidRDefault="00514A54">
      <w:pPr>
        <w:rPr>
          <w:rFonts w:ascii="Arial" w:hAnsi="Arial" w:cs="Arial"/>
          <w:lang w:val="en-GB"/>
        </w:rPr>
      </w:pPr>
    </w:p>
    <w:p w14:paraId="6D05F739" w14:textId="77777777" w:rsidR="00514A54" w:rsidRPr="00E70A8B" w:rsidRDefault="00514A54">
      <w:pPr>
        <w:rPr>
          <w:rFonts w:ascii="Arial" w:hAnsi="Arial" w:cs="Arial"/>
          <w:lang w:val="en-GB"/>
        </w:rPr>
      </w:pPr>
    </w:p>
    <w:p w14:paraId="18EA2D43" w14:textId="77777777" w:rsidR="00514A54" w:rsidRPr="00E70A8B" w:rsidRDefault="00514A54">
      <w:pPr>
        <w:rPr>
          <w:rFonts w:ascii="Arial" w:hAnsi="Arial" w:cs="Arial"/>
          <w:lang w:val="en-GB"/>
        </w:rPr>
      </w:pPr>
    </w:p>
    <w:p w14:paraId="6AD71803" w14:textId="77777777" w:rsidR="00514A54" w:rsidRPr="00E70A8B" w:rsidRDefault="00514A54">
      <w:pPr>
        <w:rPr>
          <w:rFonts w:ascii="Arial" w:hAnsi="Arial" w:cs="Arial"/>
          <w:lang w:val="en-GB"/>
        </w:rPr>
      </w:pPr>
    </w:p>
    <w:p w14:paraId="58C11F87" w14:textId="77777777" w:rsidR="00514A54" w:rsidRPr="00E70A8B" w:rsidRDefault="00514A54">
      <w:pPr>
        <w:rPr>
          <w:rFonts w:ascii="Arial" w:hAnsi="Arial" w:cs="Arial"/>
          <w:lang w:val="en-GB"/>
        </w:rPr>
      </w:pPr>
    </w:p>
    <w:p w14:paraId="03E36260" w14:textId="77777777" w:rsidR="00514A54" w:rsidRPr="00E70A8B" w:rsidRDefault="00514A54">
      <w:pPr>
        <w:rPr>
          <w:rFonts w:ascii="Arial" w:hAnsi="Arial" w:cs="Arial"/>
          <w:lang w:val="en-GB"/>
        </w:rPr>
      </w:pPr>
    </w:p>
    <w:p w14:paraId="4541B8AB" w14:textId="77777777" w:rsidR="00514A54" w:rsidRPr="00E70A8B" w:rsidRDefault="00514A54">
      <w:pPr>
        <w:rPr>
          <w:rFonts w:ascii="Arial" w:hAnsi="Arial" w:cs="Arial"/>
          <w:lang w:val="en-GB"/>
        </w:rPr>
      </w:pPr>
    </w:p>
    <w:p w14:paraId="05565004" w14:textId="77777777" w:rsidR="00514A54" w:rsidRPr="00E70A8B" w:rsidRDefault="00514A54">
      <w:pPr>
        <w:rPr>
          <w:rFonts w:ascii="Arial" w:hAnsi="Arial" w:cs="Arial"/>
          <w:lang w:val="en-GB"/>
        </w:rPr>
      </w:pPr>
    </w:p>
    <w:p w14:paraId="5B485F66" w14:textId="77777777" w:rsidR="00514A54" w:rsidRPr="00E70A8B" w:rsidRDefault="00514A54">
      <w:pPr>
        <w:rPr>
          <w:rFonts w:ascii="Arial" w:hAnsi="Arial" w:cs="Arial"/>
          <w:lang w:val="en-GB"/>
        </w:rPr>
      </w:pPr>
    </w:p>
    <w:p w14:paraId="0280C3DE" w14:textId="77777777" w:rsidR="00514A54" w:rsidRPr="00E70A8B" w:rsidRDefault="00514A54">
      <w:pPr>
        <w:rPr>
          <w:rFonts w:ascii="Arial" w:hAnsi="Arial" w:cs="Arial"/>
          <w:lang w:val="en-GB"/>
        </w:rPr>
      </w:pPr>
    </w:p>
    <w:p w14:paraId="20E6E023" w14:textId="77777777" w:rsidR="00514A54" w:rsidRPr="00E70A8B" w:rsidRDefault="00514A54">
      <w:pPr>
        <w:rPr>
          <w:rFonts w:ascii="Arial" w:hAnsi="Arial" w:cs="Arial"/>
          <w:lang w:val="en-GB"/>
        </w:rPr>
      </w:pPr>
    </w:p>
    <w:p w14:paraId="543152F1" w14:textId="77777777" w:rsidR="00514A54" w:rsidRPr="00E70A8B" w:rsidRDefault="00514A54">
      <w:pPr>
        <w:rPr>
          <w:rFonts w:ascii="Arial" w:hAnsi="Arial" w:cs="Arial"/>
          <w:lang w:val="en-GB"/>
        </w:rPr>
      </w:pPr>
    </w:p>
    <w:p w14:paraId="0347C930" w14:textId="77777777" w:rsidR="00514A54" w:rsidRPr="00E70A8B" w:rsidRDefault="00514A54">
      <w:pPr>
        <w:rPr>
          <w:rFonts w:ascii="Arial" w:hAnsi="Arial" w:cs="Arial"/>
          <w:lang w:val="en-GB"/>
        </w:rPr>
      </w:pPr>
    </w:p>
    <w:p w14:paraId="73FDDD8C" w14:textId="77777777" w:rsidR="00514A54" w:rsidRPr="00E70A8B" w:rsidRDefault="00514A54">
      <w:pPr>
        <w:rPr>
          <w:rFonts w:ascii="Arial" w:hAnsi="Arial" w:cs="Arial"/>
          <w:lang w:val="en-GB"/>
        </w:rPr>
      </w:pPr>
    </w:p>
    <w:p w14:paraId="6D293D05" w14:textId="77777777" w:rsidR="00514A54" w:rsidRPr="00E70A8B" w:rsidRDefault="00514A54">
      <w:pPr>
        <w:rPr>
          <w:rFonts w:ascii="Arial" w:hAnsi="Arial" w:cs="Arial"/>
          <w:lang w:val="en-GB"/>
        </w:rPr>
      </w:pPr>
    </w:p>
    <w:p w14:paraId="6216CEA4" w14:textId="77777777" w:rsidR="00514A54" w:rsidRPr="00E70A8B" w:rsidRDefault="00514A54">
      <w:pPr>
        <w:rPr>
          <w:rFonts w:ascii="Arial" w:hAnsi="Arial" w:cs="Arial"/>
          <w:lang w:val="en-GB"/>
        </w:rPr>
      </w:pPr>
    </w:p>
    <w:p w14:paraId="20026417" w14:textId="77777777" w:rsidR="00514A54" w:rsidRPr="00E70A8B" w:rsidRDefault="00514A54">
      <w:pPr>
        <w:rPr>
          <w:rFonts w:ascii="Arial" w:hAnsi="Arial" w:cs="Arial"/>
          <w:lang w:val="en-GB"/>
        </w:rPr>
      </w:pPr>
    </w:p>
    <w:p w14:paraId="16C67929" w14:textId="77777777" w:rsidR="00514A54" w:rsidRPr="00E70A8B" w:rsidRDefault="00514A54">
      <w:pPr>
        <w:rPr>
          <w:rFonts w:ascii="Arial" w:hAnsi="Arial" w:cs="Arial"/>
          <w:lang w:val="en-GB"/>
        </w:rPr>
      </w:pPr>
    </w:p>
    <w:p w14:paraId="5722D337" w14:textId="77777777" w:rsidR="00514A54" w:rsidRPr="00E70A8B" w:rsidRDefault="00514A54">
      <w:pPr>
        <w:rPr>
          <w:rFonts w:ascii="Arial" w:hAnsi="Arial" w:cs="Arial"/>
          <w:lang w:val="en-GB"/>
        </w:rPr>
      </w:pPr>
    </w:p>
    <w:p w14:paraId="6E0DBD18" w14:textId="77777777" w:rsidR="00514A54" w:rsidRPr="00E70A8B" w:rsidRDefault="00514A54">
      <w:pPr>
        <w:rPr>
          <w:rFonts w:ascii="Arial" w:hAnsi="Arial" w:cs="Arial"/>
          <w:lang w:val="en-GB"/>
        </w:rPr>
      </w:pPr>
    </w:p>
    <w:p w14:paraId="201C32F0" w14:textId="77777777" w:rsidR="00514A54" w:rsidRPr="00E70A8B" w:rsidRDefault="00514A54">
      <w:pPr>
        <w:rPr>
          <w:rFonts w:ascii="Arial" w:hAnsi="Arial" w:cs="Arial"/>
          <w:lang w:val="en-GB"/>
        </w:rPr>
      </w:pPr>
    </w:p>
    <w:p w14:paraId="74DAE658" w14:textId="77777777" w:rsidR="00514A54" w:rsidRPr="00E70A8B" w:rsidRDefault="00514A54">
      <w:pPr>
        <w:rPr>
          <w:rFonts w:ascii="Arial" w:hAnsi="Arial" w:cs="Arial"/>
          <w:lang w:val="en-GB"/>
        </w:rPr>
      </w:pPr>
    </w:p>
    <w:p w14:paraId="0CC3B0EA" w14:textId="77777777" w:rsidR="00514A54" w:rsidRPr="00E70A8B" w:rsidRDefault="00514A54">
      <w:pPr>
        <w:rPr>
          <w:rFonts w:ascii="Arial" w:hAnsi="Arial" w:cs="Arial"/>
          <w:lang w:val="en-GB"/>
        </w:rPr>
      </w:pPr>
    </w:p>
    <w:p w14:paraId="4A66A6B2" w14:textId="77777777" w:rsidR="00514A54" w:rsidRPr="00E70A8B" w:rsidRDefault="00514A54">
      <w:pPr>
        <w:rPr>
          <w:rFonts w:ascii="Arial" w:hAnsi="Arial" w:cs="Arial"/>
          <w:lang w:val="en-GB"/>
        </w:rPr>
      </w:pPr>
    </w:p>
    <w:p w14:paraId="5F15E283" w14:textId="77777777" w:rsidR="00514A54" w:rsidRPr="00E70A8B" w:rsidRDefault="00514A54">
      <w:pPr>
        <w:rPr>
          <w:rFonts w:ascii="Arial" w:hAnsi="Arial" w:cs="Arial"/>
          <w:lang w:val="en-GB"/>
        </w:rPr>
      </w:pPr>
    </w:p>
    <w:p w14:paraId="659FB259" w14:textId="77777777" w:rsidR="00514A54" w:rsidRPr="00E70A8B" w:rsidRDefault="00514A54">
      <w:pPr>
        <w:rPr>
          <w:rFonts w:ascii="Arial" w:hAnsi="Arial" w:cs="Arial"/>
          <w:lang w:val="en-GB"/>
        </w:rPr>
      </w:pPr>
    </w:p>
    <w:p w14:paraId="3A89FCB7" w14:textId="3E1E7E80" w:rsidR="00514A54" w:rsidRPr="00E70A8B" w:rsidRDefault="00A80BB8">
      <w:pPr>
        <w:rPr>
          <w:rFonts w:ascii="Arial" w:hAnsi="Arial" w:cs="Arial"/>
          <w:lang w:val="en-US"/>
        </w:rPr>
      </w:pPr>
      <w:r w:rsidRPr="00E70A8B">
        <w:rPr>
          <w:rFonts w:ascii="Arial" w:hAnsi="Arial" w:cs="Arial"/>
          <w:b/>
          <w:lang w:val="en-GB"/>
        </w:rPr>
        <w:t>Fig</w:t>
      </w:r>
      <w:r w:rsidR="00826FD0">
        <w:rPr>
          <w:rFonts w:ascii="Arial" w:hAnsi="Arial" w:cs="Arial"/>
          <w:b/>
          <w:lang w:val="en-GB"/>
        </w:rPr>
        <w:t xml:space="preserve"> C</w:t>
      </w:r>
      <w:r w:rsidRPr="00E70A8B">
        <w:rPr>
          <w:rFonts w:ascii="Arial" w:hAnsi="Arial" w:cs="Arial"/>
          <w:b/>
          <w:lang w:val="en-GB"/>
        </w:rPr>
        <w:t>.</w:t>
      </w:r>
      <w:r w:rsidRPr="00E70A8B">
        <w:rPr>
          <w:rFonts w:ascii="Arial" w:hAnsi="Arial" w:cs="Arial"/>
          <w:lang w:val="en-GB"/>
        </w:rPr>
        <w:t xml:space="preserve"> Comparison between FINSURF (red lines) and eight other methods also designed to functionally interpret non-coding regulatory variants. </w:t>
      </w:r>
      <w:r w:rsidRPr="00E70A8B">
        <w:rPr>
          <w:rFonts w:ascii="Arial" w:hAnsi="Arial" w:cs="Arial"/>
          <w:b/>
          <w:lang w:val="en-GB"/>
        </w:rPr>
        <w:t>a</w:t>
      </w:r>
      <w:r w:rsidRPr="00E70A8B">
        <w:rPr>
          <w:rFonts w:ascii="Arial" w:hAnsi="Arial" w:cs="Arial"/>
          <w:lang w:val="en-GB"/>
        </w:rPr>
        <w:t xml:space="preserve">. Comparison of performances on the training dataset of FINSURF “Adjusted”. The subsets of variants generated during the 10-fold cross-validation were re-used, by scoring the positive and negative control variants with the other methods. At no time was FINSURF tested on variants used during training. Variants for which a score could not be computed by any one method (e.g. lack of required annotations) were discarded for all methods. The average performance curve of the 10-folds </w:t>
      </w:r>
      <w:proofErr w:type="gramStart"/>
      <w:r w:rsidRPr="00E70A8B">
        <w:rPr>
          <w:rFonts w:ascii="Arial" w:hAnsi="Arial" w:cs="Arial"/>
          <w:lang w:val="en-GB"/>
        </w:rPr>
        <w:t>are</w:t>
      </w:r>
      <w:proofErr w:type="gramEnd"/>
      <w:r w:rsidRPr="00E70A8B">
        <w:rPr>
          <w:rFonts w:ascii="Arial" w:hAnsi="Arial" w:cs="Arial"/>
          <w:lang w:val="en-GB"/>
        </w:rPr>
        <w:t xml:space="preserve"> reported. We note the high precision of the </w:t>
      </w:r>
      <w:proofErr w:type="spellStart"/>
      <w:r w:rsidRPr="00E70A8B">
        <w:rPr>
          <w:rFonts w:ascii="Arial" w:hAnsi="Arial" w:cs="Arial"/>
          <w:lang w:val="en-GB"/>
        </w:rPr>
        <w:t>ReMM</w:t>
      </w:r>
      <w:proofErr w:type="spellEnd"/>
      <w:r w:rsidRPr="00E70A8B">
        <w:rPr>
          <w:rFonts w:ascii="Arial" w:hAnsi="Arial" w:cs="Arial"/>
          <w:lang w:val="en-GB"/>
        </w:rPr>
        <w:t xml:space="preserve"> </w:t>
      </w:r>
      <w:proofErr w:type="spellStart"/>
      <w:r w:rsidRPr="00E70A8B">
        <w:rPr>
          <w:rFonts w:ascii="Arial" w:hAnsi="Arial" w:cs="Arial"/>
          <w:lang w:val="en-GB"/>
        </w:rPr>
        <w:t>Genomiser</w:t>
      </w:r>
      <w:proofErr w:type="spellEnd"/>
      <w:r w:rsidRPr="00E70A8B">
        <w:rPr>
          <w:rFonts w:ascii="Arial" w:hAnsi="Arial" w:cs="Arial"/>
          <w:lang w:val="en-GB"/>
        </w:rPr>
        <w:t xml:space="preserve"> model, which can be explained by the overlap between the training variants of this model and the HGMD variants used by FINSURF. </w:t>
      </w:r>
      <w:r w:rsidRPr="00E70A8B">
        <w:rPr>
          <w:rFonts w:ascii="Arial" w:hAnsi="Arial" w:cs="Arial"/>
          <w:b/>
          <w:lang w:val="en-GB"/>
        </w:rPr>
        <w:t>b</w:t>
      </w:r>
      <w:r w:rsidRPr="00E70A8B">
        <w:rPr>
          <w:rFonts w:ascii="Arial" w:hAnsi="Arial" w:cs="Arial"/>
          <w:lang w:val="en-GB"/>
        </w:rPr>
        <w:t xml:space="preserve">. Comparison of performances on the subset of 92 </w:t>
      </w:r>
      <w:proofErr w:type="spellStart"/>
      <w:r w:rsidRPr="00E70A8B">
        <w:rPr>
          <w:rFonts w:ascii="Arial" w:hAnsi="Arial" w:cs="Arial"/>
          <w:lang w:val="en-GB"/>
        </w:rPr>
        <w:t>Genomiser</w:t>
      </w:r>
      <w:proofErr w:type="spellEnd"/>
      <w:r w:rsidRPr="00E70A8B">
        <w:rPr>
          <w:rFonts w:ascii="Arial" w:hAnsi="Arial" w:cs="Arial"/>
          <w:lang w:val="en-GB"/>
        </w:rPr>
        <w:t xml:space="preserve"> variants, of which 30 are discarded due to missing scores by at least one method. Negative control variants were re-sampled following the Adjusted sampling procedure, and those found in the training dataset of the FINSURF model were removed. Note that the ROC curve is the one presented in the </w:t>
      </w:r>
      <w:r w:rsidR="00174314">
        <w:rPr>
          <w:rFonts w:ascii="Arial" w:hAnsi="Arial" w:cs="Arial"/>
          <w:lang w:val="en-GB"/>
        </w:rPr>
        <w:t>Fig</w:t>
      </w:r>
      <w:r w:rsidRPr="00E70A8B">
        <w:rPr>
          <w:rFonts w:ascii="Arial" w:hAnsi="Arial" w:cs="Arial"/>
          <w:lang w:val="en-GB"/>
        </w:rPr>
        <w:t xml:space="preserve"> 2d. </w:t>
      </w:r>
    </w:p>
    <w:p w14:paraId="5AB0C009" w14:textId="77777777" w:rsidR="00514A54" w:rsidRPr="00E70A8B" w:rsidRDefault="00514A54">
      <w:pPr>
        <w:rPr>
          <w:rFonts w:ascii="Arial" w:hAnsi="Arial" w:cs="Arial"/>
          <w:lang w:val="en-GB"/>
        </w:rPr>
      </w:pPr>
    </w:p>
    <w:p w14:paraId="49C40504" w14:textId="77777777" w:rsidR="00514A54" w:rsidRPr="00E70A8B" w:rsidRDefault="00514A54">
      <w:pPr>
        <w:rPr>
          <w:rFonts w:ascii="Arial" w:hAnsi="Arial" w:cs="Arial"/>
          <w:lang w:val="en-GB"/>
        </w:rPr>
      </w:pPr>
    </w:p>
    <w:p w14:paraId="00014BF0" w14:textId="77777777" w:rsidR="00514A54" w:rsidRPr="00E70A8B" w:rsidRDefault="00514A54">
      <w:pPr>
        <w:rPr>
          <w:rFonts w:ascii="Arial" w:hAnsi="Arial" w:cs="Arial"/>
          <w:lang w:val="en-GB"/>
        </w:rPr>
      </w:pPr>
    </w:p>
    <w:p w14:paraId="4CCAF5BA" w14:textId="77777777" w:rsidR="00514A54" w:rsidRPr="00E70A8B" w:rsidRDefault="00A80BB8">
      <w:pPr>
        <w:suppressAutoHyphens w:val="0"/>
        <w:rPr>
          <w:rFonts w:ascii="Arial" w:hAnsi="Arial" w:cs="Arial"/>
          <w:highlight w:val="yellow"/>
          <w:lang w:val="en-GB"/>
        </w:rPr>
      </w:pPr>
      <w:r w:rsidRPr="00E70A8B">
        <w:rPr>
          <w:rFonts w:ascii="Arial" w:hAnsi="Arial" w:cs="Arial"/>
          <w:lang w:val="en-US"/>
        </w:rPr>
        <w:br w:type="page"/>
      </w:r>
    </w:p>
    <w:p w14:paraId="2141BB9D" w14:textId="77777777" w:rsidR="00514A54" w:rsidRPr="00E70A8B" w:rsidRDefault="00514A54">
      <w:pPr>
        <w:rPr>
          <w:rFonts w:ascii="Arial" w:hAnsi="Arial" w:cs="Arial"/>
          <w:lang w:val="en-GB"/>
        </w:rPr>
      </w:pPr>
    </w:p>
    <w:p w14:paraId="71C72B9B" w14:textId="45D192CD" w:rsidR="00514A54" w:rsidRPr="00E70A8B" w:rsidRDefault="00A80BB8">
      <w:pPr>
        <w:rPr>
          <w:rFonts w:ascii="Arial" w:hAnsi="Arial" w:cs="Arial"/>
          <w:lang w:val="en-GB"/>
        </w:rPr>
      </w:pPr>
      <w:r w:rsidRPr="00E70A8B">
        <w:rPr>
          <w:rFonts w:ascii="Arial" w:hAnsi="Arial" w:cs="Arial"/>
          <w:noProof/>
          <w:lang w:val="en-GB"/>
        </w:rPr>
        <w:drawing>
          <wp:anchor distT="0" distB="0" distL="114300" distR="119380" simplePos="0" relativeHeight="2" behindDoc="0" locked="0" layoutInCell="1" allowOverlap="1" wp14:anchorId="39D51924" wp14:editId="3F323C51">
            <wp:simplePos x="0" y="0"/>
            <wp:positionH relativeFrom="column">
              <wp:posOffset>114300</wp:posOffset>
            </wp:positionH>
            <wp:positionV relativeFrom="paragraph">
              <wp:posOffset>82550</wp:posOffset>
            </wp:positionV>
            <wp:extent cx="5760720" cy="2880360"/>
            <wp:effectExtent l="0" t="0" r="0" b="0"/>
            <wp:wrapNone/>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noChangeArrowheads="1"/>
                    </pic:cNvPicPr>
                  </pic:nvPicPr>
                  <pic:blipFill>
                    <a:blip r:embed="rId9"/>
                    <a:stretch>
                      <a:fillRect/>
                    </a:stretch>
                  </pic:blipFill>
                  <pic:spPr bwMode="auto">
                    <a:xfrm>
                      <a:off x="0" y="0"/>
                      <a:ext cx="5760720" cy="2880360"/>
                    </a:xfrm>
                    <a:prstGeom prst="rect">
                      <a:avLst/>
                    </a:prstGeom>
                  </pic:spPr>
                </pic:pic>
              </a:graphicData>
            </a:graphic>
          </wp:anchor>
        </w:drawing>
      </w:r>
    </w:p>
    <w:p w14:paraId="00E0D4A5" w14:textId="77777777" w:rsidR="00514A54" w:rsidRPr="00E70A8B" w:rsidRDefault="00514A54">
      <w:pPr>
        <w:rPr>
          <w:rFonts w:ascii="Arial" w:hAnsi="Arial" w:cs="Arial"/>
          <w:lang w:val="en-GB"/>
        </w:rPr>
      </w:pPr>
    </w:p>
    <w:p w14:paraId="4C4A70D1" w14:textId="77777777" w:rsidR="00514A54" w:rsidRPr="00E70A8B" w:rsidRDefault="00514A54">
      <w:pPr>
        <w:rPr>
          <w:rFonts w:ascii="Arial" w:hAnsi="Arial" w:cs="Arial"/>
          <w:lang w:val="en-GB"/>
        </w:rPr>
      </w:pPr>
    </w:p>
    <w:p w14:paraId="5ED6E894" w14:textId="77777777" w:rsidR="00514A54" w:rsidRPr="00E70A8B" w:rsidRDefault="00514A54">
      <w:pPr>
        <w:rPr>
          <w:rFonts w:ascii="Arial" w:hAnsi="Arial" w:cs="Arial"/>
          <w:lang w:val="en-GB"/>
        </w:rPr>
      </w:pPr>
    </w:p>
    <w:p w14:paraId="75A55539" w14:textId="77777777" w:rsidR="00514A54" w:rsidRPr="00E70A8B" w:rsidRDefault="00514A54">
      <w:pPr>
        <w:rPr>
          <w:rFonts w:ascii="Arial" w:hAnsi="Arial" w:cs="Arial"/>
          <w:lang w:val="en-GB"/>
        </w:rPr>
      </w:pPr>
    </w:p>
    <w:p w14:paraId="62C35547" w14:textId="77777777" w:rsidR="00514A54" w:rsidRPr="00E70A8B" w:rsidRDefault="00514A54">
      <w:pPr>
        <w:rPr>
          <w:rFonts w:ascii="Arial" w:hAnsi="Arial" w:cs="Arial"/>
          <w:lang w:val="en-GB"/>
        </w:rPr>
      </w:pPr>
    </w:p>
    <w:p w14:paraId="7AAB8272" w14:textId="77777777" w:rsidR="00514A54" w:rsidRPr="00E70A8B" w:rsidRDefault="00514A54">
      <w:pPr>
        <w:rPr>
          <w:rFonts w:ascii="Arial" w:hAnsi="Arial" w:cs="Arial"/>
          <w:lang w:val="en-GB"/>
        </w:rPr>
      </w:pPr>
    </w:p>
    <w:p w14:paraId="20B840B5" w14:textId="77777777" w:rsidR="00514A54" w:rsidRPr="00E70A8B" w:rsidRDefault="00514A54">
      <w:pPr>
        <w:rPr>
          <w:rFonts w:ascii="Arial" w:hAnsi="Arial" w:cs="Arial"/>
          <w:lang w:val="en-GB"/>
        </w:rPr>
      </w:pPr>
    </w:p>
    <w:p w14:paraId="57972BCE" w14:textId="77777777" w:rsidR="00514A54" w:rsidRPr="00E70A8B" w:rsidRDefault="00514A54">
      <w:pPr>
        <w:rPr>
          <w:rFonts w:ascii="Arial" w:hAnsi="Arial" w:cs="Arial"/>
          <w:lang w:val="en-GB"/>
        </w:rPr>
      </w:pPr>
    </w:p>
    <w:p w14:paraId="5D7865AF" w14:textId="77777777" w:rsidR="00514A54" w:rsidRPr="00E70A8B" w:rsidRDefault="00514A54">
      <w:pPr>
        <w:rPr>
          <w:rFonts w:ascii="Arial" w:hAnsi="Arial" w:cs="Arial"/>
          <w:lang w:val="en-GB"/>
        </w:rPr>
      </w:pPr>
    </w:p>
    <w:p w14:paraId="6EE1E155" w14:textId="77777777" w:rsidR="00514A54" w:rsidRPr="00E70A8B" w:rsidRDefault="00514A54">
      <w:pPr>
        <w:rPr>
          <w:rFonts w:ascii="Arial" w:hAnsi="Arial" w:cs="Arial"/>
          <w:lang w:val="en-GB"/>
        </w:rPr>
      </w:pPr>
    </w:p>
    <w:p w14:paraId="6A8E7642" w14:textId="77777777" w:rsidR="00514A54" w:rsidRPr="00E70A8B" w:rsidRDefault="00514A54">
      <w:pPr>
        <w:rPr>
          <w:rFonts w:ascii="Arial" w:hAnsi="Arial" w:cs="Arial"/>
          <w:lang w:val="en-GB"/>
        </w:rPr>
      </w:pPr>
    </w:p>
    <w:p w14:paraId="765BAFE5" w14:textId="77777777" w:rsidR="00514A54" w:rsidRPr="00E70A8B" w:rsidRDefault="00514A54">
      <w:pPr>
        <w:rPr>
          <w:rFonts w:ascii="Arial" w:hAnsi="Arial" w:cs="Arial"/>
          <w:lang w:val="en-GB"/>
        </w:rPr>
      </w:pPr>
    </w:p>
    <w:p w14:paraId="3677CFF0" w14:textId="77777777" w:rsidR="00514A54" w:rsidRPr="00E70A8B" w:rsidRDefault="00514A54">
      <w:pPr>
        <w:rPr>
          <w:rFonts w:ascii="Arial" w:hAnsi="Arial" w:cs="Arial"/>
          <w:lang w:val="en-GB"/>
        </w:rPr>
      </w:pPr>
    </w:p>
    <w:p w14:paraId="2D710BD2" w14:textId="77777777" w:rsidR="00514A54" w:rsidRPr="00E70A8B" w:rsidRDefault="00514A54">
      <w:pPr>
        <w:rPr>
          <w:rFonts w:ascii="Arial" w:hAnsi="Arial" w:cs="Arial"/>
          <w:lang w:val="en-GB"/>
        </w:rPr>
      </w:pPr>
    </w:p>
    <w:p w14:paraId="64DF44C3" w14:textId="77777777" w:rsidR="00514A54" w:rsidRPr="00E70A8B" w:rsidRDefault="00514A54">
      <w:pPr>
        <w:rPr>
          <w:rFonts w:ascii="Arial" w:hAnsi="Arial" w:cs="Arial"/>
          <w:lang w:val="en-GB"/>
        </w:rPr>
      </w:pPr>
    </w:p>
    <w:p w14:paraId="645DE5FF" w14:textId="77777777" w:rsidR="00514A54" w:rsidRPr="00E70A8B" w:rsidRDefault="00514A54">
      <w:pPr>
        <w:rPr>
          <w:rFonts w:ascii="Arial" w:hAnsi="Arial" w:cs="Arial"/>
          <w:lang w:val="en-GB"/>
        </w:rPr>
      </w:pPr>
    </w:p>
    <w:p w14:paraId="014D5CD4" w14:textId="77777777" w:rsidR="00514A54" w:rsidRPr="00E70A8B" w:rsidRDefault="00514A54">
      <w:pPr>
        <w:rPr>
          <w:rFonts w:ascii="Arial" w:hAnsi="Arial" w:cs="Arial"/>
          <w:lang w:val="en-GB"/>
        </w:rPr>
      </w:pPr>
    </w:p>
    <w:p w14:paraId="0FEEE7CB" w14:textId="77777777" w:rsidR="00514A54" w:rsidRPr="00E70A8B" w:rsidRDefault="00514A54">
      <w:pPr>
        <w:rPr>
          <w:rFonts w:ascii="Arial" w:hAnsi="Arial" w:cs="Arial"/>
          <w:lang w:val="en-GB"/>
        </w:rPr>
      </w:pPr>
    </w:p>
    <w:p w14:paraId="5B3F01C1" w14:textId="77777777" w:rsidR="00514A54" w:rsidRPr="00E70A8B" w:rsidRDefault="00514A54">
      <w:pPr>
        <w:rPr>
          <w:rFonts w:ascii="Arial" w:hAnsi="Arial" w:cs="Arial"/>
          <w:lang w:val="en-GB"/>
        </w:rPr>
      </w:pPr>
    </w:p>
    <w:p w14:paraId="1B33387F" w14:textId="77777777" w:rsidR="00514A54" w:rsidRPr="00E70A8B" w:rsidRDefault="00514A54">
      <w:pPr>
        <w:rPr>
          <w:rFonts w:ascii="Arial" w:hAnsi="Arial" w:cs="Arial"/>
          <w:lang w:val="en-GB"/>
        </w:rPr>
      </w:pPr>
    </w:p>
    <w:p w14:paraId="170B272C" w14:textId="77777777" w:rsidR="00514A54" w:rsidRPr="00E70A8B" w:rsidRDefault="00514A54">
      <w:pPr>
        <w:rPr>
          <w:rFonts w:ascii="Arial" w:hAnsi="Arial" w:cs="Arial"/>
          <w:lang w:val="en-GB"/>
        </w:rPr>
      </w:pPr>
    </w:p>
    <w:p w14:paraId="21EA7DF5" w14:textId="309112DC" w:rsidR="00514A54" w:rsidRPr="00E70A8B" w:rsidRDefault="00A80BB8">
      <w:pPr>
        <w:rPr>
          <w:rFonts w:ascii="Arial" w:hAnsi="Arial" w:cs="Arial"/>
          <w:lang w:val="en-GB"/>
        </w:rPr>
      </w:pPr>
      <w:r w:rsidRPr="00E70A8B">
        <w:rPr>
          <w:rFonts w:ascii="Arial" w:hAnsi="Arial" w:cs="Arial"/>
          <w:b/>
          <w:lang w:val="en-GB"/>
        </w:rPr>
        <w:t>Fig</w:t>
      </w:r>
      <w:r w:rsidR="00826FD0">
        <w:rPr>
          <w:rFonts w:ascii="Arial" w:hAnsi="Arial" w:cs="Arial"/>
          <w:b/>
          <w:lang w:val="en-GB"/>
        </w:rPr>
        <w:t xml:space="preserve"> D</w:t>
      </w:r>
      <w:r w:rsidRPr="00E70A8B">
        <w:rPr>
          <w:rFonts w:ascii="Arial" w:hAnsi="Arial" w:cs="Arial"/>
          <w:b/>
          <w:lang w:val="en-GB"/>
        </w:rPr>
        <w:t xml:space="preserve">. </w:t>
      </w:r>
      <w:r w:rsidRPr="00E70A8B">
        <w:rPr>
          <w:rFonts w:ascii="Arial" w:hAnsi="Arial" w:cs="Arial"/>
          <w:lang w:val="en-GB"/>
        </w:rPr>
        <w:t>Feature importance of the 41 features in the FINSURF Adjusted model. Features are listed on the x-axis and grouped in four categories: green for nucleotide sequence features, purple for evolutionary sequence conservation features, red for functional genomics features and blue for putative enhancer – promoter association features.</w:t>
      </w:r>
    </w:p>
    <w:p w14:paraId="3BEED19B" w14:textId="77777777" w:rsidR="00514A54" w:rsidRPr="00E70A8B" w:rsidRDefault="00514A54">
      <w:pPr>
        <w:rPr>
          <w:rFonts w:ascii="Arial" w:hAnsi="Arial" w:cs="Arial"/>
          <w:lang w:val="en-GB"/>
        </w:rPr>
      </w:pPr>
    </w:p>
    <w:p w14:paraId="53EC0A96" w14:textId="77777777" w:rsidR="00514A54" w:rsidRPr="00E70A8B" w:rsidRDefault="00514A54">
      <w:pPr>
        <w:rPr>
          <w:rFonts w:ascii="Arial" w:hAnsi="Arial" w:cs="Arial"/>
          <w:lang w:val="en-GB"/>
        </w:rPr>
      </w:pPr>
    </w:p>
    <w:p w14:paraId="215F102F" w14:textId="77777777" w:rsidR="00514A54" w:rsidRPr="00E70A8B" w:rsidRDefault="00514A54">
      <w:pPr>
        <w:rPr>
          <w:rFonts w:ascii="Arial" w:hAnsi="Arial" w:cs="Arial"/>
          <w:lang w:val="en-GB"/>
        </w:rPr>
      </w:pPr>
    </w:p>
    <w:p w14:paraId="56FC9FEF" w14:textId="77777777" w:rsidR="00514A54" w:rsidRPr="00E70A8B" w:rsidRDefault="00514A54">
      <w:pPr>
        <w:rPr>
          <w:rFonts w:ascii="Arial" w:hAnsi="Arial" w:cs="Arial"/>
          <w:lang w:val="en-GB"/>
        </w:rPr>
      </w:pPr>
    </w:p>
    <w:p w14:paraId="34906AE4" w14:textId="77777777" w:rsidR="00514A54" w:rsidRPr="00E70A8B" w:rsidRDefault="00514A54">
      <w:pPr>
        <w:rPr>
          <w:rFonts w:ascii="Arial" w:hAnsi="Arial" w:cs="Arial"/>
          <w:lang w:val="en-GB"/>
        </w:rPr>
      </w:pPr>
    </w:p>
    <w:p w14:paraId="23618937" w14:textId="77777777" w:rsidR="00514A54" w:rsidRPr="00E70A8B" w:rsidRDefault="00514A54">
      <w:pPr>
        <w:rPr>
          <w:rFonts w:ascii="Arial" w:hAnsi="Arial" w:cs="Arial"/>
          <w:lang w:val="en-GB"/>
        </w:rPr>
      </w:pPr>
    </w:p>
    <w:p w14:paraId="6FD9DB65" w14:textId="77777777" w:rsidR="00514A54" w:rsidRPr="00E70A8B" w:rsidRDefault="00514A54">
      <w:pPr>
        <w:rPr>
          <w:rFonts w:ascii="Arial" w:hAnsi="Arial" w:cs="Arial"/>
          <w:lang w:val="en-GB"/>
        </w:rPr>
      </w:pPr>
    </w:p>
    <w:p w14:paraId="13C2986C" w14:textId="77777777" w:rsidR="00514A54" w:rsidRPr="00E70A8B" w:rsidRDefault="00514A54">
      <w:pPr>
        <w:rPr>
          <w:rFonts w:ascii="Arial" w:hAnsi="Arial" w:cs="Arial"/>
          <w:lang w:val="en-GB"/>
        </w:rPr>
      </w:pPr>
    </w:p>
    <w:p w14:paraId="2B5E1BE9" w14:textId="77777777" w:rsidR="00514A54" w:rsidRPr="00E70A8B" w:rsidRDefault="00514A54">
      <w:pPr>
        <w:rPr>
          <w:rFonts w:ascii="Arial" w:hAnsi="Arial" w:cs="Arial"/>
          <w:lang w:val="en-GB"/>
        </w:rPr>
      </w:pPr>
    </w:p>
    <w:p w14:paraId="546187B8" w14:textId="77777777" w:rsidR="00514A54" w:rsidRPr="00E70A8B" w:rsidRDefault="00514A54">
      <w:pPr>
        <w:rPr>
          <w:rFonts w:ascii="Arial" w:hAnsi="Arial" w:cs="Arial"/>
          <w:lang w:val="en-GB"/>
        </w:rPr>
      </w:pPr>
    </w:p>
    <w:p w14:paraId="3CA08206" w14:textId="77777777" w:rsidR="00514A54" w:rsidRPr="00E70A8B" w:rsidRDefault="00514A54">
      <w:pPr>
        <w:rPr>
          <w:rFonts w:ascii="Arial" w:hAnsi="Arial" w:cs="Arial"/>
          <w:lang w:val="en-GB"/>
        </w:rPr>
      </w:pPr>
    </w:p>
    <w:p w14:paraId="74A8F465" w14:textId="77777777" w:rsidR="00514A54" w:rsidRPr="00E70A8B" w:rsidRDefault="00514A54">
      <w:pPr>
        <w:rPr>
          <w:rFonts w:ascii="Arial" w:hAnsi="Arial" w:cs="Arial"/>
          <w:lang w:val="en-GB"/>
        </w:rPr>
      </w:pPr>
    </w:p>
    <w:p w14:paraId="10B4CD31" w14:textId="77777777" w:rsidR="00514A54" w:rsidRPr="00E70A8B" w:rsidRDefault="00514A54">
      <w:pPr>
        <w:rPr>
          <w:rFonts w:ascii="Arial" w:hAnsi="Arial" w:cs="Arial"/>
          <w:lang w:val="en-GB"/>
        </w:rPr>
      </w:pPr>
    </w:p>
    <w:p w14:paraId="03308614" w14:textId="77777777" w:rsidR="00514A54" w:rsidRPr="00E70A8B" w:rsidRDefault="00514A54">
      <w:pPr>
        <w:rPr>
          <w:rFonts w:ascii="Arial" w:hAnsi="Arial" w:cs="Arial"/>
          <w:lang w:val="en-GB"/>
        </w:rPr>
      </w:pPr>
    </w:p>
    <w:p w14:paraId="7794665C" w14:textId="77777777" w:rsidR="00514A54" w:rsidRPr="00E70A8B" w:rsidRDefault="00514A54">
      <w:pPr>
        <w:rPr>
          <w:rFonts w:ascii="Arial" w:hAnsi="Arial" w:cs="Arial"/>
          <w:lang w:val="en-GB"/>
        </w:rPr>
      </w:pPr>
    </w:p>
    <w:p w14:paraId="1327C100" w14:textId="77777777" w:rsidR="00514A54" w:rsidRPr="00E70A8B" w:rsidRDefault="00514A54">
      <w:pPr>
        <w:rPr>
          <w:rFonts w:ascii="Arial" w:hAnsi="Arial" w:cs="Arial"/>
          <w:lang w:val="en-GB"/>
        </w:rPr>
      </w:pPr>
    </w:p>
    <w:p w14:paraId="7723E4DA" w14:textId="77777777" w:rsidR="00514A54" w:rsidRPr="00E70A8B" w:rsidRDefault="00514A54">
      <w:pPr>
        <w:rPr>
          <w:rFonts w:ascii="Arial" w:hAnsi="Arial" w:cs="Arial"/>
          <w:lang w:val="en-GB"/>
        </w:rPr>
      </w:pPr>
    </w:p>
    <w:p w14:paraId="370F86D1" w14:textId="77777777" w:rsidR="00514A54" w:rsidRPr="00E70A8B" w:rsidRDefault="00514A54">
      <w:pPr>
        <w:rPr>
          <w:rFonts w:ascii="Arial" w:hAnsi="Arial" w:cs="Arial"/>
          <w:lang w:val="en-GB"/>
        </w:rPr>
      </w:pPr>
    </w:p>
    <w:p w14:paraId="69B3D112" w14:textId="77777777" w:rsidR="00514A54" w:rsidRPr="00E70A8B" w:rsidRDefault="00514A54">
      <w:pPr>
        <w:rPr>
          <w:rFonts w:ascii="Arial" w:hAnsi="Arial" w:cs="Arial"/>
          <w:lang w:val="en-GB"/>
        </w:rPr>
      </w:pPr>
    </w:p>
    <w:p w14:paraId="326894E1" w14:textId="77777777" w:rsidR="00514A54" w:rsidRPr="00E70A8B" w:rsidRDefault="00514A54">
      <w:pPr>
        <w:rPr>
          <w:rFonts w:ascii="Arial" w:hAnsi="Arial" w:cs="Arial"/>
          <w:lang w:val="en-GB"/>
        </w:rPr>
      </w:pPr>
    </w:p>
    <w:p w14:paraId="71244072" w14:textId="77777777" w:rsidR="00514A54" w:rsidRPr="00E70A8B" w:rsidRDefault="00514A54">
      <w:pPr>
        <w:rPr>
          <w:rFonts w:ascii="Arial" w:hAnsi="Arial" w:cs="Arial"/>
          <w:lang w:val="en-GB"/>
        </w:rPr>
      </w:pPr>
    </w:p>
    <w:p w14:paraId="16C944E9" w14:textId="77777777" w:rsidR="00514A54" w:rsidRPr="00E70A8B" w:rsidRDefault="00514A54">
      <w:pPr>
        <w:rPr>
          <w:rFonts w:ascii="Arial" w:hAnsi="Arial" w:cs="Arial"/>
          <w:lang w:val="en-GB"/>
        </w:rPr>
      </w:pPr>
    </w:p>
    <w:p w14:paraId="42655CE9" w14:textId="77777777" w:rsidR="00514A54" w:rsidRPr="00E70A8B" w:rsidRDefault="00514A54">
      <w:pPr>
        <w:rPr>
          <w:rFonts w:ascii="Arial" w:hAnsi="Arial" w:cs="Arial"/>
          <w:lang w:val="en-GB"/>
        </w:rPr>
      </w:pPr>
    </w:p>
    <w:p w14:paraId="45AA2E50" w14:textId="77777777" w:rsidR="00514A54" w:rsidRPr="00E70A8B" w:rsidRDefault="00514A54">
      <w:pPr>
        <w:rPr>
          <w:rFonts w:ascii="Arial" w:hAnsi="Arial" w:cs="Arial"/>
          <w:lang w:val="en-GB"/>
        </w:rPr>
      </w:pPr>
    </w:p>
    <w:p w14:paraId="2CBF7A78" w14:textId="77777777" w:rsidR="00514A54" w:rsidRPr="00E70A8B" w:rsidRDefault="00514A54">
      <w:pPr>
        <w:rPr>
          <w:rFonts w:ascii="Arial" w:hAnsi="Arial" w:cs="Arial"/>
          <w:lang w:val="en-GB"/>
        </w:rPr>
      </w:pPr>
    </w:p>
    <w:p w14:paraId="48CA2B67" w14:textId="77777777" w:rsidR="00514A54" w:rsidRPr="00E70A8B" w:rsidRDefault="00514A54">
      <w:pPr>
        <w:rPr>
          <w:rFonts w:ascii="Arial" w:hAnsi="Arial" w:cs="Arial"/>
          <w:lang w:val="en-GB"/>
        </w:rPr>
      </w:pPr>
    </w:p>
    <w:p w14:paraId="0EEFF825" w14:textId="77777777" w:rsidR="00514A54" w:rsidRPr="00E70A8B" w:rsidRDefault="00514A54">
      <w:pPr>
        <w:rPr>
          <w:rFonts w:ascii="Arial" w:hAnsi="Arial" w:cs="Arial"/>
          <w:lang w:val="en-GB"/>
        </w:rPr>
      </w:pPr>
    </w:p>
    <w:p w14:paraId="270F623C" w14:textId="77777777" w:rsidR="00514A54" w:rsidRPr="00E70A8B" w:rsidRDefault="00514A54">
      <w:pPr>
        <w:rPr>
          <w:rFonts w:ascii="Arial" w:hAnsi="Arial" w:cs="Arial"/>
          <w:lang w:val="en-GB"/>
        </w:rPr>
      </w:pPr>
    </w:p>
    <w:p w14:paraId="14385385" w14:textId="77777777" w:rsidR="00514A54" w:rsidRPr="00E70A8B" w:rsidRDefault="00514A54">
      <w:pPr>
        <w:rPr>
          <w:rFonts w:ascii="Arial" w:hAnsi="Arial" w:cs="Arial"/>
          <w:lang w:val="en-GB"/>
        </w:rPr>
      </w:pPr>
    </w:p>
    <w:p w14:paraId="4FE8BFE0" w14:textId="77777777" w:rsidR="00514A54" w:rsidRPr="00E70A8B" w:rsidRDefault="00514A54">
      <w:pPr>
        <w:rPr>
          <w:rFonts w:ascii="Arial" w:hAnsi="Arial" w:cs="Arial"/>
          <w:lang w:val="en-GB"/>
        </w:rPr>
      </w:pPr>
    </w:p>
    <w:p w14:paraId="2F15D4CF" w14:textId="77777777" w:rsidR="00514A54" w:rsidRPr="00E70A8B" w:rsidRDefault="00514A54">
      <w:pPr>
        <w:rPr>
          <w:rFonts w:ascii="Arial" w:hAnsi="Arial" w:cs="Arial"/>
          <w:lang w:val="en-GB"/>
        </w:rPr>
      </w:pPr>
    </w:p>
    <w:p w14:paraId="7391DA45" w14:textId="77777777" w:rsidR="00514A54" w:rsidRPr="00E70A8B" w:rsidRDefault="00514A54">
      <w:pPr>
        <w:rPr>
          <w:rFonts w:ascii="Arial" w:hAnsi="Arial" w:cs="Arial"/>
          <w:lang w:val="en-GB"/>
        </w:rPr>
      </w:pPr>
    </w:p>
    <w:p w14:paraId="3D6F7770" w14:textId="77777777" w:rsidR="00514A54" w:rsidRPr="00E70A8B" w:rsidRDefault="00514A54">
      <w:pPr>
        <w:rPr>
          <w:rFonts w:ascii="Arial" w:hAnsi="Arial" w:cs="Arial"/>
          <w:lang w:val="en-GB"/>
        </w:rPr>
      </w:pPr>
    </w:p>
    <w:p w14:paraId="7845CC97" w14:textId="06409481" w:rsidR="00514A54" w:rsidRPr="00E70A8B" w:rsidRDefault="00A80BB8">
      <w:pPr>
        <w:rPr>
          <w:rFonts w:ascii="Arial" w:hAnsi="Arial" w:cs="Arial"/>
          <w:lang w:val="en-GB"/>
        </w:rPr>
      </w:pPr>
      <w:r w:rsidRPr="00E70A8B">
        <w:rPr>
          <w:rFonts w:ascii="Arial" w:hAnsi="Arial" w:cs="Arial"/>
          <w:noProof/>
          <w:lang w:val="en-GB"/>
        </w:rPr>
        <w:lastRenderedPageBreak/>
        <w:drawing>
          <wp:anchor distT="0" distB="0" distL="0" distR="0" simplePos="0" relativeHeight="6" behindDoc="0" locked="0" layoutInCell="1" allowOverlap="1" wp14:anchorId="0540B8C9" wp14:editId="1EFDA3D4">
            <wp:simplePos x="0" y="0"/>
            <wp:positionH relativeFrom="column">
              <wp:posOffset>0</wp:posOffset>
            </wp:positionH>
            <wp:positionV relativeFrom="paragraph">
              <wp:posOffset>83820</wp:posOffset>
            </wp:positionV>
            <wp:extent cx="5760720" cy="5867400"/>
            <wp:effectExtent l="0" t="0" r="0" b="0"/>
            <wp:wrapSquare wrapText="largest"/>
            <wp:docPr id="5"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
                    <pic:cNvPicPr>
                      <a:picLocks noChangeAspect="1" noChangeArrowheads="1"/>
                    </pic:cNvPicPr>
                  </pic:nvPicPr>
                  <pic:blipFill>
                    <a:blip r:embed="rId10"/>
                    <a:stretch>
                      <a:fillRect/>
                    </a:stretch>
                  </pic:blipFill>
                  <pic:spPr bwMode="auto">
                    <a:xfrm>
                      <a:off x="0" y="0"/>
                      <a:ext cx="5760720" cy="5867400"/>
                    </a:xfrm>
                    <a:prstGeom prst="rect">
                      <a:avLst/>
                    </a:prstGeom>
                  </pic:spPr>
                </pic:pic>
              </a:graphicData>
            </a:graphic>
          </wp:anchor>
        </w:drawing>
      </w:r>
    </w:p>
    <w:p w14:paraId="28C6B2F2" w14:textId="77777777" w:rsidR="00514A54" w:rsidRPr="00E70A8B" w:rsidRDefault="00514A54">
      <w:pPr>
        <w:rPr>
          <w:rFonts w:ascii="Arial" w:hAnsi="Arial" w:cs="Arial"/>
          <w:lang w:val="en-GB"/>
        </w:rPr>
      </w:pPr>
    </w:p>
    <w:p w14:paraId="69CBAB94" w14:textId="77777777" w:rsidR="00514A54" w:rsidRPr="00E70A8B" w:rsidRDefault="00514A54">
      <w:pPr>
        <w:rPr>
          <w:rFonts w:ascii="Arial" w:hAnsi="Arial" w:cs="Arial"/>
          <w:lang w:val="en-GB"/>
        </w:rPr>
      </w:pPr>
    </w:p>
    <w:p w14:paraId="45823969" w14:textId="55F6BBDD" w:rsidR="00514A54" w:rsidRPr="00E70A8B" w:rsidRDefault="00A80BB8">
      <w:pPr>
        <w:rPr>
          <w:rFonts w:ascii="Arial" w:hAnsi="Arial" w:cs="Arial"/>
          <w:lang w:val="en-US"/>
        </w:rPr>
      </w:pPr>
      <w:r w:rsidRPr="00E70A8B">
        <w:rPr>
          <w:rFonts w:ascii="Arial" w:hAnsi="Arial" w:cs="Arial"/>
          <w:b/>
          <w:lang w:val="en-GB"/>
        </w:rPr>
        <w:t>Fig</w:t>
      </w:r>
      <w:r w:rsidR="00826FD0">
        <w:rPr>
          <w:rFonts w:ascii="Arial" w:hAnsi="Arial" w:cs="Arial"/>
          <w:b/>
          <w:lang w:val="en-GB"/>
        </w:rPr>
        <w:t xml:space="preserve"> E</w:t>
      </w:r>
      <w:r w:rsidRPr="00E70A8B">
        <w:rPr>
          <w:rFonts w:ascii="Arial" w:hAnsi="Arial" w:cs="Arial"/>
          <w:lang w:val="en-GB"/>
        </w:rPr>
        <w:t xml:space="preserve">. Analysis of the 878 positive control variants of the FINSURF model through their feature contribution profiles. Contributions to the prediction score were calculated for each variant, and k-means clustering was applied. </w:t>
      </w:r>
      <w:r w:rsidRPr="00E70A8B">
        <w:rPr>
          <w:rFonts w:ascii="Arial" w:hAnsi="Arial" w:cs="Arial"/>
          <w:b/>
          <w:lang w:val="en-GB"/>
        </w:rPr>
        <w:t>a</w:t>
      </w:r>
      <w:r w:rsidRPr="00E70A8B">
        <w:rPr>
          <w:rFonts w:ascii="Arial" w:hAnsi="Arial" w:cs="Arial"/>
          <w:lang w:val="en-GB"/>
        </w:rPr>
        <w:t xml:space="preserve">. Different number of clusters were explored, and the finale number K=7 was selected from the joint minimization of the inertia and maximization of the silhouette. </w:t>
      </w:r>
      <w:r w:rsidRPr="00E70A8B">
        <w:rPr>
          <w:rFonts w:ascii="Arial" w:hAnsi="Arial" w:cs="Arial"/>
          <w:b/>
          <w:lang w:val="en-GB"/>
        </w:rPr>
        <w:t>b</w:t>
      </w:r>
      <w:r w:rsidRPr="00E70A8B">
        <w:rPr>
          <w:rFonts w:ascii="Arial" w:hAnsi="Arial" w:cs="Arial"/>
          <w:lang w:val="en-GB"/>
        </w:rPr>
        <w:t xml:space="preserve">. Distribution of scores of variants per cluster, </w:t>
      </w:r>
      <w:proofErr w:type="spellStart"/>
      <w:r w:rsidRPr="00E70A8B">
        <w:rPr>
          <w:rFonts w:ascii="Arial" w:hAnsi="Arial" w:cs="Arial"/>
          <w:lang w:val="en-GB"/>
        </w:rPr>
        <w:t>colored</w:t>
      </w:r>
      <w:proofErr w:type="spellEnd"/>
      <w:r w:rsidRPr="00E70A8B">
        <w:rPr>
          <w:rFonts w:ascii="Arial" w:hAnsi="Arial" w:cs="Arial"/>
          <w:lang w:val="en-GB"/>
        </w:rPr>
        <w:t xml:space="preserve"> by the predicted class when applying the optimal threshold of 0.51. </w:t>
      </w:r>
      <w:r w:rsidRPr="00E70A8B">
        <w:rPr>
          <w:rFonts w:ascii="Arial" w:hAnsi="Arial" w:cs="Arial"/>
          <w:b/>
          <w:lang w:val="en-GB"/>
        </w:rPr>
        <w:t>c</w:t>
      </w:r>
      <w:r w:rsidRPr="00E70A8B">
        <w:rPr>
          <w:rFonts w:ascii="Arial" w:hAnsi="Arial" w:cs="Arial"/>
          <w:lang w:val="en-GB"/>
        </w:rPr>
        <w:t>. Average functional profile of the 7 clusters. These profiles highlight how feature contributions relate to the raw values of the features, as processed by the random forests. For each cluster, the raw values were normalized, and averaged from the variants within the cluster (</w:t>
      </w:r>
      <w:proofErr w:type="spellStart"/>
      <w:r w:rsidRPr="00E70A8B">
        <w:rPr>
          <w:rFonts w:ascii="Arial" w:hAnsi="Arial" w:cs="Arial"/>
          <w:lang w:val="en-GB"/>
        </w:rPr>
        <w:t>colored</w:t>
      </w:r>
      <w:proofErr w:type="spellEnd"/>
      <w:r w:rsidRPr="00E70A8B">
        <w:rPr>
          <w:rFonts w:ascii="Arial" w:hAnsi="Arial" w:cs="Arial"/>
          <w:lang w:val="en-GB"/>
        </w:rPr>
        <w:t xml:space="preserve"> bars). Reference values (dark grey bars) correspond to the average from the rest of the training dataset (i.e. positive controls in other clusters and negative controls). The </w:t>
      </w:r>
      <w:proofErr w:type="spellStart"/>
      <w:r w:rsidRPr="00E70A8B">
        <w:rPr>
          <w:rFonts w:ascii="Arial" w:hAnsi="Arial" w:cs="Arial"/>
          <w:lang w:val="en-GB"/>
        </w:rPr>
        <w:t>color</w:t>
      </w:r>
      <w:proofErr w:type="spellEnd"/>
      <w:r w:rsidRPr="00E70A8B">
        <w:rPr>
          <w:rFonts w:ascii="Arial" w:hAnsi="Arial" w:cs="Arial"/>
          <w:lang w:val="en-GB"/>
        </w:rPr>
        <w:t xml:space="preserve"> of the bars is based on the average contributions of the features in each cluster.</w:t>
      </w:r>
      <w:r w:rsidRPr="00E70A8B">
        <w:rPr>
          <w:rFonts w:ascii="Arial" w:hAnsi="Arial" w:cs="Arial"/>
          <w:lang w:val="en-US"/>
        </w:rPr>
        <w:br w:type="page"/>
      </w:r>
    </w:p>
    <w:p w14:paraId="2FE15985" w14:textId="3E41069C" w:rsidR="00514A54" w:rsidRPr="00E70A8B" w:rsidRDefault="00A80BB8">
      <w:pPr>
        <w:rPr>
          <w:rFonts w:ascii="Arial" w:hAnsi="Arial" w:cs="Arial"/>
          <w:b/>
          <w:lang w:val="en-GB"/>
        </w:rPr>
      </w:pPr>
      <w:r w:rsidRPr="00E70A8B">
        <w:rPr>
          <w:rFonts w:ascii="Arial" w:hAnsi="Arial" w:cs="Arial"/>
          <w:noProof/>
        </w:rPr>
        <w:lastRenderedPageBreak/>
        <w:drawing>
          <wp:anchor distT="0" distB="0" distL="0" distR="0" simplePos="0" relativeHeight="7" behindDoc="0" locked="0" layoutInCell="1" allowOverlap="1" wp14:anchorId="0382C753" wp14:editId="4B255D52">
            <wp:simplePos x="0" y="0"/>
            <wp:positionH relativeFrom="column">
              <wp:posOffset>-38735</wp:posOffset>
            </wp:positionH>
            <wp:positionV relativeFrom="paragraph">
              <wp:posOffset>71755</wp:posOffset>
            </wp:positionV>
            <wp:extent cx="5760720" cy="4427220"/>
            <wp:effectExtent l="0" t="0" r="0" b="0"/>
            <wp:wrapSquare wrapText="largest"/>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pic:cNvPicPr>
                      <a:picLocks noChangeAspect="1" noChangeArrowheads="1"/>
                    </pic:cNvPicPr>
                  </pic:nvPicPr>
                  <pic:blipFill>
                    <a:blip r:embed="rId11"/>
                    <a:stretch>
                      <a:fillRect/>
                    </a:stretch>
                  </pic:blipFill>
                  <pic:spPr bwMode="auto">
                    <a:xfrm>
                      <a:off x="0" y="0"/>
                      <a:ext cx="5760720" cy="4427220"/>
                    </a:xfrm>
                    <a:prstGeom prst="rect">
                      <a:avLst/>
                    </a:prstGeom>
                  </pic:spPr>
                </pic:pic>
              </a:graphicData>
            </a:graphic>
          </wp:anchor>
        </w:drawing>
      </w:r>
    </w:p>
    <w:p w14:paraId="73341E20" w14:textId="77777777" w:rsidR="00514A54" w:rsidRPr="00E70A8B" w:rsidRDefault="00514A54">
      <w:pPr>
        <w:rPr>
          <w:rFonts w:ascii="Arial" w:hAnsi="Arial" w:cs="Arial"/>
          <w:b/>
          <w:lang w:val="en-GB"/>
        </w:rPr>
      </w:pPr>
    </w:p>
    <w:p w14:paraId="65B159EF" w14:textId="132872DB" w:rsidR="00514A54" w:rsidRPr="00E70A8B" w:rsidRDefault="00A80BB8">
      <w:pPr>
        <w:rPr>
          <w:rFonts w:ascii="Arial" w:hAnsi="Arial" w:cs="Arial"/>
          <w:b/>
          <w:lang w:val="en-GB"/>
        </w:rPr>
      </w:pPr>
      <w:r w:rsidRPr="00E70A8B">
        <w:rPr>
          <w:rFonts w:ascii="Arial" w:hAnsi="Arial" w:cs="Arial"/>
          <w:b/>
          <w:lang w:val="en-GB"/>
        </w:rPr>
        <w:t>Fig</w:t>
      </w:r>
      <w:r w:rsidR="00826FD0">
        <w:rPr>
          <w:rFonts w:ascii="Arial" w:hAnsi="Arial" w:cs="Arial"/>
          <w:b/>
          <w:lang w:val="en-GB"/>
        </w:rPr>
        <w:t xml:space="preserve"> F</w:t>
      </w:r>
      <w:r w:rsidRPr="00E70A8B">
        <w:rPr>
          <w:rFonts w:ascii="Arial" w:hAnsi="Arial" w:cs="Arial"/>
          <w:b/>
          <w:lang w:val="en-GB"/>
        </w:rPr>
        <w:t xml:space="preserve">. </w:t>
      </w:r>
      <w:r w:rsidRPr="00E70A8B">
        <w:rPr>
          <w:rFonts w:ascii="Arial" w:hAnsi="Arial" w:cs="Arial"/>
          <w:lang w:val="en-GB"/>
        </w:rPr>
        <w:t xml:space="preserve">Predicting highly pathogenic disease variant in genomic context. </w:t>
      </w:r>
      <w:r w:rsidRPr="00E70A8B">
        <w:rPr>
          <w:rFonts w:ascii="Arial" w:hAnsi="Arial" w:cs="Arial"/>
          <w:b/>
          <w:lang w:val="en-GB"/>
        </w:rPr>
        <w:t>a</w:t>
      </w:r>
      <w:r w:rsidRPr="00E70A8B">
        <w:rPr>
          <w:rFonts w:ascii="Arial" w:hAnsi="Arial" w:cs="Arial"/>
          <w:lang w:val="en-GB"/>
        </w:rPr>
        <w:t xml:space="preserve">. Box-plots representation and individual FINSURF score values for 92 known pathogenic variants from the </w:t>
      </w:r>
      <w:proofErr w:type="spellStart"/>
      <w:r w:rsidRPr="00E70A8B">
        <w:rPr>
          <w:rFonts w:ascii="Arial" w:hAnsi="Arial" w:cs="Arial"/>
          <w:lang w:val="en-GB"/>
        </w:rPr>
        <w:t>Genomiser</w:t>
      </w:r>
      <w:proofErr w:type="spellEnd"/>
      <w:r w:rsidRPr="00E70A8B">
        <w:rPr>
          <w:rFonts w:ascii="Arial" w:hAnsi="Arial" w:cs="Arial"/>
          <w:lang w:val="en-GB"/>
        </w:rPr>
        <w:t xml:space="preserve"> dataset but absent from the FINSURF training set. While 43 variants are very close (</w:t>
      </w:r>
      <w:r w:rsidRPr="00E70A8B">
        <w:rPr>
          <w:rFonts w:ascii="Arial" w:eastAsia="MS Gothic" w:hAnsi="Arial" w:cs="Arial"/>
          <w:color w:val="000000"/>
          <w:lang w:val="en-US"/>
        </w:rPr>
        <w:t>≤</w:t>
      </w:r>
      <w:r w:rsidRPr="00E70A8B">
        <w:rPr>
          <w:rFonts w:ascii="Arial" w:hAnsi="Arial" w:cs="Arial"/>
          <w:lang w:val="en-GB"/>
        </w:rPr>
        <w:t xml:space="preserve"> 1kb) to one of the latter (left), the remaining 49 are sufficiently far (&gt; 1kb) to be considered to overlap independent annotations.  Of these a subset of 38 variants are also predicted to reside in a regulatory element targeting a gene that is not in the set of targets of variants in the FINSURF training set (“not seen”). Since the two subsets (N=11 and N=38) show largely overlapping score distributions, they were all used for classification performance in a genomic context.   </w:t>
      </w:r>
      <w:r w:rsidRPr="00E70A8B">
        <w:rPr>
          <w:rFonts w:ascii="Arial" w:hAnsi="Arial" w:cs="Arial"/>
          <w:b/>
          <w:lang w:val="en-GB"/>
        </w:rPr>
        <w:t>b</w:t>
      </w:r>
      <w:r w:rsidRPr="00E70A8B">
        <w:rPr>
          <w:rFonts w:ascii="Arial" w:hAnsi="Arial" w:cs="Arial"/>
          <w:lang w:val="en-GB"/>
        </w:rPr>
        <w:t xml:space="preserve">. Classification performance comparisons between FINSURF and eight other methods on the set of 49 positive variants described in (a): left, ROC; middle, PRC; right, scatterplot of ROC versus PRC AUC values for graphs shown on the left and middle panels. We dropped the 3 variants from the MODY11 and PRS diseases, as they were located in regulatory regions not targeting the reported disease gene. Note that only 37 variants were eventually scored by all 9 methods and could be used for the analysis. The negative set used here were the 875 Platinum variants also residing in the same predicted regulatory </w:t>
      </w:r>
      <w:r w:rsidR="00A67428">
        <w:rPr>
          <w:rFonts w:ascii="Arial" w:hAnsi="Arial" w:cs="Arial"/>
          <w:lang w:val="en-GB"/>
        </w:rPr>
        <w:t>regions</w:t>
      </w:r>
      <w:r w:rsidRPr="00E70A8B">
        <w:rPr>
          <w:rFonts w:ascii="Arial" w:hAnsi="Arial" w:cs="Arial"/>
          <w:lang w:val="en-GB"/>
        </w:rPr>
        <w:t xml:space="preserve"> as the 37 positives. </w:t>
      </w:r>
      <w:r w:rsidRPr="00E70A8B">
        <w:rPr>
          <w:rFonts w:ascii="Arial" w:hAnsi="Arial" w:cs="Arial"/>
          <w:b/>
          <w:bCs/>
          <w:lang w:val="en-GB"/>
        </w:rPr>
        <w:t xml:space="preserve">c. </w:t>
      </w:r>
      <w:r w:rsidRPr="00E70A8B">
        <w:rPr>
          <w:rFonts w:ascii="Arial" w:hAnsi="Arial" w:cs="Arial"/>
          <w:lang w:val="en-GB"/>
        </w:rPr>
        <w:t xml:space="preserve">Table reporting the number of OMIM diseases where at least one of the </w:t>
      </w:r>
      <w:proofErr w:type="spellStart"/>
      <w:r w:rsidRPr="00E70A8B">
        <w:rPr>
          <w:rFonts w:ascii="Arial" w:hAnsi="Arial" w:cs="Arial"/>
          <w:lang w:val="en-GB"/>
        </w:rPr>
        <w:t>Genomiser</w:t>
      </w:r>
      <w:proofErr w:type="spellEnd"/>
      <w:r w:rsidRPr="00E70A8B">
        <w:rPr>
          <w:rFonts w:ascii="Arial" w:hAnsi="Arial" w:cs="Arial"/>
          <w:lang w:val="en-GB"/>
        </w:rPr>
        <w:t xml:space="preserve"> variants is found in the top 10 candidates</w:t>
      </w:r>
      <w:r w:rsidR="0030183C">
        <w:rPr>
          <w:rFonts w:ascii="Arial" w:hAnsi="Arial" w:cs="Arial"/>
          <w:lang w:val="en-GB"/>
        </w:rPr>
        <w:t xml:space="preserve">, after the native score </w:t>
      </w:r>
      <w:r w:rsidR="00540634">
        <w:rPr>
          <w:rFonts w:ascii="Arial" w:hAnsi="Arial" w:cs="Arial"/>
          <w:lang w:val="en-GB"/>
        </w:rPr>
        <w:t xml:space="preserve">from each method </w:t>
      </w:r>
      <w:r w:rsidR="0030183C">
        <w:rPr>
          <w:rFonts w:ascii="Arial" w:hAnsi="Arial" w:cs="Arial"/>
          <w:lang w:val="en-GB"/>
        </w:rPr>
        <w:t>was filtered through Enhancer-Gene interactions that are part of the FINSURF approach</w:t>
      </w:r>
      <w:r w:rsidRPr="00E70A8B">
        <w:rPr>
          <w:rFonts w:ascii="Arial" w:hAnsi="Arial" w:cs="Arial"/>
          <w:lang w:val="en-GB"/>
        </w:rPr>
        <w:t xml:space="preserve">. The first row indicates these counts for each method, where </w:t>
      </w:r>
      <w:proofErr w:type="spellStart"/>
      <w:r w:rsidRPr="00E70A8B">
        <w:rPr>
          <w:rFonts w:ascii="Arial" w:hAnsi="Arial" w:cs="Arial"/>
          <w:lang w:val="en-GB"/>
        </w:rPr>
        <w:t>Genomiser</w:t>
      </w:r>
      <w:proofErr w:type="spellEnd"/>
      <w:r w:rsidRPr="00E70A8B">
        <w:rPr>
          <w:rFonts w:ascii="Arial" w:hAnsi="Arial" w:cs="Arial"/>
          <w:lang w:val="en-GB"/>
        </w:rPr>
        <w:t xml:space="preserve"> variants are ranked among Platinum variants from within regulatory regions targeting the disease genes from each disease. The total of 30 OMIM disease is reduced for some methods, as ranking is impossible if they do not provide scores for all </w:t>
      </w:r>
      <w:proofErr w:type="spellStart"/>
      <w:r w:rsidRPr="00E70A8B">
        <w:rPr>
          <w:rFonts w:ascii="Arial" w:hAnsi="Arial" w:cs="Arial"/>
          <w:lang w:val="en-GB"/>
        </w:rPr>
        <w:t>Genomiser</w:t>
      </w:r>
      <w:proofErr w:type="spellEnd"/>
      <w:r w:rsidRPr="00E70A8B">
        <w:rPr>
          <w:rFonts w:ascii="Arial" w:hAnsi="Arial" w:cs="Arial"/>
          <w:lang w:val="en-GB"/>
        </w:rPr>
        <w:t xml:space="preserve"> variants. The second row </w:t>
      </w:r>
      <w:r w:rsidR="00E124EE" w:rsidRPr="00E70A8B">
        <w:rPr>
          <w:rFonts w:ascii="Arial" w:hAnsi="Arial" w:cs="Arial"/>
          <w:lang w:val="en-GB"/>
        </w:rPr>
        <w:t>shows</w:t>
      </w:r>
      <w:r w:rsidRPr="00E70A8B">
        <w:rPr>
          <w:rFonts w:ascii="Arial" w:hAnsi="Arial" w:cs="Arial"/>
          <w:lang w:val="en-GB"/>
        </w:rPr>
        <w:t xml:space="preserve"> these counts for the subset of OMIM diseases where all variants are scored by all methods. Note that </w:t>
      </w:r>
      <w:r w:rsidR="00E124EE" w:rsidRPr="00E70A8B">
        <w:rPr>
          <w:rFonts w:ascii="Arial" w:hAnsi="Arial" w:cs="Arial"/>
          <w:lang w:val="en-GB"/>
        </w:rPr>
        <w:t xml:space="preserve">here </w:t>
      </w:r>
      <w:r w:rsidRPr="00E70A8B">
        <w:rPr>
          <w:rFonts w:ascii="Arial" w:hAnsi="Arial" w:cs="Arial"/>
          <w:lang w:val="en-GB"/>
        </w:rPr>
        <w:t xml:space="preserve">59% of Platinum variants are discarded, reducing the space search in an unrealistic fashion. </w:t>
      </w:r>
      <w:r w:rsidRPr="00E70A8B">
        <w:rPr>
          <w:rFonts w:ascii="Arial" w:hAnsi="Arial" w:cs="Arial"/>
          <w:b/>
          <w:bCs/>
          <w:lang w:val="en-GB"/>
        </w:rPr>
        <w:t>d</w:t>
      </w:r>
      <w:r w:rsidRPr="00E70A8B">
        <w:rPr>
          <w:rFonts w:ascii="Arial" w:hAnsi="Arial" w:cs="Arial"/>
          <w:lang w:val="en-GB"/>
        </w:rPr>
        <w:t>. Comparison of ranks for the 37 positive variants among the 875 negatives, based on scores attributed by FINSURF and eight other methods</w:t>
      </w:r>
      <w:r w:rsidR="00FF064E">
        <w:rPr>
          <w:rFonts w:ascii="Arial" w:hAnsi="Arial" w:cs="Arial"/>
          <w:lang w:val="en-GB"/>
        </w:rPr>
        <w:t>, after the native score from each method was filtered through Enhancer-Gene interactions that are part of the FINSURF approach</w:t>
      </w:r>
      <w:r w:rsidRPr="00E70A8B">
        <w:rPr>
          <w:rFonts w:ascii="Arial" w:hAnsi="Arial" w:cs="Arial"/>
          <w:lang w:val="en-GB"/>
        </w:rPr>
        <w:t xml:space="preserve">. Ranks were normalised between 0 and 100 for each method (y-axis). Colours represent different diseases. The graph shows that there is little correlation between variant ranks among the different methods. </w:t>
      </w:r>
      <w:r w:rsidRPr="00E70A8B">
        <w:rPr>
          <w:rFonts w:ascii="Arial" w:hAnsi="Arial" w:cs="Arial"/>
          <w:lang w:val="en-US"/>
        </w:rPr>
        <w:br w:type="page"/>
      </w:r>
    </w:p>
    <w:p w14:paraId="630C8E0A" w14:textId="77777777" w:rsidR="00514A54" w:rsidRPr="00E70A8B" w:rsidRDefault="00514A54">
      <w:pPr>
        <w:rPr>
          <w:rFonts w:ascii="Arial" w:hAnsi="Arial" w:cs="Arial"/>
          <w:b/>
          <w:lang w:val="en-GB"/>
        </w:rPr>
      </w:pPr>
    </w:p>
    <w:p w14:paraId="73B20905" w14:textId="77777777" w:rsidR="00514A54" w:rsidRPr="00E70A8B" w:rsidRDefault="00514A54">
      <w:pPr>
        <w:rPr>
          <w:rFonts w:ascii="Arial" w:hAnsi="Arial" w:cs="Arial"/>
          <w:b/>
          <w:lang w:val="en-GB"/>
        </w:rPr>
      </w:pPr>
    </w:p>
    <w:p w14:paraId="1010FA88" w14:textId="77777777" w:rsidR="00514A54" w:rsidRPr="00E70A8B" w:rsidRDefault="00A80BB8">
      <w:pPr>
        <w:rPr>
          <w:rFonts w:ascii="Arial" w:hAnsi="Arial" w:cs="Arial"/>
          <w:b/>
          <w:lang w:val="en-GB"/>
        </w:rPr>
      </w:pPr>
      <w:r w:rsidRPr="00E70A8B">
        <w:rPr>
          <w:rFonts w:ascii="Arial" w:hAnsi="Arial" w:cs="Arial"/>
          <w:b/>
          <w:lang w:val="en-GB"/>
        </w:rPr>
        <w:t>References</w:t>
      </w:r>
    </w:p>
    <w:p w14:paraId="7667F4AA" w14:textId="77777777" w:rsidR="00514A54" w:rsidRPr="00E70A8B" w:rsidRDefault="00514A54">
      <w:pPr>
        <w:rPr>
          <w:rFonts w:ascii="Arial" w:hAnsi="Arial" w:cs="Arial"/>
          <w:b/>
          <w:lang w:val="en-GB"/>
        </w:rPr>
      </w:pPr>
    </w:p>
    <w:p w14:paraId="6730ADF7" w14:textId="77777777" w:rsidR="004A7EB4" w:rsidRPr="004A7EB4" w:rsidRDefault="00A80BB8" w:rsidP="004A7EB4">
      <w:pPr>
        <w:pStyle w:val="Bibliography"/>
        <w:rPr>
          <w:rFonts w:ascii="Arial" w:hAnsi="Arial" w:cs="Arial"/>
          <w:lang w:val="en-GB"/>
        </w:rPr>
      </w:pPr>
      <w:r w:rsidRPr="00E70A8B">
        <w:rPr>
          <w:rFonts w:ascii="Arial" w:hAnsi="Arial" w:cs="Arial"/>
        </w:rPr>
        <w:fldChar w:fldCharType="begin"/>
      </w:r>
      <w:r w:rsidR="004A7EB4">
        <w:rPr>
          <w:rFonts w:ascii="Arial" w:hAnsi="Arial" w:cs="Arial"/>
          <w:lang w:val="en-GB"/>
        </w:rPr>
        <w:instrText xml:space="preserve"> ADDIN ZOTERO_BIBL {"uncited":[],"omitted":[],"custom":[]} CSL_BIBLIOGRAPHY </w:instrText>
      </w:r>
      <w:r w:rsidRPr="00E70A8B">
        <w:rPr>
          <w:rFonts w:ascii="Arial" w:hAnsi="Arial" w:cs="Arial"/>
        </w:rPr>
        <w:fldChar w:fldCharType="separate"/>
      </w:r>
      <w:bookmarkStart w:id="96" w:name="__Fieldmark__1141_2281253091"/>
      <w:bookmarkStart w:id="97" w:name="__Fieldmark__1173_3451003990"/>
      <w:r w:rsidR="004A7EB4" w:rsidRPr="004A7EB4">
        <w:rPr>
          <w:rFonts w:ascii="Arial" w:hAnsi="Arial" w:cs="Arial"/>
          <w:lang w:val="en-GB"/>
        </w:rPr>
        <w:t xml:space="preserve">1. </w:t>
      </w:r>
      <w:r w:rsidR="004A7EB4" w:rsidRPr="004A7EB4">
        <w:rPr>
          <w:rFonts w:ascii="Arial" w:hAnsi="Arial" w:cs="Arial"/>
          <w:lang w:val="en-GB"/>
        </w:rPr>
        <w:tab/>
        <w:t>Lee CM, Barber GP, Casper J, Clawson H, Diekhans M, Gonzalez JN, et al. UCSC Genome Browser enters 20th year. Nucleic Acids Res. 2020;48: D756–D761. doi:10.1093/nar/gkz1012</w:t>
      </w:r>
    </w:p>
    <w:p w14:paraId="518EC8DA" w14:textId="77777777" w:rsidR="004A7EB4" w:rsidRPr="004A7EB4" w:rsidRDefault="004A7EB4" w:rsidP="004A7EB4">
      <w:pPr>
        <w:pStyle w:val="Bibliography"/>
        <w:rPr>
          <w:rFonts w:ascii="Arial" w:hAnsi="Arial" w:cs="Arial"/>
          <w:lang w:val="en-GB"/>
        </w:rPr>
      </w:pPr>
      <w:r w:rsidRPr="004A7EB4">
        <w:rPr>
          <w:rFonts w:ascii="Arial" w:hAnsi="Arial" w:cs="Arial"/>
          <w:lang w:val="en-GB"/>
        </w:rPr>
        <w:t xml:space="preserve">2. </w:t>
      </w:r>
      <w:r w:rsidRPr="004A7EB4">
        <w:rPr>
          <w:rFonts w:ascii="Arial" w:hAnsi="Arial" w:cs="Arial"/>
          <w:lang w:val="en-GB"/>
        </w:rPr>
        <w:tab/>
        <w:t>Pollard KS, Hubisz MJ, Rosenbloom KR, Siepel A. Detection of nonneutral substitution rates on mammalian phylogenies. Genome Res. 2010;20: 110–121. doi:10.1101/gr.097857.109</w:t>
      </w:r>
    </w:p>
    <w:p w14:paraId="6DBC3127" w14:textId="77777777" w:rsidR="004A7EB4" w:rsidRPr="004A7EB4" w:rsidRDefault="004A7EB4" w:rsidP="004A7EB4">
      <w:pPr>
        <w:pStyle w:val="Bibliography"/>
        <w:rPr>
          <w:rFonts w:ascii="Arial" w:hAnsi="Arial" w:cs="Arial"/>
          <w:lang w:val="en-GB"/>
        </w:rPr>
      </w:pPr>
      <w:r w:rsidRPr="004A7EB4">
        <w:rPr>
          <w:rFonts w:ascii="Arial" w:hAnsi="Arial" w:cs="Arial"/>
          <w:lang w:val="en-GB"/>
        </w:rPr>
        <w:t xml:space="preserve">3. </w:t>
      </w:r>
      <w:r w:rsidRPr="004A7EB4">
        <w:rPr>
          <w:rFonts w:ascii="Arial" w:hAnsi="Arial" w:cs="Arial"/>
          <w:lang w:val="en-GB"/>
        </w:rPr>
        <w:tab/>
        <w:t>Siepel A, Bejerano G, Pedersen JS, Hinrichs AS, Hou M, Rosenbloom K, et al. Evolutionarily conserved elements in vertebrate, insect, worm, and yeast genomes. Genome Res. 2005;15: 1034–1050. doi:10.1101/gr.3715005</w:t>
      </w:r>
    </w:p>
    <w:p w14:paraId="67B69CD4" w14:textId="77777777" w:rsidR="004A7EB4" w:rsidRPr="004A7EB4" w:rsidRDefault="004A7EB4" w:rsidP="004A7EB4">
      <w:pPr>
        <w:pStyle w:val="Bibliography"/>
        <w:rPr>
          <w:rFonts w:ascii="Arial" w:hAnsi="Arial" w:cs="Arial"/>
          <w:lang w:val="en-GB"/>
        </w:rPr>
      </w:pPr>
      <w:r w:rsidRPr="004A7EB4">
        <w:rPr>
          <w:rFonts w:ascii="Arial" w:hAnsi="Arial" w:cs="Arial"/>
          <w:lang w:val="en-GB"/>
        </w:rPr>
        <w:t xml:space="preserve">4. </w:t>
      </w:r>
      <w:r w:rsidRPr="004A7EB4">
        <w:rPr>
          <w:rFonts w:ascii="Arial" w:hAnsi="Arial" w:cs="Arial"/>
          <w:lang w:val="en-GB"/>
        </w:rPr>
        <w:tab/>
        <w:t>di Iulio J, Bartha I, Wong EHM, Yu HC, Lavrenko V, Yang D, et al. The human noncoding genome defined by genetic diversity. Nature genetics. 2018. doi:10.1038/s41588-018-0062-7</w:t>
      </w:r>
    </w:p>
    <w:p w14:paraId="63AB4E00" w14:textId="77777777" w:rsidR="004A7EB4" w:rsidRPr="00AC0AD9" w:rsidRDefault="004A7EB4" w:rsidP="004A7EB4">
      <w:pPr>
        <w:pStyle w:val="Bibliography"/>
        <w:rPr>
          <w:rFonts w:ascii="Arial" w:hAnsi="Arial" w:cs="Arial"/>
        </w:rPr>
      </w:pPr>
      <w:r w:rsidRPr="004A7EB4">
        <w:rPr>
          <w:rFonts w:ascii="Arial" w:hAnsi="Arial" w:cs="Arial"/>
          <w:lang w:val="en-GB"/>
        </w:rPr>
        <w:t xml:space="preserve">5. </w:t>
      </w:r>
      <w:r w:rsidRPr="004A7EB4">
        <w:rPr>
          <w:rFonts w:ascii="Arial" w:hAnsi="Arial" w:cs="Arial"/>
          <w:lang w:val="en-GB"/>
        </w:rPr>
        <w:tab/>
        <w:t xml:space="preserve">Cooper GM, Stone EA, Asimenos G, Green ED, Batzoglou S, Sidow A. Distribution and intensity of constraint in mammalian genomic sequence. </w:t>
      </w:r>
      <w:r w:rsidRPr="00AC0AD9">
        <w:rPr>
          <w:rFonts w:ascii="Arial" w:hAnsi="Arial" w:cs="Arial"/>
        </w:rPr>
        <w:t>Genome Res. 2005;15: 901–913. doi:10.1101/gr.3577405</w:t>
      </w:r>
    </w:p>
    <w:p w14:paraId="3DDC3FCD" w14:textId="77777777" w:rsidR="004A7EB4" w:rsidRPr="004A7EB4" w:rsidRDefault="004A7EB4" w:rsidP="004A7EB4">
      <w:pPr>
        <w:pStyle w:val="Bibliography"/>
        <w:rPr>
          <w:rFonts w:ascii="Arial" w:hAnsi="Arial" w:cs="Arial"/>
          <w:lang w:val="en-GB"/>
        </w:rPr>
      </w:pPr>
      <w:r w:rsidRPr="00AC0AD9">
        <w:rPr>
          <w:rFonts w:ascii="Arial" w:hAnsi="Arial" w:cs="Arial"/>
        </w:rPr>
        <w:t xml:space="preserve">6. </w:t>
      </w:r>
      <w:r w:rsidRPr="00AC0AD9">
        <w:rPr>
          <w:rFonts w:ascii="Arial" w:hAnsi="Arial" w:cs="Arial"/>
        </w:rPr>
        <w:tab/>
        <w:t xml:space="preserve">Thurman RE, Rynes E, Humbert R, Vierstra J, Maurano MT, Haugen E, et al. </w:t>
      </w:r>
      <w:r w:rsidRPr="004A7EB4">
        <w:rPr>
          <w:rFonts w:ascii="Arial" w:hAnsi="Arial" w:cs="Arial"/>
          <w:lang w:val="en-GB"/>
        </w:rPr>
        <w:t>The accessible chromatin landscape of the human genome. Nature. 2012;489: 75–82. doi:10.1038/nature11232</w:t>
      </w:r>
    </w:p>
    <w:p w14:paraId="4588613B" w14:textId="77777777" w:rsidR="004A7EB4" w:rsidRPr="004A7EB4" w:rsidRDefault="004A7EB4" w:rsidP="004A7EB4">
      <w:pPr>
        <w:pStyle w:val="Bibliography"/>
        <w:rPr>
          <w:rFonts w:ascii="Arial" w:hAnsi="Arial" w:cs="Arial"/>
          <w:lang w:val="en-GB"/>
        </w:rPr>
      </w:pPr>
      <w:r w:rsidRPr="004A7EB4">
        <w:rPr>
          <w:rFonts w:ascii="Arial" w:hAnsi="Arial" w:cs="Arial"/>
          <w:lang w:val="en-GB"/>
        </w:rPr>
        <w:t xml:space="preserve">7. </w:t>
      </w:r>
      <w:r w:rsidRPr="004A7EB4">
        <w:rPr>
          <w:rFonts w:ascii="Arial" w:hAnsi="Arial" w:cs="Arial"/>
          <w:lang w:val="en-GB"/>
        </w:rPr>
        <w:tab/>
        <w:t>Kundaje A, Meuleman W, Ernst J, Bilenky M, Yen A, Heravi-Moussavi A, et al. Integrative analysis of 111 reference human epigenomes. Nature. 2015;518: 317–330. doi:10.1038/nature14248</w:t>
      </w:r>
    </w:p>
    <w:p w14:paraId="1C06F265" w14:textId="77777777" w:rsidR="004A7EB4" w:rsidRPr="004A7EB4" w:rsidRDefault="004A7EB4" w:rsidP="004A7EB4">
      <w:pPr>
        <w:pStyle w:val="Bibliography"/>
        <w:rPr>
          <w:rFonts w:ascii="Arial" w:hAnsi="Arial" w:cs="Arial"/>
          <w:lang w:val="en-GB"/>
        </w:rPr>
      </w:pPr>
      <w:r w:rsidRPr="004A7EB4">
        <w:rPr>
          <w:rFonts w:ascii="Arial" w:hAnsi="Arial" w:cs="Arial"/>
          <w:lang w:val="en-GB"/>
        </w:rPr>
        <w:t xml:space="preserve">8. </w:t>
      </w:r>
      <w:r w:rsidRPr="004A7EB4">
        <w:rPr>
          <w:rFonts w:ascii="Arial" w:hAnsi="Arial" w:cs="Arial"/>
          <w:lang w:val="en-GB"/>
        </w:rPr>
        <w:tab/>
        <w:t>Zerbino DR, Wilder SP, Johnson N, Juettemann T, Flicek PR. The ensembl regulatory build. Genome Biology. 2015;16: 56. doi:10.1186/s13059-015-0621-5</w:t>
      </w:r>
    </w:p>
    <w:p w14:paraId="518DDDFD" w14:textId="77777777" w:rsidR="004A7EB4" w:rsidRPr="004A7EB4" w:rsidRDefault="004A7EB4" w:rsidP="004A7EB4">
      <w:pPr>
        <w:pStyle w:val="Bibliography"/>
        <w:rPr>
          <w:rFonts w:ascii="Arial" w:hAnsi="Arial" w:cs="Arial"/>
          <w:lang w:val="en-GB"/>
        </w:rPr>
      </w:pPr>
      <w:r w:rsidRPr="004A7EB4">
        <w:rPr>
          <w:rFonts w:ascii="Arial" w:hAnsi="Arial" w:cs="Arial"/>
          <w:lang w:val="en-GB"/>
        </w:rPr>
        <w:t xml:space="preserve">9. </w:t>
      </w:r>
      <w:r w:rsidRPr="004A7EB4">
        <w:rPr>
          <w:rFonts w:ascii="Arial" w:hAnsi="Arial" w:cs="Arial"/>
          <w:lang w:val="en-GB"/>
        </w:rPr>
        <w:tab/>
        <w:t>Clément Y, Torbey P, Gilardi-Hebenstreit P, Crollius HR. Enhancer-gene maps in the human and zebrafish genomes using evolutionary linkage conservation. Nucleic Acids Res. 2020;48: 2357–2371. doi:10.1093/nar/gkz1199</w:t>
      </w:r>
    </w:p>
    <w:p w14:paraId="4A8A0FD2" w14:textId="77777777" w:rsidR="004A7EB4" w:rsidRPr="004A7EB4" w:rsidRDefault="004A7EB4" w:rsidP="004A7EB4">
      <w:pPr>
        <w:pStyle w:val="Bibliography"/>
        <w:rPr>
          <w:rFonts w:ascii="Arial" w:hAnsi="Arial" w:cs="Arial"/>
          <w:lang w:val="en-GB"/>
        </w:rPr>
      </w:pPr>
      <w:r w:rsidRPr="004A7EB4">
        <w:rPr>
          <w:rFonts w:ascii="Arial" w:hAnsi="Arial" w:cs="Arial"/>
          <w:lang w:val="en-GB"/>
        </w:rPr>
        <w:t xml:space="preserve">10. </w:t>
      </w:r>
      <w:r w:rsidRPr="004A7EB4">
        <w:rPr>
          <w:rFonts w:ascii="Arial" w:hAnsi="Arial" w:cs="Arial"/>
          <w:lang w:val="en-GB"/>
        </w:rPr>
        <w:tab/>
        <w:t>Andersson R, Gebhard C, Miguel-Escalada I, Hoof I, Bornholdt J, Boyd M, et al. An atlas of active enhancers across human cell types and tissues. Nature. 2014;507: 455–461. doi:10.1038/nature12787</w:t>
      </w:r>
    </w:p>
    <w:p w14:paraId="2D8DCE1F" w14:textId="77777777" w:rsidR="004A7EB4" w:rsidRPr="004A7EB4" w:rsidRDefault="004A7EB4" w:rsidP="004A7EB4">
      <w:pPr>
        <w:pStyle w:val="Bibliography"/>
        <w:rPr>
          <w:rFonts w:ascii="Arial" w:hAnsi="Arial" w:cs="Arial"/>
          <w:lang w:val="en-GB"/>
        </w:rPr>
      </w:pPr>
      <w:r w:rsidRPr="004A7EB4">
        <w:rPr>
          <w:rFonts w:ascii="Arial" w:hAnsi="Arial" w:cs="Arial"/>
          <w:lang w:val="en-GB"/>
        </w:rPr>
        <w:t xml:space="preserve">11. </w:t>
      </w:r>
      <w:r w:rsidRPr="004A7EB4">
        <w:rPr>
          <w:rFonts w:ascii="Arial" w:hAnsi="Arial" w:cs="Arial"/>
          <w:lang w:val="en-GB"/>
        </w:rPr>
        <w:tab/>
        <w:t>Fishilevich S, Nudel R, Rappaport N, Hadar R, Plaschkes I, Iny Stein T, et al. GeneHancer: genome-wide integration of enhancers and target genes in GeneCards. Database (Oxford). 2017;2017. doi:10.1093/database/bax028</w:t>
      </w:r>
    </w:p>
    <w:p w14:paraId="34294524" w14:textId="77777777" w:rsidR="004A7EB4" w:rsidRPr="004A7EB4" w:rsidRDefault="004A7EB4" w:rsidP="004A7EB4">
      <w:pPr>
        <w:pStyle w:val="Bibliography"/>
        <w:rPr>
          <w:rFonts w:ascii="Arial" w:hAnsi="Arial" w:cs="Arial"/>
          <w:lang w:val="en-GB"/>
        </w:rPr>
      </w:pPr>
      <w:r w:rsidRPr="004A7EB4">
        <w:rPr>
          <w:rFonts w:ascii="Arial" w:hAnsi="Arial" w:cs="Arial"/>
          <w:lang w:val="en-GB"/>
        </w:rPr>
        <w:t xml:space="preserve">12. </w:t>
      </w:r>
      <w:r w:rsidRPr="004A7EB4">
        <w:rPr>
          <w:rFonts w:ascii="Arial" w:hAnsi="Arial" w:cs="Arial"/>
          <w:lang w:val="en-GB"/>
        </w:rPr>
        <w:tab/>
        <w:t>Hait TA, Amar D, Shamir R, Elkon R. FOCS: a novel method for analyzing enhancer and gene activity patterns infers an extensive enhancer-promoter map. Genome Biology. 2018;19: 56. doi:10.1186/s13059-018-1432-2</w:t>
      </w:r>
    </w:p>
    <w:p w14:paraId="2E4E53AA" w14:textId="77777777" w:rsidR="004A7EB4" w:rsidRPr="004A7EB4" w:rsidRDefault="004A7EB4" w:rsidP="004A7EB4">
      <w:pPr>
        <w:pStyle w:val="Bibliography"/>
        <w:rPr>
          <w:rFonts w:ascii="Arial" w:hAnsi="Arial" w:cs="Arial"/>
          <w:lang w:val="en-GB"/>
        </w:rPr>
      </w:pPr>
      <w:r w:rsidRPr="004A7EB4">
        <w:rPr>
          <w:rFonts w:ascii="Arial" w:hAnsi="Arial" w:cs="Arial"/>
          <w:lang w:val="en-GB"/>
        </w:rPr>
        <w:t xml:space="preserve">13. </w:t>
      </w:r>
      <w:r w:rsidRPr="004A7EB4">
        <w:rPr>
          <w:rFonts w:ascii="Arial" w:hAnsi="Arial" w:cs="Arial"/>
          <w:lang w:val="en-GB"/>
        </w:rPr>
        <w:tab/>
        <w:t>Harrow J, Frankish A, Gonzalez JM, Tapanari E, Diekhans M, Kokocinski F, et al. GENCODE: The reference human genome annotation for The ENCODE Project. Genome Research. 2012;22: 1760–1774. doi:10.1101/gr.135350.111</w:t>
      </w:r>
    </w:p>
    <w:p w14:paraId="0DEC7594" w14:textId="77777777" w:rsidR="004A7EB4" w:rsidRPr="004A7EB4" w:rsidRDefault="004A7EB4" w:rsidP="004A7EB4">
      <w:pPr>
        <w:pStyle w:val="Bibliography"/>
        <w:rPr>
          <w:rFonts w:ascii="Arial" w:hAnsi="Arial" w:cs="Arial"/>
          <w:lang w:val="en-GB"/>
        </w:rPr>
      </w:pPr>
      <w:r w:rsidRPr="004A7EB4">
        <w:rPr>
          <w:rFonts w:ascii="Arial" w:hAnsi="Arial" w:cs="Arial"/>
          <w:lang w:val="en-GB"/>
        </w:rPr>
        <w:t xml:space="preserve">14. </w:t>
      </w:r>
      <w:r w:rsidRPr="004A7EB4">
        <w:rPr>
          <w:rFonts w:ascii="Arial" w:hAnsi="Arial" w:cs="Arial"/>
          <w:lang w:val="en-GB"/>
        </w:rPr>
        <w:tab/>
        <w:t>Smedley D, Schubach M, Jacobsen JOB, Köhler S, Zemojtel T, Spielmann M, et al. A Whole-Genome Analysis Framework for Effective Identification of Pathogenic Regulatory Variants in Mendelian Disease. Am J Hum Genet. 2016;99: 595–606. doi:10.1016/j.ajhg.2016.07.005</w:t>
      </w:r>
    </w:p>
    <w:p w14:paraId="436779EB" w14:textId="77777777" w:rsidR="004A7EB4" w:rsidRPr="004A7EB4" w:rsidRDefault="004A7EB4" w:rsidP="004A7EB4">
      <w:pPr>
        <w:pStyle w:val="Bibliography"/>
        <w:rPr>
          <w:rFonts w:ascii="Arial" w:hAnsi="Arial" w:cs="Arial"/>
          <w:lang w:val="en-GB"/>
        </w:rPr>
      </w:pPr>
      <w:r w:rsidRPr="004A7EB4">
        <w:rPr>
          <w:rFonts w:ascii="Arial" w:hAnsi="Arial" w:cs="Arial"/>
          <w:lang w:val="en-GB"/>
        </w:rPr>
        <w:t xml:space="preserve">15. </w:t>
      </w:r>
      <w:r w:rsidRPr="004A7EB4">
        <w:rPr>
          <w:rFonts w:ascii="Arial" w:hAnsi="Arial" w:cs="Arial"/>
          <w:lang w:val="en-GB"/>
        </w:rPr>
        <w:tab/>
        <w:t>Caron B, Luo Y, Rausell A. NCBoost classifies pathogenic non-coding variants in Mendelian diseases through supervised learning on purifying selection signals in humans. Genome Biol. 2019;20: 32. doi:10.1186/s13059-019-1634-2</w:t>
      </w:r>
    </w:p>
    <w:p w14:paraId="73BD0D53" w14:textId="77777777" w:rsidR="004A7EB4" w:rsidRPr="004A7EB4" w:rsidRDefault="004A7EB4" w:rsidP="004A7EB4">
      <w:pPr>
        <w:pStyle w:val="Bibliography"/>
        <w:rPr>
          <w:rFonts w:ascii="Arial" w:hAnsi="Arial" w:cs="Arial"/>
          <w:lang w:val="en-GB"/>
        </w:rPr>
      </w:pPr>
      <w:r w:rsidRPr="004A7EB4">
        <w:rPr>
          <w:rFonts w:ascii="Arial" w:hAnsi="Arial" w:cs="Arial"/>
          <w:lang w:val="en-GB"/>
        </w:rPr>
        <w:lastRenderedPageBreak/>
        <w:t xml:space="preserve">16. </w:t>
      </w:r>
      <w:r w:rsidRPr="004A7EB4">
        <w:rPr>
          <w:rFonts w:ascii="Arial" w:hAnsi="Arial" w:cs="Arial"/>
          <w:lang w:val="en-GB"/>
        </w:rPr>
        <w:tab/>
        <w:t>Rogers MF, Shihab HA, Mort M, Cooper DN, Gaunt TR, Campbell C. FATHMM-XF: accurate prediction of pathogenic point mutations via extended features. Bioinformatics. 2018;34: 511–513. doi:10.1093/bioinformatics/btx536</w:t>
      </w:r>
    </w:p>
    <w:p w14:paraId="36B52B01" w14:textId="77777777" w:rsidR="004A7EB4" w:rsidRPr="004A7EB4" w:rsidRDefault="004A7EB4" w:rsidP="004A7EB4">
      <w:pPr>
        <w:pStyle w:val="Bibliography"/>
        <w:rPr>
          <w:rFonts w:ascii="Arial" w:hAnsi="Arial" w:cs="Arial"/>
          <w:lang w:val="en-GB"/>
        </w:rPr>
      </w:pPr>
      <w:r w:rsidRPr="004A7EB4">
        <w:rPr>
          <w:rFonts w:ascii="Arial" w:hAnsi="Arial" w:cs="Arial"/>
          <w:lang w:val="en-GB"/>
        </w:rPr>
        <w:t xml:space="preserve">17. </w:t>
      </w:r>
      <w:r w:rsidRPr="004A7EB4">
        <w:rPr>
          <w:rFonts w:ascii="Arial" w:hAnsi="Arial" w:cs="Arial"/>
          <w:lang w:val="en-GB"/>
        </w:rPr>
        <w:tab/>
        <w:t>Ionita-Laza I, McCallum K, Xu B, Buxbaum JD. A spectral approach integrating functional genomic annotations for coding and noncoding variants. Nature Genetics. 2016;48: 214–220. doi:10.1038/ng.3477</w:t>
      </w:r>
    </w:p>
    <w:p w14:paraId="5F3F96F5" w14:textId="77777777" w:rsidR="004A7EB4" w:rsidRPr="004A7EB4" w:rsidRDefault="004A7EB4" w:rsidP="004A7EB4">
      <w:pPr>
        <w:pStyle w:val="Bibliography"/>
        <w:rPr>
          <w:rFonts w:ascii="Arial" w:hAnsi="Arial" w:cs="Arial"/>
          <w:lang w:val="en-GB"/>
        </w:rPr>
      </w:pPr>
      <w:r w:rsidRPr="004A7EB4">
        <w:rPr>
          <w:rFonts w:ascii="Arial" w:hAnsi="Arial" w:cs="Arial"/>
          <w:lang w:val="en-GB"/>
        </w:rPr>
        <w:t xml:space="preserve">18. </w:t>
      </w:r>
      <w:r w:rsidRPr="004A7EB4">
        <w:rPr>
          <w:rFonts w:ascii="Arial" w:hAnsi="Arial" w:cs="Arial"/>
          <w:lang w:val="en-GB"/>
        </w:rPr>
        <w:tab/>
        <w:t>Huang Y-F, Gulko B, Siepel A. Fast, scalable prediction of deleterious noncoding variants from functional and population genomic data. Nat Genet. 2017;49: 618–624. doi:10.1038/ng.3810</w:t>
      </w:r>
    </w:p>
    <w:p w14:paraId="258F2DCA" w14:textId="77777777" w:rsidR="004A7EB4" w:rsidRPr="004A7EB4" w:rsidRDefault="004A7EB4" w:rsidP="004A7EB4">
      <w:pPr>
        <w:pStyle w:val="Bibliography"/>
        <w:rPr>
          <w:rFonts w:ascii="Arial" w:hAnsi="Arial" w:cs="Arial"/>
          <w:lang w:val="en-GB"/>
        </w:rPr>
      </w:pPr>
      <w:r w:rsidRPr="004A7EB4">
        <w:rPr>
          <w:rFonts w:ascii="Arial" w:hAnsi="Arial" w:cs="Arial"/>
          <w:lang w:val="en-GB"/>
        </w:rPr>
        <w:t xml:space="preserve">19. </w:t>
      </w:r>
      <w:r w:rsidRPr="004A7EB4">
        <w:rPr>
          <w:rFonts w:ascii="Arial" w:hAnsi="Arial" w:cs="Arial"/>
          <w:lang w:val="en-GB"/>
        </w:rPr>
        <w:tab/>
        <w:t>Gulko B, Hubisz MJ, Gronau I, Siepel A. A method for calculating probabilities of fitness consequences for point mutations across the human genome. Nat Genet. 2015;47: 276–283. doi:10.1038/ng.3196</w:t>
      </w:r>
    </w:p>
    <w:p w14:paraId="00DC70BC" w14:textId="77777777" w:rsidR="004A7EB4" w:rsidRPr="004A7EB4" w:rsidRDefault="004A7EB4" w:rsidP="004A7EB4">
      <w:pPr>
        <w:pStyle w:val="Bibliography"/>
        <w:rPr>
          <w:rFonts w:ascii="Arial" w:hAnsi="Arial" w:cs="Arial"/>
          <w:lang w:val="en-GB"/>
        </w:rPr>
      </w:pPr>
      <w:r w:rsidRPr="004A7EB4">
        <w:rPr>
          <w:rFonts w:ascii="Arial" w:hAnsi="Arial" w:cs="Arial"/>
          <w:lang w:val="en-GB"/>
        </w:rPr>
        <w:t xml:space="preserve">20. </w:t>
      </w:r>
      <w:r w:rsidRPr="004A7EB4">
        <w:rPr>
          <w:rFonts w:ascii="Arial" w:hAnsi="Arial" w:cs="Arial"/>
          <w:lang w:val="en-GB"/>
        </w:rPr>
        <w:tab/>
        <w:t>Kircher M, Witten DM, Jain P, O’Roak BJ, Cooper GM, Shendure J. A general framework for estimating the relative pathogenicity of human genetic variants. Nature Genetics. 2014;46: 310–315. doi:10.1038/ng.2892</w:t>
      </w:r>
    </w:p>
    <w:p w14:paraId="0D2225FB" w14:textId="03B6A991" w:rsidR="00514A54" w:rsidRPr="00A246E6" w:rsidRDefault="00A80BB8">
      <w:pPr>
        <w:pStyle w:val="Bibliographie2"/>
        <w:rPr>
          <w:rFonts w:ascii="Arial" w:hAnsi="Arial" w:cs="Arial"/>
          <w:lang w:val="en-US"/>
        </w:rPr>
      </w:pPr>
      <w:r w:rsidRPr="00E70A8B">
        <w:rPr>
          <w:rFonts w:ascii="Arial" w:hAnsi="Arial" w:cs="Arial"/>
        </w:rPr>
        <w:fldChar w:fldCharType="end"/>
      </w:r>
      <w:bookmarkEnd w:id="96"/>
      <w:bookmarkEnd w:id="97"/>
    </w:p>
    <w:p w14:paraId="5801E3E1" w14:textId="1CB0B9FB" w:rsidR="00514A54" w:rsidRPr="00B72B48" w:rsidRDefault="00514A54">
      <w:pPr>
        <w:rPr>
          <w:rFonts w:ascii="Arial" w:hAnsi="Arial" w:cs="Arial"/>
          <w:lang w:val="en-GB"/>
        </w:rPr>
      </w:pPr>
    </w:p>
    <w:p w14:paraId="404D5B60" w14:textId="77777777" w:rsidR="00B72B48" w:rsidRPr="00B72B48" w:rsidRDefault="00B72B48">
      <w:pPr>
        <w:rPr>
          <w:rFonts w:ascii="Arial" w:hAnsi="Arial" w:cs="Arial"/>
          <w:lang w:val="en-GB"/>
        </w:rPr>
      </w:pPr>
    </w:p>
    <w:sectPr w:rsidR="00B72B48" w:rsidRPr="00B72B48">
      <w:footerReference w:type="default" r:id="rId12"/>
      <w:pgSz w:w="11906" w:h="16838"/>
      <w:pgMar w:top="1417" w:right="1417" w:bottom="1417" w:left="1417" w:header="0" w:footer="593" w:gutter="0"/>
      <w:cols w:space="720"/>
      <w:formProt w:val="0"/>
      <w:docGrid w:linePitch="10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550C8C" w14:textId="77777777" w:rsidR="00515ED8" w:rsidRDefault="00515ED8">
      <w:r>
        <w:separator/>
      </w:r>
    </w:p>
  </w:endnote>
  <w:endnote w:type="continuationSeparator" w:id="0">
    <w:p w14:paraId="2C43B567" w14:textId="77777777" w:rsidR="00515ED8" w:rsidRDefault="00515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Symbol">
    <w:panose1 w:val="05050102010706020507"/>
    <w:charset w:val="02"/>
    <w:family w:val="roman"/>
    <w:pitch w:val="variable"/>
    <w:sig w:usb0="00000000" w:usb1="10000000" w:usb2="00000000" w:usb3="00000000" w:csb0="80000000" w:csb1="00000000"/>
  </w:font>
  <w:font w:name="OpenSymbol">
    <w:altName w:val="Cambria"/>
    <w:charset w:val="01"/>
    <w:family w:val="roman"/>
    <w:pitch w:val="variable"/>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ans">
    <w:altName w:val="Arial"/>
    <w:charset w:val="01"/>
    <w:family w:val="roman"/>
    <w:pitch w:val="variable"/>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2D9E3" w14:textId="77777777" w:rsidR="00514A54" w:rsidRDefault="00A80BB8">
    <w:pPr>
      <w:pStyle w:val="Footer"/>
      <w:jc w:val="right"/>
    </w:pPr>
    <w:r>
      <w:rPr>
        <w:rStyle w:val="PageNumber"/>
      </w:rPr>
      <w:fldChar w:fldCharType="begin"/>
    </w:r>
    <w:r>
      <w:rPr>
        <w:rStyle w:val="PageNumber"/>
      </w:rPr>
      <w:instrText>PAGE</w:instrText>
    </w:r>
    <w:r>
      <w:rPr>
        <w:rStyle w:val="PageNumber"/>
      </w:rPr>
      <w:fldChar w:fldCharType="separate"/>
    </w:r>
    <w:r>
      <w:rPr>
        <w:rStyle w:val="PageNumber"/>
      </w:rPr>
      <w:t>14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1943BF" w14:textId="77777777" w:rsidR="00515ED8" w:rsidRDefault="00515ED8">
      <w:r>
        <w:separator/>
      </w:r>
    </w:p>
  </w:footnote>
  <w:footnote w:type="continuationSeparator" w:id="0">
    <w:p w14:paraId="274948A8" w14:textId="77777777" w:rsidR="00515ED8" w:rsidRDefault="00515E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4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A54"/>
    <w:rsid w:val="000E4C82"/>
    <w:rsid w:val="00174314"/>
    <w:rsid w:val="001B5B84"/>
    <w:rsid w:val="002E2719"/>
    <w:rsid w:val="002E60DC"/>
    <w:rsid w:val="002F047F"/>
    <w:rsid w:val="0030183C"/>
    <w:rsid w:val="00363490"/>
    <w:rsid w:val="00364CB4"/>
    <w:rsid w:val="004A7C66"/>
    <w:rsid w:val="004A7EB4"/>
    <w:rsid w:val="00514A54"/>
    <w:rsid w:val="00515ED8"/>
    <w:rsid w:val="00540634"/>
    <w:rsid w:val="005946E8"/>
    <w:rsid w:val="005B352E"/>
    <w:rsid w:val="007523EE"/>
    <w:rsid w:val="00826FD0"/>
    <w:rsid w:val="00A246E6"/>
    <w:rsid w:val="00A67428"/>
    <w:rsid w:val="00A80BB8"/>
    <w:rsid w:val="00A961F5"/>
    <w:rsid w:val="00AB126D"/>
    <w:rsid w:val="00AC0AD9"/>
    <w:rsid w:val="00B72B48"/>
    <w:rsid w:val="00BA4C46"/>
    <w:rsid w:val="00BD72F7"/>
    <w:rsid w:val="00CA357B"/>
    <w:rsid w:val="00D238C1"/>
    <w:rsid w:val="00D32296"/>
    <w:rsid w:val="00E1114F"/>
    <w:rsid w:val="00E124EE"/>
    <w:rsid w:val="00E55E86"/>
    <w:rsid w:val="00E70A8B"/>
    <w:rsid w:val="00FF064E"/>
  </w:rsids>
  <m:mathPr>
    <m:mathFont m:val="Cambria Math"/>
    <m:brkBin m:val="before"/>
    <m:brkBinSub m:val="--"/>
    <m:smallFrac m:val="0"/>
    <m:dispDef/>
    <m:lMargin m:val="0"/>
    <m:rMargin m:val="0"/>
    <m:defJc m:val="centerGroup"/>
    <m:wrapIndent m:val="1440"/>
    <m:intLim m:val="subSup"/>
    <m:naryLim m:val="undOvr"/>
  </m:mathPr>
  <w:themeFontLang w:val="fr-FR"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1FA59"/>
  <w15:docId w15:val="{A9CD9D79-68BA-2347-913B-92E0D0065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2111"/>
    <w:pPr>
      <w:suppressAutoHyphens/>
    </w:pPr>
    <w:rPr>
      <w:rFonts w:ascii="Times New Roman" w:eastAsia="Times New Roman" w:hAnsi="Times New Roman" w:cs="Times New Roman"/>
      <w:lang w:eastAsia="fr-F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6115F5"/>
    <w:rPr>
      <w:rFonts w:ascii="Lucida Grande" w:eastAsia="Times New Roman" w:hAnsi="Lucida Grande" w:cs="Lucida Grande"/>
      <w:sz w:val="18"/>
      <w:szCs w:val="18"/>
      <w:lang w:eastAsia="fr-FR"/>
    </w:rPr>
  </w:style>
  <w:style w:type="character" w:styleId="Emphasis">
    <w:name w:val="Emphasis"/>
    <w:qFormat/>
    <w:rPr>
      <w:i/>
      <w:iCs/>
    </w:rPr>
  </w:style>
  <w:style w:type="character" w:customStyle="1" w:styleId="ListLabel1">
    <w:name w:val="ListLabel 1"/>
    <w:qFormat/>
    <w:rPr>
      <w:rFonts w:cs="Symbol"/>
    </w:rPr>
  </w:style>
  <w:style w:type="character" w:customStyle="1" w:styleId="ListLabel2">
    <w:name w:val="ListLabel 2"/>
    <w:qFormat/>
    <w:rPr>
      <w:rFonts w:cs="OpenSymbol"/>
    </w:rPr>
  </w:style>
  <w:style w:type="character" w:customStyle="1" w:styleId="ListLabel3">
    <w:name w:val="ListLabel 3"/>
    <w:qFormat/>
    <w:rPr>
      <w:rFonts w:cs="OpenSymbol"/>
    </w:rPr>
  </w:style>
  <w:style w:type="character" w:customStyle="1" w:styleId="ListLabel4">
    <w:name w:val="ListLabel 4"/>
    <w:qFormat/>
    <w:rPr>
      <w:rFonts w:cs="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InternetLink">
    <w:name w:val="Internet Link"/>
    <w:rPr>
      <w:color w:val="000080"/>
      <w:u w:val="single"/>
      <w:lang w:val="uz-Cyrl-UZ" w:eastAsia="uz-Cyrl-UZ" w:bidi="uz-Cyrl-UZ"/>
    </w:rPr>
  </w:style>
  <w:style w:type="character" w:customStyle="1" w:styleId="En-tteCar">
    <w:name w:val="En-tête Car"/>
    <w:basedOn w:val="DefaultParagraphFont"/>
    <w:uiPriority w:val="99"/>
    <w:qFormat/>
    <w:rsid w:val="006969A0"/>
    <w:rPr>
      <w:rFonts w:ascii="Times New Roman" w:eastAsia="Times New Roman" w:hAnsi="Times New Roman" w:cs="Times New Roman"/>
      <w:lang w:eastAsia="fr-FR"/>
    </w:rPr>
  </w:style>
  <w:style w:type="character" w:customStyle="1" w:styleId="FooterChar">
    <w:name w:val="Footer Char"/>
    <w:basedOn w:val="DefaultParagraphFont"/>
    <w:link w:val="Footer"/>
    <w:uiPriority w:val="99"/>
    <w:qFormat/>
    <w:rsid w:val="006969A0"/>
    <w:rPr>
      <w:rFonts w:ascii="Times New Roman" w:eastAsia="Times New Roman" w:hAnsi="Times New Roman" w:cs="Times New Roman"/>
      <w:lang w:eastAsia="fr-FR"/>
    </w:rPr>
  </w:style>
  <w:style w:type="character" w:styleId="PageNumber">
    <w:name w:val="page number"/>
    <w:basedOn w:val="DefaultParagraphFont"/>
    <w:uiPriority w:val="99"/>
    <w:semiHidden/>
    <w:unhideWhenUsed/>
    <w:qFormat/>
    <w:rsid w:val="006969A0"/>
  </w:style>
  <w:style w:type="character" w:customStyle="1" w:styleId="TitleChar">
    <w:name w:val="Title Char"/>
    <w:basedOn w:val="DefaultParagraphFont"/>
    <w:link w:val="Title"/>
    <w:uiPriority w:val="10"/>
    <w:qFormat/>
    <w:rsid w:val="0065150C"/>
    <w:rPr>
      <w:rFonts w:asciiTheme="majorHAnsi" w:eastAsiaTheme="majorEastAsia" w:hAnsiTheme="majorHAnsi" w:cstheme="majorBidi"/>
      <w:color w:val="17365D" w:themeColor="text2" w:themeShade="BF"/>
      <w:spacing w:val="5"/>
      <w:kern w:val="2"/>
      <w:sz w:val="52"/>
      <w:szCs w:val="52"/>
      <w:lang w:eastAsia="fr-FR"/>
    </w:rPr>
  </w:style>
  <w:style w:type="character" w:customStyle="1" w:styleId="CommentTextChar">
    <w:name w:val="Comment Text Char"/>
    <w:basedOn w:val="DefaultParagraphFont"/>
    <w:link w:val="CommentText"/>
    <w:uiPriority w:val="99"/>
    <w:semiHidden/>
    <w:qFormat/>
    <w:rPr>
      <w:rFonts w:ascii="Times New Roman" w:eastAsia="Times New Roman" w:hAnsi="Times New Roman" w:cs="Times New Roman"/>
      <w:lang w:eastAsia="fr-FR"/>
    </w:rPr>
  </w:style>
  <w:style w:type="character" w:styleId="CommentReference">
    <w:name w:val="annotation reference"/>
    <w:basedOn w:val="DefaultParagraphFont"/>
    <w:uiPriority w:val="99"/>
    <w:semiHidden/>
    <w:unhideWhenUsed/>
    <w:qFormat/>
    <w:rPr>
      <w:sz w:val="16"/>
      <w:szCs w:val="16"/>
    </w:rPr>
  </w:style>
  <w:style w:type="character" w:customStyle="1" w:styleId="ListLabel10">
    <w:name w:val="ListLabel 10"/>
    <w:qFormat/>
    <w:rPr>
      <w:rFonts w:cs="Symbol"/>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pPr>
      <w:spacing w:after="140" w:line="276"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FreeSans"/>
    </w:rPr>
  </w:style>
  <w:style w:type="paragraph" w:customStyle="1" w:styleId="Lgende1">
    <w:name w:val="Légende1"/>
    <w:basedOn w:val="Normal"/>
    <w:qFormat/>
    <w:pPr>
      <w:suppressLineNumbers/>
      <w:spacing w:before="120" w:after="120"/>
    </w:pPr>
    <w:rPr>
      <w:rFonts w:cs="FreeSans"/>
      <w:i/>
      <w:iCs/>
      <w:sz w:val="24"/>
      <w:szCs w:val="24"/>
    </w:rPr>
  </w:style>
  <w:style w:type="paragraph" w:customStyle="1" w:styleId="TableContents">
    <w:name w:val="Table Contents"/>
    <w:basedOn w:val="Normal"/>
    <w:qFormat/>
    <w:rsid w:val="0080264A"/>
    <w:pPr>
      <w:suppressLineNumbers/>
    </w:pPr>
  </w:style>
  <w:style w:type="paragraph" w:styleId="BalloonText">
    <w:name w:val="Balloon Text"/>
    <w:basedOn w:val="Normal"/>
    <w:link w:val="BalloonTextChar"/>
    <w:uiPriority w:val="99"/>
    <w:semiHidden/>
    <w:unhideWhenUsed/>
    <w:qFormat/>
    <w:rsid w:val="006115F5"/>
    <w:rPr>
      <w:rFonts w:ascii="Lucida Grande" w:hAnsi="Lucida Grande" w:cs="Lucida Grande"/>
      <w:sz w:val="18"/>
      <w:szCs w:val="18"/>
    </w:rPr>
  </w:style>
  <w:style w:type="paragraph" w:customStyle="1" w:styleId="TableHeading">
    <w:name w:val="Table Heading"/>
    <w:basedOn w:val="TableContents"/>
    <w:qFormat/>
    <w:pPr>
      <w:jc w:val="center"/>
    </w:pPr>
    <w:rPr>
      <w:b/>
      <w:bCs/>
    </w:rPr>
  </w:style>
  <w:style w:type="paragraph" w:styleId="Header">
    <w:name w:val="header"/>
    <w:basedOn w:val="Normal"/>
    <w:uiPriority w:val="99"/>
    <w:unhideWhenUsed/>
    <w:rsid w:val="006969A0"/>
    <w:pPr>
      <w:tabs>
        <w:tab w:val="center" w:pos="4536"/>
        <w:tab w:val="right" w:pos="9072"/>
      </w:tabs>
    </w:pPr>
  </w:style>
  <w:style w:type="paragraph" w:styleId="Footer">
    <w:name w:val="footer"/>
    <w:basedOn w:val="Normal"/>
    <w:link w:val="FooterChar"/>
    <w:uiPriority w:val="99"/>
    <w:unhideWhenUsed/>
    <w:rsid w:val="006969A0"/>
    <w:pPr>
      <w:tabs>
        <w:tab w:val="center" w:pos="4536"/>
        <w:tab w:val="right" w:pos="9072"/>
      </w:tabs>
    </w:pPr>
  </w:style>
  <w:style w:type="paragraph" w:customStyle="1" w:styleId="Bibliographie1">
    <w:name w:val="Bibliographie1"/>
    <w:basedOn w:val="Normal"/>
    <w:qFormat/>
    <w:rsid w:val="008C21EC"/>
    <w:pPr>
      <w:tabs>
        <w:tab w:val="left" w:pos="380"/>
      </w:tabs>
      <w:spacing w:line="480" w:lineRule="auto"/>
      <w:ind w:left="384" w:hanging="384"/>
    </w:pPr>
  </w:style>
  <w:style w:type="paragraph" w:styleId="Title">
    <w:name w:val="Title"/>
    <w:basedOn w:val="Normal"/>
    <w:next w:val="Normal"/>
    <w:link w:val="TitleChar"/>
    <w:uiPriority w:val="10"/>
    <w:qFormat/>
    <w:rsid w:val="0065150C"/>
    <w:pPr>
      <w:pBdr>
        <w:bottom w:val="single" w:sz="8" w:space="4" w:color="4F81BD"/>
      </w:pBdr>
      <w:spacing w:after="300"/>
      <w:contextualSpacing/>
    </w:pPr>
    <w:rPr>
      <w:rFonts w:asciiTheme="majorHAnsi" w:eastAsiaTheme="majorEastAsia" w:hAnsiTheme="majorHAnsi" w:cstheme="majorBidi"/>
      <w:color w:val="17365D" w:themeColor="text2" w:themeShade="BF"/>
      <w:spacing w:val="5"/>
      <w:kern w:val="2"/>
      <w:sz w:val="52"/>
      <w:szCs w:val="52"/>
    </w:rPr>
  </w:style>
  <w:style w:type="paragraph" w:customStyle="1" w:styleId="Bibliographie2">
    <w:name w:val="Bibliographie2"/>
    <w:basedOn w:val="Normal"/>
    <w:qFormat/>
    <w:rsid w:val="00B338FD"/>
    <w:pPr>
      <w:spacing w:after="240"/>
    </w:pPr>
    <w:rPr>
      <w:lang w:val="en-GB"/>
    </w:rPr>
  </w:style>
  <w:style w:type="paragraph" w:styleId="Revision">
    <w:name w:val="Revision"/>
    <w:uiPriority w:val="99"/>
    <w:semiHidden/>
    <w:qFormat/>
    <w:rsid w:val="007E6549"/>
    <w:rPr>
      <w:rFonts w:ascii="Times New Roman" w:eastAsia="Times New Roman" w:hAnsi="Times New Roman" w:cs="Times New Roman"/>
      <w:lang w:eastAsia="fr-FR"/>
    </w:rPr>
  </w:style>
  <w:style w:type="paragraph" w:styleId="CommentText">
    <w:name w:val="annotation text"/>
    <w:basedOn w:val="Normal"/>
    <w:link w:val="CommentTextChar"/>
    <w:uiPriority w:val="99"/>
    <w:semiHidden/>
    <w:unhideWhenUsed/>
    <w:qFormat/>
  </w:style>
  <w:style w:type="paragraph" w:styleId="Bibliography">
    <w:name w:val="Bibliography"/>
    <w:basedOn w:val="Normal"/>
    <w:next w:val="Normal"/>
    <w:uiPriority w:val="37"/>
    <w:unhideWhenUsed/>
    <w:rsid w:val="004A7EB4"/>
    <w:pPr>
      <w:tabs>
        <w:tab w:val="left" w:pos="500"/>
      </w:tabs>
      <w:spacing w:after="240"/>
      <w:ind w:left="504" w:hanging="50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13</Pages>
  <Words>27618</Words>
  <Characters>157429</Characters>
  <Application>Microsoft Office Word</Application>
  <DocSecurity>0</DocSecurity>
  <Lines>1311</Lines>
  <Paragraphs>369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184678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Hugues Roest Crollius</dc:creator>
  <dc:description/>
  <cp:lastModifiedBy>Me</cp:lastModifiedBy>
  <cp:revision>4</cp:revision>
  <dcterms:created xsi:type="dcterms:W3CDTF">2022-04-25T13:58:00Z</dcterms:created>
  <dcterms:modified xsi:type="dcterms:W3CDTF">2022-04-25T14:49:00Z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ZOTERO_PREF_1">
    <vt:lpwstr>&lt;data data-version="3" zotero-version="5.0.96.4"&gt;&lt;session id="N2TmSgj1"/&gt;&lt;style id="http://www.zotero.org/styles/plos-genetics" hasBibliography="1" bibliographyStyleHasBeenSet="1"/&gt;&lt;prefs&gt;&lt;pref name="fieldType" value="Field"/&gt;&lt;pref name="delayCitationUpda</vt:lpwstr>
  </property>
  <property fmtid="{D5CDD505-2E9C-101B-9397-08002B2CF9AE}" pid="9" name="ZOTERO_PREF_2">
    <vt:lpwstr>tes" value="true"/&gt;&lt;pref name="dontAskDelayCitationUpdates" value="true"/&gt;&lt;/prefs&gt;&lt;/data&gt;</vt:lpwstr>
  </property>
</Properties>
</file>