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430B5" w14:textId="086FE354" w:rsidR="00F87DD6" w:rsidRDefault="006D7225" w:rsidP="00697F79">
      <w:pPr>
        <w:pStyle w:val="Heading1"/>
        <w:rPr>
          <w:lang w:val="en-US"/>
        </w:rPr>
      </w:pPr>
      <w:bookmarkStart w:id="0" w:name="_Text_S1._Sequencing,"/>
      <w:bookmarkEnd w:id="0"/>
      <w:r w:rsidRPr="00B939CE">
        <w:rPr>
          <w:lang w:val="en-US"/>
        </w:rPr>
        <w:t>Text S1.</w:t>
      </w:r>
      <w:r w:rsidR="000519F2">
        <w:rPr>
          <w:lang w:val="en-US"/>
        </w:rPr>
        <w:t xml:space="preserve"> </w:t>
      </w:r>
      <w:r w:rsidR="00F41271" w:rsidRPr="00F41271">
        <w:rPr>
          <w:lang w:val="en-US"/>
        </w:rPr>
        <w:t>Additional</w:t>
      </w:r>
      <w:r w:rsidR="00F41271">
        <w:rPr>
          <w:lang w:val="en-US"/>
        </w:rPr>
        <w:t xml:space="preserve"> information on genome sequencing, assembly and EST support.</w:t>
      </w:r>
    </w:p>
    <w:p w14:paraId="542D65C5" w14:textId="0F972A27" w:rsidR="00EC23BD" w:rsidRDefault="000F494C" w:rsidP="00FF3F44">
      <w:pPr>
        <w:suppressAutoHyphens/>
        <w:spacing w:before="280" w:after="280" w:line="480" w:lineRule="auto"/>
        <w:outlineLvl w:val="2"/>
        <w:rPr>
          <w:rFonts w:ascii="Times New Roman" w:eastAsia="Calibri" w:hAnsi="Times New Roman" w:cs="Times New Roman"/>
          <w:b/>
          <w:bCs/>
          <w:iCs/>
          <w:sz w:val="24"/>
          <w:szCs w:val="24"/>
          <w:lang w:val="en-US"/>
        </w:rPr>
      </w:pPr>
      <w:r>
        <w:rPr>
          <w:rFonts w:ascii="Times New Roman" w:eastAsia="Calibri" w:hAnsi="Times New Roman" w:cs="Times New Roman"/>
          <w:b/>
          <w:bCs/>
          <w:iCs/>
          <w:sz w:val="24"/>
          <w:szCs w:val="24"/>
          <w:lang w:val="en-US"/>
        </w:rPr>
        <w:t xml:space="preserve">Genome sequencing and </w:t>
      </w:r>
      <w:r w:rsidR="00EC23BD">
        <w:rPr>
          <w:rFonts w:ascii="Times New Roman" w:eastAsia="Calibri" w:hAnsi="Times New Roman" w:cs="Times New Roman"/>
          <w:b/>
          <w:bCs/>
          <w:iCs/>
          <w:sz w:val="24"/>
          <w:szCs w:val="24"/>
          <w:lang w:val="en-US"/>
        </w:rPr>
        <w:t>assembly</w:t>
      </w:r>
    </w:p>
    <w:p w14:paraId="5AAD7967" w14:textId="24478CCE" w:rsidR="00F87DD6" w:rsidRPr="0031616E" w:rsidRDefault="00F87DD6" w:rsidP="00F87DD6">
      <w:pPr>
        <w:tabs>
          <w:tab w:val="num" w:pos="270"/>
        </w:tabs>
        <w:suppressAutoHyphens/>
        <w:spacing w:after="0" w:line="480" w:lineRule="auto"/>
        <w:ind w:firstLine="706"/>
        <w:rPr>
          <w:rFonts w:ascii="Times New Roman" w:eastAsia="Times New Roman" w:hAnsi="Times New Roman" w:cs="Times New Roman"/>
          <w:sz w:val="24"/>
          <w:szCs w:val="24"/>
          <w:lang w:val="en-US" w:eastAsia="ar-SA"/>
        </w:rPr>
      </w:pPr>
      <w:proofErr w:type="spellStart"/>
      <w:r w:rsidRPr="0031616E">
        <w:rPr>
          <w:rFonts w:ascii="Times New Roman" w:eastAsia="Calibri" w:hAnsi="Times New Roman" w:cs="Times New Roman"/>
          <w:i/>
          <w:sz w:val="24"/>
          <w:szCs w:val="24"/>
          <w:lang w:val="en-US" w:eastAsia="ar-SA"/>
        </w:rPr>
        <w:t>P</w:t>
      </w:r>
      <w:r w:rsidR="00DD1308">
        <w:rPr>
          <w:rFonts w:ascii="Times New Roman" w:eastAsia="Calibri" w:hAnsi="Times New Roman" w:cs="Times New Roman"/>
          <w:i/>
          <w:sz w:val="24"/>
          <w:szCs w:val="24"/>
          <w:lang w:val="en-US" w:eastAsia="ar-SA"/>
        </w:rPr>
        <w:t>seudocercospora</w:t>
      </w:r>
      <w:proofErr w:type="spellEnd"/>
      <w:r w:rsidR="00DD1308">
        <w:rPr>
          <w:rFonts w:ascii="Times New Roman" w:eastAsia="Calibri" w:hAnsi="Times New Roman" w:cs="Times New Roman"/>
          <w:i/>
          <w:sz w:val="24"/>
          <w:szCs w:val="24"/>
          <w:lang w:val="en-US" w:eastAsia="ar-SA"/>
        </w:rPr>
        <w:t xml:space="preserve"> </w:t>
      </w:r>
      <w:proofErr w:type="spellStart"/>
      <w:r w:rsidRPr="0031616E">
        <w:rPr>
          <w:rFonts w:ascii="Times New Roman" w:eastAsia="Calibri" w:hAnsi="Times New Roman" w:cs="Times New Roman"/>
          <w:i/>
          <w:sz w:val="24"/>
          <w:szCs w:val="24"/>
          <w:lang w:val="en-US" w:eastAsia="ar-SA"/>
        </w:rPr>
        <w:t>fijiensis</w:t>
      </w:r>
      <w:proofErr w:type="spellEnd"/>
      <w:r w:rsidRPr="0031616E">
        <w:rPr>
          <w:rFonts w:ascii="Times New Roman" w:eastAsia="Calibri" w:hAnsi="Times New Roman" w:cs="Times New Roman"/>
          <w:sz w:val="24"/>
          <w:szCs w:val="24"/>
          <w:lang w:val="en-US" w:eastAsia="ar-SA"/>
        </w:rPr>
        <w:t xml:space="preserve"> </w:t>
      </w:r>
      <w:r w:rsidR="00DD1308" w:rsidRPr="001165E8">
        <w:rPr>
          <w:rFonts w:ascii="Times New Roman" w:eastAsia="Calibri" w:hAnsi="Times New Roman" w:cs="Times New Roman"/>
          <w:sz w:val="24"/>
          <w:szCs w:val="24"/>
          <w:lang w:val="en-US" w:eastAsia="ar-SA"/>
        </w:rPr>
        <w:t>isolate CIRAD86</w:t>
      </w:r>
      <w:r w:rsidR="00DD1308">
        <w:rPr>
          <w:rFonts w:ascii="Times New Roman" w:eastAsia="Calibri" w:hAnsi="Times New Roman" w:cs="Times New Roman"/>
          <w:sz w:val="24"/>
          <w:szCs w:val="24"/>
          <w:lang w:val="en-US" w:eastAsia="ar-SA"/>
        </w:rPr>
        <w:t xml:space="preserve"> </w:t>
      </w:r>
      <w:r w:rsidRPr="0031616E">
        <w:rPr>
          <w:rFonts w:ascii="Times New Roman" w:eastAsia="Calibri" w:hAnsi="Times New Roman" w:cs="Times New Roman"/>
          <w:sz w:val="24"/>
          <w:szCs w:val="24"/>
          <w:lang w:val="en-US" w:eastAsia="ar-SA"/>
        </w:rPr>
        <w:t xml:space="preserve">was sequenced using Sanger sequencing on ABI 3730XL capillary machines. Three libraries with different sized inserts (3- and 8-kb plasmids, and 40-kb </w:t>
      </w:r>
      <w:proofErr w:type="spellStart"/>
      <w:r w:rsidRPr="0031616E">
        <w:rPr>
          <w:rFonts w:ascii="Times New Roman" w:eastAsia="Calibri" w:hAnsi="Times New Roman" w:cs="Times New Roman"/>
          <w:sz w:val="24"/>
          <w:szCs w:val="24"/>
          <w:lang w:val="en-US" w:eastAsia="ar-SA"/>
        </w:rPr>
        <w:t>fosmids</w:t>
      </w:r>
      <w:proofErr w:type="spellEnd"/>
      <w:r w:rsidRPr="0031616E">
        <w:rPr>
          <w:rFonts w:ascii="Times New Roman" w:eastAsia="Calibri" w:hAnsi="Times New Roman" w:cs="Times New Roman"/>
          <w:sz w:val="24"/>
          <w:szCs w:val="24"/>
          <w:lang w:val="en-US" w:eastAsia="ar-SA"/>
        </w:rPr>
        <w:t xml:space="preserve">) were used as templates for the plasmid </w:t>
      </w:r>
      <w:proofErr w:type="spellStart"/>
      <w:r w:rsidRPr="0031616E">
        <w:rPr>
          <w:rFonts w:ascii="Times New Roman" w:eastAsia="Calibri" w:hAnsi="Times New Roman" w:cs="Times New Roman"/>
          <w:sz w:val="24"/>
          <w:szCs w:val="24"/>
          <w:lang w:val="en-US" w:eastAsia="ar-SA"/>
        </w:rPr>
        <w:t>subclone</w:t>
      </w:r>
      <w:proofErr w:type="spellEnd"/>
      <w:r w:rsidRPr="0031616E">
        <w:rPr>
          <w:rFonts w:ascii="Times New Roman" w:eastAsia="Calibri" w:hAnsi="Times New Roman" w:cs="Times New Roman"/>
          <w:sz w:val="24"/>
          <w:szCs w:val="24"/>
          <w:lang w:val="en-US" w:eastAsia="ar-SA"/>
        </w:rPr>
        <w:t xml:space="preserve"> sequencing process and both ends were sequenced. </w:t>
      </w:r>
      <w:r w:rsidRPr="0031616E">
        <w:rPr>
          <w:rFonts w:ascii="Times New Roman" w:eastAsia="Times New Roman" w:hAnsi="Times New Roman" w:cs="Times New Roman"/>
          <w:sz w:val="24"/>
          <w:szCs w:val="24"/>
          <w:lang w:val="en-US" w:eastAsia="ar-SA"/>
        </w:rPr>
        <w:t xml:space="preserve">After trimming sequences for vector sequences and eliminating those with low quality, a total </w:t>
      </w:r>
      <w:r w:rsidRPr="0031616E">
        <w:rPr>
          <w:rFonts w:ascii="Times New Roman" w:eastAsia="Calibri" w:hAnsi="Times New Roman" w:cs="Times New Roman"/>
          <w:sz w:val="24"/>
          <w:szCs w:val="24"/>
          <w:lang w:val="en-US" w:eastAsia="ar-SA"/>
        </w:rPr>
        <w:t>of</w:t>
      </w:r>
      <w:r w:rsidRPr="0031616E">
        <w:rPr>
          <w:rFonts w:ascii="Times New Roman" w:eastAsia="Calibri" w:hAnsi="Times New Roman" w:cs="Times New Roman"/>
          <w:b/>
          <w:i/>
          <w:sz w:val="24"/>
          <w:szCs w:val="24"/>
          <w:lang w:val="en-US" w:eastAsia="ar-SA"/>
        </w:rPr>
        <w:t xml:space="preserve"> </w:t>
      </w:r>
      <w:r w:rsidRPr="0031616E">
        <w:rPr>
          <w:rFonts w:ascii="Times New Roman" w:eastAsia="Calibri" w:hAnsi="Times New Roman" w:cs="Times New Roman"/>
          <w:sz w:val="24"/>
          <w:szCs w:val="24"/>
          <w:lang w:val="en-US" w:eastAsia="ar-SA"/>
        </w:rPr>
        <w:t>867,068</w:t>
      </w:r>
      <w:r w:rsidRPr="0031616E">
        <w:rPr>
          <w:rFonts w:ascii="Times New Roman" w:eastAsia="Times New Roman" w:hAnsi="Times New Roman" w:cs="Times New Roman"/>
          <w:sz w:val="24"/>
          <w:szCs w:val="24"/>
          <w:lang w:val="en-US" w:eastAsia="ar-SA"/>
        </w:rPr>
        <w:t xml:space="preserve"> reads was assembled into 382 main genome scaffolds </w:t>
      </w:r>
      <w:r w:rsidRPr="0031616E">
        <w:rPr>
          <w:rFonts w:ascii="Times New Roman" w:eastAsia="Calibri" w:hAnsi="Times New Roman" w:cs="Times New Roman"/>
          <w:sz w:val="24"/>
          <w:szCs w:val="24"/>
          <w:lang w:val="en-US" w:eastAsia="ar-SA"/>
        </w:rPr>
        <w:t xml:space="preserve">using a modified version of Arachne </w:t>
      </w:r>
      <w:r w:rsidRPr="0031616E">
        <w:rPr>
          <w:rFonts w:ascii="Times New Roman" w:hAnsi="Times New Roman" w:cs="Times New Roman"/>
          <w:sz w:val="24"/>
          <w:szCs w:val="24"/>
        </w:rPr>
        <w:fldChar w:fldCharType="begin"/>
      </w:r>
      <w:r>
        <w:rPr>
          <w:rFonts w:ascii="Times New Roman" w:hAnsi="Times New Roman" w:cs="Times New Roman"/>
          <w:sz w:val="24"/>
          <w:szCs w:val="24"/>
          <w:lang w:val="en-GB"/>
        </w:rPr>
        <w:instrText xml:space="preserve"> ADDIN ZOTERO_ITEM CSL_CITATION {"citationID":"17d9c8c6k4","properties":{"formattedCitation":"[1]","plainCitation":"[1]"},"citationItems":[{"id":106,"uris":["http://zotero.org/users/15611/items/7T5W2644"],"uri":["http://zotero.org/users/15611/items/7T5W2644"],"itemData":{"id":106,"type":"article-journal","title":"Whole-Genome Sequence Assembly for Mammalian Genomes: Arachne 2","container-title":"Genome Research","page":"91-96","volume":"13","issue":"1","source":"genome.cshlp.org","abstract":"We previously described the whole-genome assembly program Arachne, presenting assemblies of simulated data for small to mid-sized genomes. Here we describe algorithmic adaptations to the program, allowing for assembly of mammalian-size genomes, and also improving the assembly of smaller genomes. Three principal changes were simultaneously made and applied to the assembly of the mouse genome, during a six-month period of development: (1) Supercontigs (scaffolds) were iteratively broken and rejoined using several criteria, yielding a 64-fold increase in length (N50), and apparent elimination of all global misjoins; (2) gaps between contigs in supercontigs were filled (partially or completely) by insertion of reads, as suggested by pairing within the supercontig, increasing the N50 contig length by 50%; (3) memory usage was reduced fourfold. The outcome of this mouse assembly and its analysis are described in (Mouse Genome Sequencing Consortium 2002).","DOI":"10.1101/gr.828403","ISSN":"1088-9051, 1549-5469","note":"PMID: 12529310","shortTitle":"Whole-Genome Sequence Assembly for Mammalian Genomes","journalAbbreviation":"Genome Res.","language":"en","author":[{"family":"Jaffe","given":"David B."},{"family":"Butler","given":"Jonathan"},{"family":"Gnerre","given":"Sante"},{"family":"Mauceli","given":"Evan"},{"family":"Lindblad-Toh","given":"Kerstin"},{"family":"Mesirov","given":"Jill P."},{"family":"Zody","given":"Michael C."},{"family":"Lander","given":"Eric S."}],"issued":{"date-parts":[["2003",1,1]]},"accessed":{"date-parts":[["2014",10,13]]},"PMID":"12529310"}}],"schema":"https://github.com/citation-style-language/schema/raw/master/csl-citation.json"} </w:instrText>
      </w:r>
      <w:r w:rsidRPr="0031616E">
        <w:rPr>
          <w:rFonts w:ascii="Times New Roman" w:hAnsi="Times New Roman" w:cs="Times New Roman"/>
          <w:sz w:val="24"/>
          <w:szCs w:val="24"/>
        </w:rPr>
        <w:fldChar w:fldCharType="separate"/>
      </w:r>
      <w:r w:rsidRPr="00697F79">
        <w:rPr>
          <w:rFonts w:ascii="Times New Roman" w:hAnsi="Times New Roman" w:cs="Times New Roman"/>
          <w:sz w:val="24"/>
          <w:lang w:val="en-GB"/>
        </w:rPr>
        <w:t>[1]</w:t>
      </w:r>
      <w:r w:rsidRPr="0031616E">
        <w:rPr>
          <w:rFonts w:ascii="Times New Roman" w:hAnsi="Times New Roman" w:cs="Times New Roman"/>
          <w:sz w:val="24"/>
          <w:szCs w:val="24"/>
        </w:rPr>
        <w:fldChar w:fldCharType="end"/>
      </w:r>
      <w:r w:rsidRPr="0031616E">
        <w:rPr>
          <w:rFonts w:ascii="Times New Roman" w:eastAsia="Calibri" w:hAnsi="Times New Roman" w:cs="Times New Roman"/>
          <w:sz w:val="24"/>
          <w:szCs w:val="24"/>
          <w:lang w:val="en-US" w:eastAsia="ar-SA"/>
        </w:rPr>
        <w:t xml:space="preserve">. The resulting </w:t>
      </w:r>
      <w:r w:rsidRPr="0031616E">
        <w:rPr>
          <w:rFonts w:ascii="Times New Roman" w:eastAsia="Calibri" w:hAnsi="Times New Roman" w:cs="Times New Roman"/>
          <w:i/>
          <w:sz w:val="24"/>
          <w:szCs w:val="24"/>
          <w:lang w:val="en-US" w:eastAsia="ar-SA"/>
        </w:rPr>
        <w:t>P. fijiensis</w:t>
      </w:r>
      <w:r w:rsidRPr="0031616E">
        <w:rPr>
          <w:rFonts w:ascii="Times New Roman" w:eastAsia="Calibri" w:hAnsi="Times New Roman" w:cs="Times New Roman"/>
          <w:sz w:val="24"/>
          <w:szCs w:val="24"/>
          <w:lang w:val="en-US" w:eastAsia="ar-SA"/>
        </w:rPr>
        <w:t xml:space="preserve"> v1.0 draft assembly </w:t>
      </w:r>
      <w:r w:rsidRPr="0031616E">
        <w:rPr>
          <w:rFonts w:ascii="Times New Roman" w:eastAsia="Times New Roman" w:hAnsi="Times New Roman" w:cs="Times New Roman"/>
          <w:sz w:val="24"/>
          <w:szCs w:val="24"/>
          <w:lang w:val="en-US" w:eastAsia="ar-SA"/>
        </w:rPr>
        <w:t>totaled 73.6 Mb at an average read depth coverage of 7.11</w:t>
      </w:r>
      <w:r w:rsidRPr="0031616E">
        <w:rPr>
          <w:rFonts w:ascii="Times New Roman" w:eastAsia="Times New Roman" w:hAnsi="Times New Roman" w:cs="Times New Roman"/>
          <w:sz w:val="24"/>
          <w:szCs w:val="24"/>
          <w:lang w:val="en-US" w:eastAsia="ar-SA"/>
        </w:rPr>
        <w:sym w:font="Symbol" w:char="F0B4"/>
      </w:r>
      <w:r w:rsidRPr="0031616E">
        <w:rPr>
          <w:rFonts w:ascii="Times New Roman" w:eastAsia="Times New Roman" w:hAnsi="Times New Roman" w:cs="Times New Roman"/>
          <w:sz w:val="24"/>
          <w:szCs w:val="24"/>
          <w:lang w:val="en-US" w:eastAsia="ar-SA"/>
        </w:rPr>
        <w:t xml:space="preserve">. Almost 84% of the genome was contained in 10 scaffolds that were each at least 4.0 Mb in length </w:t>
      </w:r>
      <w:r w:rsidRPr="00697F79">
        <w:rPr>
          <w:rFonts w:ascii="Times New Roman" w:eastAsia="Times New Roman" w:hAnsi="Times New Roman" w:cs="Times New Roman"/>
          <w:sz w:val="24"/>
          <w:szCs w:val="24"/>
          <w:lang w:val="en-US" w:eastAsia="ar-SA"/>
        </w:rPr>
        <w:t>(Table S1).</w:t>
      </w:r>
    </w:p>
    <w:p w14:paraId="4C1742C1" w14:textId="77777777" w:rsidR="00F87DD6" w:rsidRPr="00F87DD6" w:rsidRDefault="00F87DD6" w:rsidP="00F87DD6">
      <w:pPr>
        <w:tabs>
          <w:tab w:val="num" w:pos="270"/>
        </w:tabs>
        <w:suppressAutoHyphens/>
        <w:spacing w:after="0" w:line="480" w:lineRule="auto"/>
        <w:ind w:firstLine="706"/>
        <w:rPr>
          <w:rFonts w:ascii="Times New Roman" w:eastAsia="Times New Roman" w:hAnsi="Times New Roman" w:cs="Times New Roman"/>
          <w:sz w:val="24"/>
          <w:szCs w:val="24"/>
          <w:lang w:val="en-US" w:eastAsia="ar-SA"/>
        </w:rPr>
      </w:pPr>
      <w:r w:rsidRPr="0031616E">
        <w:rPr>
          <w:rFonts w:ascii="Times New Roman" w:eastAsia="Calibri" w:hAnsi="Times New Roman" w:cs="Times New Roman"/>
          <w:sz w:val="24"/>
          <w:szCs w:val="24"/>
          <w:lang w:val="en-US" w:eastAsia="ar-SA"/>
        </w:rPr>
        <w:t xml:space="preserve">Inclusion of the genetic map data to facilitate assembly of the physical genome sequence involved sequencing 288 markers and aligning them to the version 1 draft assembly. Among the 288 markers sequenced, 262 were mapped to the version 1 </w:t>
      </w:r>
      <w:bookmarkStart w:id="1" w:name="_GoBack"/>
      <w:bookmarkEnd w:id="1"/>
      <w:r w:rsidRPr="0031616E">
        <w:rPr>
          <w:rFonts w:ascii="Times New Roman" w:eastAsia="Calibri" w:hAnsi="Times New Roman" w:cs="Times New Roman"/>
          <w:sz w:val="24"/>
          <w:szCs w:val="24"/>
          <w:lang w:val="en-US" w:eastAsia="ar-SA"/>
        </w:rPr>
        <w:t xml:space="preserve">genome assembly while 26 markers did not map. </w:t>
      </w:r>
      <w:r w:rsidRPr="0031616E">
        <w:rPr>
          <w:rFonts w:ascii="Times New Roman" w:eastAsia="TimesNewRoman" w:hAnsi="Times New Roman" w:cs="Times New Roman"/>
          <w:sz w:val="24"/>
          <w:szCs w:val="24"/>
          <w:lang w:val="en-US" w:eastAsia="ar-SA"/>
        </w:rPr>
        <w:t xml:space="preserve">The improved </w:t>
      </w:r>
      <w:r w:rsidRPr="0031616E">
        <w:rPr>
          <w:rFonts w:ascii="Times New Roman" w:eastAsia="Calibri" w:hAnsi="Times New Roman" w:cs="Times New Roman"/>
          <w:sz w:val="24"/>
          <w:szCs w:val="24"/>
          <w:lang w:val="en-US" w:eastAsia="ar-SA"/>
        </w:rPr>
        <w:t xml:space="preserve">version of the </w:t>
      </w:r>
      <w:r w:rsidRPr="0031616E">
        <w:rPr>
          <w:rFonts w:ascii="Times New Roman" w:eastAsia="TimesNewRoman" w:hAnsi="Times New Roman" w:cs="Times New Roman"/>
          <w:sz w:val="24"/>
          <w:szCs w:val="24"/>
          <w:lang w:val="en-US" w:eastAsia="ar-SA"/>
        </w:rPr>
        <w:t>genome sequence has an estimated size of 74 Mb, assembled into 56 scaffolds covering more than 99% of the genome. The largest scaffold is 11.8 Mb in</w:t>
      </w:r>
      <w:r w:rsidRPr="0031616E">
        <w:rPr>
          <w:rFonts w:ascii="Times New Roman" w:eastAsia="Calibri" w:hAnsi="Times New Roman" w:cs="Times New Roman"/>
          <w:sz w:val="24"/>
          <w:szCs w:val="24"/>
          <w:lang w:val="en-US" w:eastAsia="ar-SA"/>
        </w:rPr>
        <w:t xml:space="preserve"> </w:t>
      </w:r>
      <w:r w:rsidRPr="0031616E">
        <w:rPr>
          <w:rFonts w:ascii="Times New Roman" w:eastAsia="TimesNewRoman" w:hAnsi="Times New Roman" w:cs="Times New Roman"/>
          <w:sz w:val="24"/>
          <w:szCs w:val="24"/>
          <w:lang w:val="en-US" w:eastAsia="ar-SA"/>
        </w:rPr>
        <w:t>length and 28 scaffolds (99.</w:t>
      </w:r>
      <w:proofErr w:type="gramStart"/>
      <w:r w:rsidRPr="0031616E">
        <w:rPr>
          <w:rFonts w:ascii="Times New Roman" w:eastAsia="TimesNewRoman" w:hAnsi="Times New Roman" w:cs="Times New Roman"/>
          <w:sz w:val="24"/>
          <w:szCs w:val="24"/>
          <w:lang w:val="en-US" w:eastAsia="ar-SA"/>
        </w:rPr>
        <w:t>8.%)</w:t>
      </w:r>
      <w:proofErr w:type="gramEnd"/>
      <w:r w:rsidRPr="0031616E">
        <w:rPr>
          <w:rFonts w:ascii="Times New Roman" w:eastAsia="TimesNewRoman" w:hAnsi="Times New Roman" w:cs="Times New Roman"/>
          <w:sz w:val="24"/>
          <w:szCs w:val="24"/>
          <w:lang w:val="en-US" w:eastAsia="ar-SA"/>
        </w:rPr>
        <w:t xml:space="preserve"> are larger than 50 Kb. Only </w:t>
      </w:r>
      <w:r w:rsidRPr="0031616E">
        <w:rPr>
          <w:rFonts w:ascii="Times New Roman" w:eastAsia="Calibri" w:hAnsi="Times New Roman" w:cs="Times New Roman"/>
          <w:sz w:val="24"/>
          <w:szCs w:val="24"/>
          <w:lang w:val="en-US" w:eastAsia="ar-SA"/>
        </w:rPr>
        <w:t>0.6% of sequence bases are estimated to be in gaps as compared to 8.9% in version 1.0.</w:t>
      </w:r>
    </w:p>
    <w:p w14:paraId="3368B3E4" w14:textId="77777777" w:rsidR="00F87DD6" w:rsidRPr="00F87DD6" w:rsidRDefault="00F87DD6" w:rsidP="00F87DD6">
      <w:pPr>
        <w:tabs>
          <w:tab w:val="num" w:pos="270"/>
        </w:tabs>
        <w:suppressAutoHyphens/>
        <w:spacing w:before="280" w:after="280" w:line="480" w:lineRule="auto"/>
        <w:ind w:firstLine="706"/>
        <w:rPr>
          <w:rFonts w:ascii="Times New Roman" w:eastAsia="Times New Roman" w:hAnsi="Times New Roman" w:cs="Times New Roman"/>
          <w:b/>
          <w:bCs/>
          <w:iCs/>
          <w:sz w:val="24"/>
          <w:szCs w:val="24"/>
          <w:lang w:val="en-US" w:eastAsia="nl-NL"/>
        </w:rPr>
      </w:pPr>
      <w:r w:rsidRPr="0031616E">
        <w:rPr>
          <w:rFonts w:ascii="Times New Roman" w:eastAsia="Times New Roman" w:hAnsi="Times New Roman" w:cs="Times New Roman"/>
          <w:sz w:val="24"/>
          <w:szCs w:val="24"/>
          <w:lang w:val="en-US" w:eastAsia="ar-SA"/>
        </w:rPr>
        <w:t xml:space="preserve">Annotation of the v1.0 assembly using a variety of similarity-based and </w:t>
      </w:r>
      <w:r w:rsidRPr="0031616E">
        <w:rPr>
          <w:rFonts w:ascii="Times New Roman" w:eastAsia="Times New Roman" w:hAnsi="Times New Roman" w:cs="Times New Roman"/>
          <w:i/>
          <w:sz w:val="24"/>
          <w:szCs w:val="24"/>
          <w:lang w:val="en-US" w:eastAsia="ar-SA"/>
        </w:rPr>
        <w:t>ab initio</w:t>
      </w:r>
      <w:r w:rsidRPr="0031616E">
        <w:rPr>
          <w:rFonts w:ascii="Times New Roman" w:eastAsia="Times New Roman" w:hAnsi="Times New Roman" w:cs="Times New Roman"/>
          <w:sz w:val="24"/>
          <w:szCs w:val="24"/>
          <w:lang w:val="en-US" w:eastAsia="ar-SA"/>
        </w:rPr>
        <w:t xml:space="preserve"> gene predictors </w:t>
      </w:r>
      <w:r w:rsidRPr="0031616E">
        <w:rPr>
          <w:rFonts w:ascii="Times New Roman" w:hAnsi="Times New Roman" w:cs="Times New Roman"/>
          <w:sz w:val="24"/>
          <w:szCs w:val="24"/>
        </w:rPr>
        <w:fldChar w:fldCharType="begin"/>
      </w:r>
      <w:r>
        <w:rPr>
          <w:rFonts w:ascii="Times New Roman" w:hAnsi="Times New Roman" w:cs="Times New Roman"/>
          <w:sz w:val="24"/>
          <w:szCs w:val="24"/>
          <w:lang w:val="en-GB"/>
        </w:rPr>
        <w:instrText xml:space="preserve"> ADDIN ZOTERO_ITEM CSL_CITATION {"citationID":"1dukauueao","properties":{"formattedCitation":"[2]","plainCitation":"[2]"},"citationItems":[{"id":75,"uris":["http://zotero.org/users/15611/items/5U9EW9JB"],"uri":["http://zotero.org/users/15611/items/5U9EW9JB"],"itemData":{"id":75,"type":"article-journal","title":"Diverse Lifestyles and Strategies of Plant Pathogenesis Encoded in the Genomes of Eighteen Dothideomycetes Fungi","container-title":"PLoS Pathog","page":"e1003037","volume":"8","issue":"12","source":"PLoS Journals","abstract":"Author SummaryDothideomycetes is the largest and most ecologically diverse class of fungi that includes many plant pathogens with high economic impact. Currently 18 genome sequences of Dothideomycetes are available, 14 of which are newly described in this paper and in several companion papers, allowing unprecedented resolution in comparative analyses. These 18 organisms have diverse lifestyles and strategies of plant pathogenesis. Three feed on dead organic matter only, six are necrotrophs (killing the host plant cells), one is a biotroph (forming an association with and thus feeding on the living cells of the host plant cells) and 8 are hemibiotrophs (having an initial biotrophic stage, and killing the host plant at a later stage). These various lifestyles are also reflected in the gene sets present in each group. For example, sets of genes involved in carbohydrate degradation and secondary metabolism are expanded in necrotrophs. Many genes involved in pathogenesis are located near repetitive sequences, which are believed to speed up their evolution. Blocks of genes with conserved gene order were identified. In addition to this we deduce that the mechanism for mesosynteny, a type of genome evolution particular to Dothideomycetes, is by intra-chromosomal inversions.","DOI":"10.1371/journal.ppat.1003037","note":"00063","journalAbbreviation":"PLoS Pathog","author":[{"family":"Ohm","given":"Robin A."},{"family":"Feau","given":"Nicolas"},{"family":"Henrissat","given":"Bernard"},{"family":"Schoch","given":"Conrad L."},{"family":"Horwitz","given":"Benjamin A."},{"family":"Barry","given":"Kerrie W."},{"family":"Condon","given":"Bradford J."},{"family":"Copeland","given":"Alex C."},{"family":"Dhillon","given":"Braham"},{"family":"Glaser","given":"Fabian"},{"family":"Hesse","given":"Cedar N."},{"family":"Kosti","given":"Idit"},{"family":"LaButti","given":"Kurt"},{"family":"Lindquist","given":"Erika A."},{"family":"Lucas","given":"Susan"},{"family":"Salamov","given":"Asaf A."},{"family":"Bradshaw","given":"Rosie E."},{"family":"Ciuffetti","given":"Lynda"},{"family":"Hamelin","given":"Richard C."},{"family":"Kema","given":"Gert H. J."},{"family":"Lawrence","given":"Christopher"},{"family":"Scott","given":"James A."},{"family":"Spatafora","given":"Joseph W."},{"family":"Turgeon","given":"B. Gillian"},{"family":"de Wit","given":"Pierre J. G. M."},{"family":"Zhong","given":"Shaobin"},{"family":"Goodwin","given":"Stephen B."},{"family":"Grigoriev","given":"Igor V."}],"issued":{"date-parts":[["2012",12,6]]},"accessed":{"date-parts":[["2014",1,3]],"season":"19:54:22"}}}],"schema":"https://github.com/citation-style-language/schema/raw/master/csl-citation.json"} </w:instrText>
      </w:r>
      <w:r w:rsidRPr="0031616E">
        <w:rPr>
          <w:rFonts w:ascii="Times New Roman" w:hAnsi="Times New Roman" w:cs="Times New Roman"/>
          <w:sz w:val="24"/>
          <w:szCs w:val="24"/>
        </w:rPr>
        <w:fldChar w:fldCharType="separate"/>
      </w:r>
      <w:r w:rsidRPr="00697F79">
        <w:rPr>
          <w:rFonts w:ascii="Times New Roman" w:hAnsi="Times New Roman" w:cs="Times New Roman"/>
          <w:sz w:val="24"/>
          <w:lang w:val="en-GB"/>
        </w:rPr>
        <w:t>[2]</w:t>
      </w:r>
      <w:r w:rsidRPr="0031616E">
        <w:rPr>
          <w:rFonts w:ascii="Times New Roman" w:hAnsi="Times New Roman" w:cs="Times New Roman"/>
          <w:sz w:val="24"/>
          <w:szCs w:val="24"/>
        </w:rPr>
        <w:fldChar w:fldCharType="end"/>
      </w:r>
      <w:r w:rsidRPr="0031616E">
        <w:rPr>
          <w:rFonts w:ascii="Times New Roman" w:eastAsia="Times New Roman" w:hAnsi="Times New Roman" w:cs="Times New Roman"/>
          <w:sz w:val="24"/>
          <w:szCs w:val="24"/>
          <w:lang w:val="en-US" w:eastAsia="ar-SA"/>
        </w:rPr>
        <w:t xml:space="preserve"> yielded 10,316 genes. Annotation of the v2.0 assembly was with the same annotation pipeline but with additional filtering by mapping of the v1.0 gene catalog along with its manual curations. After filtering for EST support </w:t>
      </w:r>
      <w:r w:rsidRPr="0031616E">
        <w:rPr>
          <w:rFonts w:ascii="Times New Roman" w:eastAsia="Times New Roman" w:hAnsi="Times New Roman" w:cs="Times New Roman"/>
          <w:sz w:val="24"/>
          <w:szCs w:val="24"/>
          <w:lang w:val="en-US" w:eastAsia="ar-SA"/>
        </w:rPr>
        <w:lastRenderedPageBreak/>
        <w:t xml:space="preserve">completeness and similarity to other species, 13,107 genes were structurally and functionally annotated. The average gene length in the version 2 assembly is 1,833 nt with 3.62 exons per gene; 88%, are complete with start and stop codon, 74% have similarity support, and 49% have </w:t>
      </w:r>
      <w:proofErr w:type="spellStart"/>
      <w:r w:rsidRPr="0031616E">
        <w:rPr>
          <w:rFonts w:ascii="Times New Roman" w:eastAsia="Times New Roman" w:hAnsi="Times New Roman" w:cs="Times New Roman"/>
          <w:sz w:val="24"/>
          <w:szCs w:val="24"/>
          <w:lang w:val="en-US" w:eastAsia="ar-SA"/>
        </w:rPr>
        <w:t>Pfam</w:t>
      </w:r>
      <w:proofErr w:type="spellEnd"/>
      <w:r w:rsidRPr="0031616E">
        <w:rPr>
          <w:rFonts w:ascii="Times New Roman" w:eastAsia="Times New Roman" w:hAnsi="Times New Roman" w:cs="Times New Roman"/>
          <w:sz w:val="24"/>
          <w:szCs w:val="24"/>
          <w:lang w:val="en-US" w:eastAsia="ar-SA"/>
        </w:rPr>
        <w:t xml:space="preserve"> domains </w:t>
      </w:r>
      <w:r w:rsidRPr="00697F79">
        <w:rPr>
          <w:rFonts w:ascii="Times New Roman" w:eastAsia="Times New Roman" w:hAnsi="Times New Roman" w:cs="Times New Roman"/>
          <w:sz w:val="24"/>
          <w:szCs w:val="24"/>
          <w:lang w:val="en-US" w:eastAsia="ar-SA"/>
        </w:rPr>
        <w:t>(Table S2)</w:t>
      </w:r>
      <w:r w:rsidRPr="00EC23BD">
        <w:rPr>
          <w:rFonts w:ascii="Times New Roman" w:eastAsia="Times New Roman" w:hAnsi="Times New Roman" w:cs="Times New Roman"/>
          <w:sz w:val="24"/>
          <w:szCs w:val="24"/>
          <w:lang w:val="en-US" w:eastAsia="ar-SA"/>
        </w:rPr>
        <w:t>.</w:t>
      </w:r>
      <w:r w:rsidRPr="0031616E">
        <w:rPr>
          <w:rFonts w:ascii="Times New Roman" w:eastAsia="Times New Roman" w:hAnsi="Times New Roman" w:cs="Times New Roman"/>
          <w:sz w:val="24"/>
          <w:szCs w:val="24"/>
          <w:lang w:val="en-US" w:eastAsia="ar-SA"/>
        </w:rPr>
        <w:t xml:space="preserve"> Most of the gene models (96%) are located in 12 scaffolds, numbers 1-10, 12 and 19. Gene density in these 12 scaffolds varies from 151 to 229 per Mb and drops from 2.2 to 94 genes per Mb for the remaining scaffolds larger than 0.5 Mb </w:t>
      </w:r>
      <w:r w:rsidRPr="00697F79">
        <w:rPr>
          <w:rFonts w:ascii="Times New Roman" w:eastAsia="Times New Roman" w:hAnsi="Times New Roman" w:cs="Times New Roman"/>
          <w:sz w:val="24"/>
          <w:szCs w:val="24"/>
          <w:lang w:val="en-US" w:eastAsia="ar-SA"/>
        </w:rPr>
        <w:t>(Table S1)</w:t>
      </w:r>
      <w:r w:rsidRPr="00EC23BD">
        <w:rPr>
          <w:rFonts w:ascii="Times New Roman" w:eastAsia="Times New Roman" w:hAnsi="Times New Roman" w:cs="Times New Roman"/>
          <w:sz w:val="24"/>
          <w:szCs w:val="24"/>
          <w:lang w:val="en-US" w:eastAsia="ar-SA"/>
        </w:rPr>
        <w:t>.</w:t>
      </w:r>
    </w:p>
    <w:p w14:paraId="52C9FA22" w14:textId="77777777" w:rsidR="006D7225" w:rsidRPr="00B939CE" w:rsidRDefault="000519F2" w:rsidP="00FF3F44">
      <w:pPr>
        <w:suppressAutoHyphens/>
        <w:spacing w:before="280" w:after="280" w:line="480" w:lineRule="auto"/>
        <w:outlineLvl w:val="2"/>
        <w:rPr>
          <w:rFonts w:ascii="Times New Roman" w:eastAsia="Times New Roman" w:hAnsi="Times New Roman" w:cs="Times New Roman"/>
          <w:sz w:val="24"/>
          <w:szCs w:val="24"/>
          <w:lang w:val="en-US" w:eastAsia="ar-SA"/>
        </w:rPr>
      </w:pPr>
      <w:r>
        <w:rPr>
          <w:rFonts w:ascii="Times New Roman" w:eastAsia="Calibri" w:hAnsi="Times New Roman" w:cs="Times New Roman"/>
          <w:b/>
          <w:bCs/>
          <w:iCs/>
          <w:sz w:val="24"/>
          <w:szCs w:val="24"/>
          <w:lang w:val="en-US"/>
        </w:rPr>
        <w:t>EST support</w:t>
      </w:r>
    </w:p>
    <w:p w14:paraId="298DCF0F" w14:textId="77777777" w:rsidR="006D7225" w:rsidRPr="00B939CE" w:rsidRDefault="006D7225" w:rsidP="006D7225">
      <w:pPr>
        <w:tabs>
          <w:tab w:val="num" w:pos="270"/>
        </w:tabs>
        <w:suppressAutoHyphens/>
        <w:spacing w:line="480" w:lineRule="auto"/>
        <w:ind w:firstLine="706"/>
        <w:rPr>
          <w:rFonts w:ascii="Times New Roman" w:eastAsia="Calibri" w:hAnsi="Times New Roman" w:cs="Times New Roman"/>
          <w:sz w:val="24"/>
          <w:szCs w:val="24"/>
          <w:lang w:val="en-US" w:eastAsia="ar-SA"/>
        </w:rPr>
      </w:pPr>
      <w:r w:rsidRPr="00B939CE">
        <w:rPr>
          <w:rFonts w:ascii="Times New Roman" w:eastAsia="Calibri" w:hAnsi="Times New Roman" w:cs="Times New Roman"/>
          <w:sz w:val="24"/>
          <w:szCs w:val="24"/>
          <w:lang w:val="en-US" w:eastAsia="ar-SA"/>
        </w:rPr>
        <w:t>Sequencing of nine cDNA libraries from</w:t>
      </w:r>
      <w:r w:rsidRPr="00B939CE">
        <w:rPr>
          <w:rFonts w:ascii="Times New Roman" w:eastAsia="Calibri" w:hAnsi="Times New Roman" w:cs="Times New Roman"/>
          <w:i/>
          <w:iCs/>
          <w:sz w:val="24"/>
          <w:szCs w:val="24"/>
          <w:lang w:val="en-US" w:eastAsia="ar-SA"/>
        </w:rPr>
        <w:t xml:space="preserve"> </w:t>
      </w:r>
      <w:r w:rsidRPr="00B939CE">
        <w:rPr>
          <w:rFonts w:ascii="Times New Roman" w:eastAsia="Calibri" w:hAnsi="Times New Roman" w:cs="Times New Roman"/>
          <w:sz w:val="24"/>
          <w:szCs w:val="24"/>
          <w:lang w:val="en-US" w:eastAsia="ar-SA"/>
        </w:rPr>
        <w:t xml:space="preserve">three </w:t>
      </w:r>
      <w:r w:rsidRPr="00B939CE">
        <w:rPr>
          <w:rFonts w:ascii="Times New Roman" w:eastAsia="Calibri" w:hAnsi="Times New Roman" w:cs="Times New Roman"/>
          <w:i/>
          <w:iCs/>
          <w:sz w:val="24"/>
          <w:szCs w:val="24"/>
          <w:lang w:val="en-US" w:eastAsia="ar-SA"/>
        </w:rPr>
        <w:t>in vitro</w:t>
      </w:r>
      <w:r w:rsidRPr="00B939CE">
        <w:rPr>
          <w:rFonts w:ascii="Times New Roman" w:eastAsia="Calibri" w:hAnsi="Times New Roman" w:cs="Times New Roman"/>
          <w:sz w:val="24"/>
          <w:szCs w:val="24"/>
          <w:lang w:val="en-US" w:eastAsia="ar-SA"/>
        </w:rPr>
        <w:t xml:space="preserve"> conditions generated 32,394 ESTs: 10,733 from growth in rich medium (library MFEST-3); 11,685 from growth in minimal medium with nitrogen (library MFEST-4); and 9,976 from growth in minimal medium without nitrogen (library MFEST-5). Average read length was 711.8 bp and percent GC was just over 53%, corresponding to the high-GC peak seen in thermal-denaturation assays.</w:t>
      </w:r>
    </w:p>
    <w:p w14:paraId="404D2AB8" w14:textId="77777777" w:rsidR="006D7225" w:rsidRPr="00B939CE" w:rsidRDefault="006D7225" w:rsidP="006D7225">
      <w:pPr>
        <w:tabs>
          <w:tab w:val="num" w:pos="270"/>
        </w:tabs>
        <w:suppressAutoHyphens/>
        <w:spacing w:line="480" w:lineRule="auto"/>
        <w:ind w:firstLine="706"/>
        <w:rPr>
          <w:rFonts w:ascii="Times New Roman" w:eastAsia="Calibri" w:hAnsi="Times New Roman" w:cs="Times New Roman"/>
          <w:sz w:val="24"/>
          <w:szCs w:val="24"/>
          <w:lang w:val="en-US" w:eastAsia="ar-SA"/>
        </w:rPr>
      </w:pPr>
      <w:r w:rsidRPr="00B939CE">
        <w:rPr>
          <w:rFonts w:ascii="Times New Roman" w:eastAsia="Calibri" w:hAnsi="Times New Roman" w:cs="Times New Roman"/>
          <w:sz w:val="24"/>
          <w:szCs w:val="24"/>
          <w:lang w:val="en-US" w:eastAsia="ar-SA"/>
        </w:rPr>
        <w:t xml:space="preserve">Clustering of ESTs from all libraries using Cap3 yielded 3,306 contigs and 3,164 singletons. Mapping of the ESTs to the version 2 genome assembly provided support for 5,663 of the predicted gene models; 99% of these are located in 13 scaffolds. Some scaffolds such as 11 and 14 had a very low density of genes and mapped ESTs </w:t>
      </w:r>
      <w:r w:rsidRPr="00383C6F">
        <w:rPr>
          <w:rFonts w:ascii="Times New Roman" w:eastAsia="Calibri" w:hAnsi="Times New Roman" w:cs="Times New Roman"/>
          <w:sz w:val="24"/>
          <w:szCs w:val="24"/>
          <w:lang w:val="en-US" w:eastAsia="ar-SA"/>
        </w:rPr>
        <w:t>(Table S</w:t>
      </w:r>
      <w:r w:rsidR="00DC3685">
        <w:rPr>
          <w:rFonts w:ascii="Times New Roman" w:eastAsia="Calibri" w:hAnsi="Times New Roman" w:cs="Times New Roman"/>
          <w:sz w:val="24"/>
          <w:szCs w:val="24"/>
          <w:lang w:val="en-US" w:eastAsia="ar-SA"/>
        </w:rPr>
        <w:t>1</w:t>
      </w:r>
      <w:r w:rsidRPr="00383C6F">
        <w:rPr>
          <w:rFonts w:ascii="Times New Roman" w:eastAsia="Calibri" w:hAnsi="Times New Roman" w:cs="Times New Roman"/>
          <w:sz w:val="24"/>
          <w:szCs w:val="24"/>
          <w:lang w:val="en-US" w:eastAsia="ar-SA"/>
        </w:rPr>
        <w:t>).</w:t>
      </w:r>
    </w:p>
    <w:p w14:paraId="6B6CBE7E" w14:textId="67F18D2E" w:rsidR="006D7225" w:rsidRPr="00B939CE" w:rsidRDefault="006D7225" w:rsidP="00E8226F">
      <w:pPr>
        <w:suppressAutoHyphens/>
        <w:spacing w:line="480" w:lineRule="auto"/>
        <w:ind w:firstLine="720"/>
        <w:rPr>
          <w:rFonts w:ascii="Times New Roman" w:eastAsia="Calibri" w:hAnsi="Times New Roman" w:cs="Times New Roman"/>
          <w:sz w:val="24"/>
          <w:szCs w:val="24"/>
          <w:lang w:val="en-US" w:eastAsia="ar-SA"/>
        </w:rPr>
      </w:pPr>
      <w:r w:rsidRPr="00B939CE">
        <w:rPr>
          <w:rFonts w:ascii="Times New Roman" w:eastAsia="Calibri" w:hAnsi="Times New Roman" w:cs="Times New Roman"/>
          <w:sz w:val="24"/>
          <w:szCs w:val="24"/>
          <w:lang w:val="en-US" w:eastAsia="ar-SA"/>
        </w:rPr>
        <w:t xml:space="preserve">Differences in the relative abundance of EST sequences among the three libraries provide some clues about gene expression under each culture condition. Under rich conditions (library MFEST-3), genes that were </w:t>
      </w:r>
      <w:r w:rsidR="00AB570C">
        <w:rPr>
          <w:rFonts w:ascii="Times New Roman" w:eastAsia="Calibri" w:hAnsi="Times New Roman" w:cs="Times New Roman"/>
          <w:sz w:val="24"/>
          <w:szCs w:val="24"/>
          <w:lang w:val="en-US" w:eastAsia="ar-SA"/>
        </w:rPr>
        <w:t xml:space="preserve">more abundant </w:t>
      </w:r>
      <w:r w:rsidRPr="00B939CE">
        <w:rPr>
          <w:rFonts w:ascii="Times New Roman" w:eastAsia="Calibri" w:hAnsi="Times New Roman" w:cs="Times New Roman"/>
          <w:sz w:val="24"/>
          <w:szCs w:val="24"/>
          <w:lang w:val="en-US" w:eastAsia="ar-SA"/>
        </w:rPr>
        <w:t xml:space="preserve">included those with GO terms related to metabolic processes such as carbohydrate catabolic processes (GO:0046365, GO:0019320), lipid metabolic processes (GO:0006629 </w:t>
      </w:r>
      <w:r w:rsidRPr="00B939CE">
        <w:rPr>
          <w:rFonts w:ascii="Times New Roman" w:eastAsia="Calibri" w:hAnsi="Times New Roman" w:cs="Times New Roman"/>
          <w:sz w:val="24"/>
          <w:szCs w:val="24"/>
          <w:lang w:val="en-US" w:eastAsia="ar-SA"/>
        </w:rPr>
        <w:lastRenderedPageBreak/>
        <w:t xml:space="preserve">GO:0045834), dicarboxylic acid metabolic process (GO:0043648) and small-molecule biosynthetic process (GO:0044281), among others. Some interesting genes expressed exclusively under rich conditions in library 3 include a polyketide synthase, a D-3-phosphoglycerate dehydrogenase related to cytochrome p450 of </w:t>
      </w:r>
      <w:proofErr w:type="spellStart"/>
      <w:r w:rsidRPr="00B939CE">
        <w:rPr>
          <w:rFonts w:ascii="Times New Roman" w:eastAsia="Calibri" w:hAnsi="Times New Roman" w:cs="Times New Roman"/>
          <w:i/>
          <w:sz w:val="24"/>
          <w:szCs w:val="24"/>
          <w:lang w:val="en-US" w:eastAsia="ar-SA"/>
        </w:rPr>
        <w:t>Neurospora</w:t>
      </w:r>
      <w:proofErr w:type="spellEnd"/>
      <w:r w:rsidRPr="00B939CE">
        <w:rPr>
          <w:rFonts w:ascii="Times New Roman" w:eastAsia="Calibri" w:hAnsi="Times New Roman" w:cs="Times New Roman"/>
          <w:i/>
          <w:sz w:val="24"/>
          <w:szCs w:val="24"/>
          <w:lang w:val="en-US" w:eastAsia="ar-SA"/>
        </w:rPr>
        <w:t xml:space="preserve"> </w:t>
      </w:r>
      <w:proofErr w:type="spellStart"/>
      <w:r w:rsidRPr="00B939CE">
        <w:rPr>
          <w:rFonts w:ascii="Times New Roman" w:eastAsia="Calibri" w:hAnsi="Times New Roman" w:cs="Times New Roman"/>
          <w:i/>
          <w:sz w:val="24"/>
          <w:szCs w:val="24"/>
          <w:lang w:val="en-US" w:eastAsia="ar-SA"/>
        </w:rPr>
        <w:t>crassa</w:t>
      </w:r>
      <w:proofErr w:type="spellEnd"/>
      <w:r w:rsidRPr="00B939CE">
        <w:rPr>
          <w:rFonts w:ascii="Times New Roman" w:eastAsia="Calibri" w:hAnsi="Times New Roman" w:cs="Times New Roman"/>
          <w:sz w:val="24"/>
          <w:szCs w:val="24"/>
          <w:lang w:val="en-US" w:eastAsia="ar-SA"/>
        </w:rPr>
        <w:t xml:space="preserve">, a </w:t>
      </w:r>
      <w:proofErr w:type="spellStart"/>
      <w:r w:rsidRPr="00B939CE">
        <w:rPr>
          <w:rFonts w:ascii="Times New Roman" w:eastAsia="Calibri" w:hAnsi="Times New Roman" w:cs="Times New Roman"/>
          <w:sz w:val="24"/>
          <w:szCs w:val="24"/>
          <w:lang w:val="en-US" w:eastAsia="ar-SA"/>
        </w:rPr>
        <w:t>Ctr</w:t>
      </w:r>
      <w:proofErr w:type="spellEnd"/>
      <w:r w:rsidRPr="00B939CE">
        <w:rPr>
          <w:rFonts w:ascii="Times New Roman" w:eastAsia="Calibri" w:hAnsi="Times New Roman" w:cs="Times New Roman"/>
          <w:sz w:val="24"/>
          <w:szCs w:val="24"/>
          <w:lang w:val="en-US" w:eastAsia="ar-SA"/>
        </w:rPr>
        <w:t xml:space="preserve"> copper transporter family protein </w:t>
      </w:r>
      <w:r w:rsidR="00FF1C72">
        <w:rPr>
          <w:rFonts w:ascii="Times New Roman" w:eastAsia="Calibri" w:hAnsi="Times New Roman" w:cs="Times New Roman"/>
          <w:sz w:val="24"/>
          <w:szCs w:val="24"/>
          <w:lang w:val="en-US" w:eastAsia="ar-SA"/>
        </w:rPr>
        <w:t>(</w:t>
      </w:r>
      <w:r w:rsidRPr="00B939CE">
        <w:rPr>
          <w:rFonts w:ascii="Times New Roman" w:eastAsia="Calibri" w:hAnsi="Times New Roman" w:cs="Times New Roman"/>
          <w:i/>
          <w:sz w:val="24"/>
          <w:szCs w:val="24"/>
          <w:lang w:val="en-US" w:eastAsia="ar-SA"/>
        </w:rPr>
        <w:t xml:space="preserve">Aspergillus </w:t>
      </w:r>
      <w:proofErr w:type="spellStart"/>
      <w:r w:rsidRPr="00B939CE">
        <w:rPr>
          <w:rFonts w:ascii="Times New Roman" w:eastAsia="Calibri" w:hAnsi="Times New Roman" w:cs="Times New Roman"/>
          <w:i/>
          <w:sz w:val="24"/>
          <w:szCs w:val="24"/>
          <w:lang w:val="en-US" w:eastAsia="ar-SA"/>
        </w:rPr>
        <w:t>clavatus</w:t>
      </w:r>
      <w:proofErr w:type="spellEnd"/>
      <w:r w:rsidRPr="00B939CE">
        <w:rPr>
          <w:rFonts w:ascii="Times New Roman" w:eastAsia="Calibri" w:hAnsi="Times New Roman" w:cs="Times New Roman"/>
          <w:sz w:val="24"/>
          <w:szCs w:val="24"/>
          <w:lang w:val="en-US" w:eastAsia="ar-SA"/>
        </w:rPr>
        <w:t xml:space="preserve"> NRRL 1</w:t>
      </w:r>
      <w:r w:rsidR="00FF1C72">
        <w:rPr>
          <w:rFonts w:ascii="Times New Roman" w:eastAsia="Calibri" w:hAnsi="Times New Roman" w:cs="Times New Roman"/>
          <w:sz w:val="24"/>
          <w:szCs w:val="24"/>
          <w:lang w:val="en-US" w:eastAsia="ar-SA"/>
        </w:rPr>
        <w:t>)</w:t>
      </w:r>
      <w:r w:rsidR="00FF1C72" w:rsidRPr="00B939CE">
        <w:rPr>
          <w:rFonts w:ascii="Times New Roman" w:eastAsia="Calibri" w:hAnsi="Times New Roman" w:cs="Times New Roman"/>
          <w:sz w:val="24"/>
          <w:szCs w:val="24"/>
          <w:lang w:val="en-US" w:eastAsia="ar-SA"/>
        </w:rPr>
        <w:t xml:space="preserve">, </w:t>
      </w:r>
      <w:r w:rsidRPr="00B939CE">
        <w:rPr>
          <w:rFonts w:ascii="Times New Roman" w:eastAsia="Calibri" w:hAnsi="Times New Roman" w:cs="Times New Roman"/>
          <w:sz w:val="24"/>
          <w:szCs w:val="24"/>
          <w:lang w:val="en-US" w:eastAsia="ar-SA"/>
        </w:rPr>
        <w:t>and an ABC multidrug transporter mdr2 protein.</w:t>
      </w:r>
    </w:p>
    <w:p w14:paraId="45D4C5F5" w14:textId="07D7A4A5" w:rsidR="000519F2" w:rsidRDefault="006D7225" w:rsidP="00E8226F">
      <w:pPr>
        <w:suppressAutoHyphens/>
        <w:spacing w:line="480" w:lineRule="auto"/>
        <w:ind w:firstLine="720"/>
        <w:rPr>
          <w:rFonts w:ascii="Times New Roman" w:eastAsia="Calibri" w:hAnsi="Times New Roman" w:cs="Times New Roman"/>
          <w:sz w:val="24"/>
          <w:szCs w:val="24"/>
          <w:lang w:val="en-US" w:eastAsia="ar-SA"/>
        </w:rPr>
      </w:pPr>
      <w:r w:rsidRPr="00B939CE">
        <w:rPr>
          <w:rFonts w:ascii="Times New Roman" w:eastAsia="Calibri" w:hAnsi="Times New Roman" w:cs="Times New Roman"/>
          <w:sz w:val="24"/>
          <w:szCs w:val="24"/>
          <w:lang w:val="en-US" w:eastAsia="ar-SA"/>
        </w:rPr>
        <w:t xml:space="preserve">Genes </w:t>
      </w:r>
      <w:r w:rsidR="00AB570C">
        <w:rPr>
          <w:rFonts w:ascii="Times New Roman" w:eastAsia="Calibri" w:hAnsi="Times New Roman" w:cs="Times New Roman"/>
          <w:sz w:val="24"/>
          <w:szCs w:val="24"/>
          <w:lang w:val="en-US" w:eastAsia="ar-SA"/>
        </w:rPr>
        <w:t>with more abundance</w:t>
      </w:r>
      <w:r w:rsidR="00AB570C" w:rsidRPr="00B939CE">
        <w:rPr>
          <w:rFonts w:ascii="Times New Roman" w:eastAsia="Calibri" w:hAnsi="Times New Roman" w:cs="Times New Roman"/>
          <w:sz w:val="24"/>
          <w:szCs w:val="24"/>
          <w:lang w:val="en-US" w:eastAsia="ar-SA"/>
        </w:rPr>
        <w:t xml:space="preserve"> </w:t>
      </w:r>
      <w:r w:rsidRPr="00B939CE">
        <w:rPr>
          <w:rFonts w:ascii="Times New Roman" w:eastAsia="Calibri" w:hAnsi="Times New Roman" w:cs="Times New Roman"/>
          <w:sz w:val="24"/>
          <w:szCs w:val="24"/>
          <w:lang w:val="en-US" w:eastAsia="ar-SA"/>
        </w:rPr>
        <w:t xml:space="preserve">in minimal medium in the presence of nitrogen (library MFEST-4) had GO terms related to membrane fraction type proteins (GO:0005624), alcohol metabolic process (GO:0006066), binding (GO:0005488) and biosynthetic processes (GO:0009058, GO:0046364, GO:0019319). Interesting genes in MFEST-4 include a homolog of </w:t>
      </w:r>
      <w:proofErr w:type="spellStart"/>
      <w:r w:rsidRPr="00B939CE">
        <w:rPr>
          <w:rFonts w:ascii="Times New Roman" w:eastAsia="Calibri" w:hAnsi="Times New Roman" w:cs="Times New Roman"/>
          <w:sz w:val="24"/>
          <w:szCs w:val="24"/>
          <w:lang w:val="en-US" w:eastAsia="ar-SA"/>
        </w:rPr>
        <w:t>hydrophobin</w:t>
      </w:r>
      <w:proofErr w:type="spellEnd"/>
      <w:r w:rsidRPr="00B939CE">
        <w:rPr>
          <w:rFonts w:ascii="Times New Roman" w:eastAsia="Calibri" w:hAnsi="Times New Roman" w:cs="Times New Roman"/>
          <w:sz w:val="24"/>
          <w:szCs w:val="24"/>
          <w:lang w:val="en-US" w:eastAsia="ar-SA"/>
        </w:rPr>
        <w:t xml:space="preserve"> 1, which is the highest-expressed gene in this library, an alcohol oxidase and an extracellular cell wall </w:t>
      </w:r>
      <w:proofErr w:type="spellStart"/>
      <w:r w:rsidRPr="00B939CE">
        <w:rPr>
          <w:rFonts w:ascii="Times New Roman" w:eastAsia="Calibri" w:hAnsi="Times New Roman" w:cs="Times New Roman"/>
          <w:sz w:val="24"/>
          <w:szCs w:val="24"/>
          <w:lang w:val="en-US" w:eastAsia="ar-SA"/>
        </w:rPr>
        <w:t>glucanase</w:t>
      </w:r>
      <w:proofErr w:type="spellEnd"/>
      <w:r w:rsidRPr="00B939CE">
        <w:rPr>
          <w:rFonts w:ascii="Times New Roman" w:eastAsia="Calibri" w:hAnsi="Times New Roman" w:cs="Times New Roman"/>
          <w:sz w:val="24"/>
          <w:szCs w:val="24"/>
          <w:lang w:val="en-US" w:eastAsia="ar-SA"/>
        </w:rPr>
        <w:t xml:space="preserve">. Several highly expressed genes in library MFEST-4 also were expressed in library MFEST-5 including the </w:t>
      </w:r>
      <w:proofErr w:type="spellStart"/>
      <w:r w:rsidRPr="00B939CE">
        <w:rPr>
          <w:rFonts w:ascii="Times New Roman" w:eastAsia="Calibri" w:hAnsi="Times New Roman" w:cs="Times New Roman"/>
          <w:sz w:val="24"/>
          <w:szCs w:val="24"/>
          <w:lang w:val="en-US" w:eastAsia="ar-SA"/>
        </w:rPr>
        <w:t>hydrophobin</w:t>
      </w:r>
      <w:proofErr w:type="spellEnd"/>
      <w:r w:rsidRPr="00B939CE">
        <w:rPr>
          <w:rFonts w:ascii="Times New Roman" w:eastAsia="Calibri" w:hAnsi="Times New Roman" w:cs="Times New Roman"/>
          <w:sz w:val="24"/>
          <w:szCs w:val="24"/>
          <w:lang w:val="en-US" w:eastAsia="ar-SA"/>
        </w:rPr>
        <w:t xml:space="preserve"> 1 and the alcohol oxidase. Enriched GO terms in library MFEST-5 included, among others, drug transmembrane transporter activity (GO:0015238 GO:0015893), ion transmembrane transporter activity (GO:0015075, GO:0006812, GO:0006811 and others) and several terms related to nucleotide binding activities (GO:0001882, GO:0032553).</w:t>
      </w:r>
    </w:p>
    <w:p w14:paraId="0EBB2E49" w14:textId="77777777" w:rsidR="00F87DD6" w:rsidRPr="00F87DD6" w:rsidRDefault="00F87DD6" w:rsidP="00F87DD6">
      <w:pPr>
        <w:suppressAutoHyphens/>
        <w:spacing w:line="480" w:lineRule="auto"/>
        <w:rPr>
          <w:rFonts w:ascii="Times New Roman" w:eastAsia="Calibri" w:hAnsi="Times New Roman" w:cs="Times New Roman"/>
          <w:b/>
          <w:sz w:val="24"/>
          <w:szCs w:val="24"/>
          <w:lang w:val="en-US" w:eastAsia="ar-SA"/>
        </w:rPr>
      </w:pPr>
      <w:r w:rsidRPr="00F87DD6">
        <w:rPr>
          <w:rFonts w:ascii="Times New Roman" w:eastAsia="Calibri" w:hAnsi="Times New Roman" w:cs="Times New Roman"/>
          <w:b/>
          <w:sz w:val="24"/>
          <w:szCs w:val="24"/>
          <w:lang w:val="en-US" w:eastAsia="ar-SA"/>
        </w:rPr>
        <w:t>References</w:t>
      </w:r>
    </w:p>
    <w:p w14:paraId="3DEB57AC" w14:textId="77777777" w:rsidR="00F87DD6" w:rsidRPr="00697F79" w:rsidRDefault="00F87DD6" w:rsidP="00F87DD6">
      <w:pPr>
        <w:pStyle w:val="Bibliography"/>
        <w:rPr>
          <w:rFonts w:ascii="Times New Roman" w:hAnsi="Times New Roman" w:cs="Times New Roman"/>
          <w:sz w:val="24"/>
          <w:szCs w:val="24"/>
          <w:lang w:val="en-GB"/>
        </w:rPr>
      </w:pPr>
      <w:r w:rsidRPr="00F87DD6">
        <w:rPr>
          <w:rFonts w:ascii="Times New Roman" w:hAnsi="Times New Roman" w:cs="Times New Roman"/>
          <w:sz w:val="24"/>
          <w:szCs w:val="24"/>
        </w:rPr>
        <w:fldChar w:fldCharType="begin"/>
      </w:r>
      <w:r w:rsidRPr="00697F79">
        <w:rPr>
          <w:rFonts w:ascii="Times New Roman" w:hAnsi="Times New Roman" w:cs="Times New Roman"/>
          <w:sz w:val="24"/>
          <w:szCs w:val="24"/>
          <w:lang w:val="en-GB"/>
        </w:rPr>
        <w:instrText xml:space="preserve"> ADDIN ZOTERO_BIBL {"custom":[]} CSL_BIBLIOGRAPHY </w:instrText>
      </w:r>
      <w:r w:rsidRPr="00F87DD6">
        <w:rPr>
          <w:rFonts w:ascii="Times New Roman" w:hAnsi="Times New Roman" w:cs="Times New Roman"/>
          <w:sz w:val="24"/>
          <w:szCs w:val="24"/>
        </w:rPr>
        <w:fldChar w:fldCharType="separate"/>
      </w:r>
      <w:r w:rsidRPr="00697F79">
        <w:rPr>
          <w:rFonts w:ascii="Times New Roman" w:hAnsi="Times New Roman" w:cs="Times New Roman"/>
          <w:sz w:val="24"/>
          <w:szCs w:val="24"/>
          <w:lang w:val="en-GB"/>
        </w:rPr>
        <w:t xml:space="preserve">1. </w:t>
      </w:r>
      <w:r w:rsidRPr="00697F79">
        <w:rPr>
          <w:rFonts w:ascii="Times New Roman" w:hAnsi="Times New Roman" w:cs="Times New Roman"/>
          <w:sz w:val="24"/>
          <w:szCs w:val="24"/>
          <w:lang w:val="en-GB"/>
        </w:rPr>
        <w:tab/>
        <w:t>Jaffe DB, Butler J, Gnerre S, Mauceli E, Lindblad-Toh K, Mesirov JP, et al. Whole-Genome Sequence Assembly for Mammalian Genomes: Arachne 2. Genome Res. 2003;13: 91–96. doi:10.1101/gr.828403</w:t>
      </w:r>
    </w:p>
    <w:p w14:paraId="088F4152" w14:textId="77777777" w:rsidR="00F87DD6" w:rsidRPr="00F87DD6" w:rsidRDefault="00F87DD6" w:rsidP="00F87DD6">
      <w:pPr>
        <w:pStyle w:val="Bibliography"/>
        <w:rPr>
          <w:rFonts w:ascii="Times New Roman" w:hAnsi="Times New Roman" w:cs="Times New Roman"/>
          <w:sz w:val="24"/>
          <w:szCs w:val="24"/>
        </w:rPr>
      </w:pPr>
      <w:r w:rsidRPr="00697F79">
        <w:rPr>
          <w:rFonts w:ascii="Times New Roman" w:hAnsi="Times New Roman" w:cs="Times New Roman"/>
          <w:sz w:val="24"/>
          <w:szCs w:val="24"/>
          <w:lang w:val="en-GB"/>
        </w:rPr>
        <w:t xml:space="preserve">2. </w:t>
      </w:r>
      <w:r w:rsidRPr="00697F79">
        <w:rPr>
          <w:rFonts w:ascii="Times New Roman" w:hAnsi="Times New Roman" w:cs="Times New Roman"/>
          <w:sz w:val="24"/>
          <w:szCs w:val="24"/>
          <w:lang w:val="en-GB"/>
        </w:rPr>
        <w:tab/>
        <w:t xml:space="preserve">Ohm RA, Feau N, Henrissat B, Schoch CL, Horwitz BA, Barry KW, et al. Diverse Lifestyles and Strategies of Plant Pathogenesis Encoded in the Genomes of Eighteen Dothideomycetes Fungi. </w:t>
      </w:r>
      <w:r w:rsidRPr="00F87DD6">
        <w:rPr>
          <w:rFonts w:ascii="Times New Roman" w:hAnsi="Times New Roman" w:cs="Times New Roman"/>
          <w:sz w:val="24"/>
          <w:szCs w:val="24"/>
        </w:rPr>
        <w:t>PLoS Pathog. 2012;8: e1003037. doi:10.1371/journal.ppat.1003037</w:t>
      </w:r>
    </w:p>
    <w:p w14:paraId="7AC9A67A" w14:textId="77777777" w:rsidR="00F87DD6" w:rsidRDefault="00F87DD6" w:rsidP="00F87DD6">
      <w:pPr>
        <w:suppressAutoHyphens/>
        <w:spacing w:line="480" w:lineRule="auto"/>
      </w:pPr>
      <w:r w:rsidRPr="00F87DD6">
        <w:rPr>
          <w:rFonts w:ascii="Times New Roman" w:hAnsi="Times New Roman" w:cs="Times New Roman"/>
          <w:sz w:val="24"/>
          <w:szCs w:val="24"/>
        </w:rPr>
        <w:fldChar w:fldCharType="end"/>
      </w:r>
    </w:p>
    <w:sectPr w:rsidR="00F87DD6" w:rsidSect="00B6694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25"/>
    <w:rsid w:val="00004910"/>
    <w:rsid w:val="000509FF"/>
    <w:rsid w:val="000519F2"/>
    <w:rsid w:val="0006493F"/>
    <w:rsid w:val="00082A5A"/>
    <w:rsid w:val="0009130C"/>
    <w:rsid w:val="000D1866"/>
    <w:rsid w:val="000F494C"/>
    <w:rsid w:val="001165E8"/>
    <w:rsid w:val="00125D44"/>
    <w:rsid w:val="00142DD2"/>
    <w:rsid w:val="001E6160"/>
    <w:rsid w:val="001E619E"/>
    <w:rsid w:val="002321BF"/>
    <w:rsid w:val="00247371"/>
    <w:rsid w:val="00267C66"/>
    <w:rsid w:val="00281C83"/>
    <w:rsid w:val="002B2808"/>
    <w:rsid w:val="0032311B"/>
    <w:rsid w:val="00363CDA"/>
    <w:rsid w:val="003A062A"/>
    <w:rsid w:val="003B7DF2"/>
    <w:rsid w:val="003C37BB"/>
    <w:rsid w:val="003C7BE8"/>
    <w:rsid w:val="003E451C"/>
    <w:rsid w:val="003F3AD7"/>
    <w:rsid w:val="00401409"/>
    <w:rsid w:val="004535F0"/>
    <w:rsid w:val="004552B9"/>
    <w:rsid w:val="004A30C4"/>
    <w:rsid w:val="00536319"/>
    <w:rsid w:val="005A628C"/>
    <w:rsid w:val="006447BC"/>
    <w:rsid w:val="00664B5B"/>
    <w:rsid w:val="006719E9"/>
    <w:rsid w:val="00694AA7"/>
    <w:rsid w:val="00697F79"/>
    <w:rsid w:val="006C7A89"/>
    <w:rsid w:val="006D31DC"/>
    <w:rsid w:val="006D7225"/>
    <w:rsid w:val="007359DB"/>
    <w:rsid w:val="007824E5"/>
    <w:rsid w:val="007B660D"/>
    <w:rsid w:val="007E0380"/>
    <w:rsid w:val="007F0541"/>
    <w:rsid w:val="007F6F10"/>
    <w:rsid w:val="0083083D"/>
    <w:rsid w:val="00967A7F"/>
    <w:rsid w:val="00977D5A"/>
    <w:rsid w:val="009D6217"/>
    <w:rsid w:val="00AA14E0"/>
    <w:rsid w:val="00AA2F8E"/>
    <w:rsid w:val="00AB570C"/>
    <w:rsid w:val="00AC3C06"/>
    <w:rsid w:val="00AF01B0"/>
    <w:rsid w:val="00B16B48"/>
    <w:rsid w:val="00B631C2"/>
    <w:rsid w:val="00B666A0"/>
    <w:rsid w:val="00B66943"/>
    <w:rsid w:val="00BF2986"/>
    <w:rsid w:val="00C12512"/>
    <w:rsid w:val="00C37EA4"/>
    <w:rsid w:val="00C47D1E"/>
    <w:rsid w:val="00CC6963"/>
    <w:rsid w:val="00D43629"/>
    <w:rsid w:val="00D753BF"/>
    <w:rsid w:val="00DC3685"/>
    <w:rsid w:val="00DD1308"/>
    <w:rsid w:val="00E27020"/>
    <w:rsid w:val="00E30F60"/>
    <w:rsid w:val="00E8226F"/>
    <w:rsid w:val="00EC23BD"/>
    <w:rsid w:val="00EC6650"/>
    <w:rsid w:val="00EF3C72"/>
    <w:rsid w:val="00F1252C"/>
    <w:rsid w:val="00F41271"/>
    <w:rsid w:val="00F72B30"/>
    <w:rsid w:val="00F76D2A"/>
    <w:rsid w:val="00F843CC"/>
    <w:rsid w:val="00F87DD6"/>
    <w:rsid w:val="00FD052E"/>
    <w:rsid w:val="00FF1C72"/>
    <w:rsid w:val="00FF3F4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944C85"/>
  <w15:docId w15:val="{42AD2980-0C66-41FC-9809-5B932D28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color w:val="000000"/>
        <w:lang w:val="nl-NL"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7225"/>
    <w:pPr>
      <w:spacing w:after="200" w:line="276" w:lineRule="auto"/>
    </w:pPr>
    <w:rPr>
      <w:rFonts w:asciiTheme="minorHAnsi" w:eastAsiaTheme="minorHAnsi" w:hAnsiTheme="minorHAnsi" w:cstheme="minorBidi"/>
      <w:color w:val="auto"/>
      <w:sz w:val="22"/>
      <w:szCs w:val="22"/>
      <w:lang w:eastAsia="en-US"/>
    </w:rPr>
  </w:style>
  <w:style w:type="paragraph" w:styleId="Heading1">
    <w:name w:val="heading 1"/>
    <w:basedOn w:val="Normal"/>
    <w:next w:val="Normal"/>
    <w:link w:val="Heading1Char"/>
    <w:uiPriority w:val="9"/>
    <w:qFormat/>
    <w:rsid w:val="00FD05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2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26F"/>
    <w:rPr>
      <w:rFonts w:ascii="Lucida Grande" w:eastAsiaTheme="minorHAnsi" w:hAnsi="Lucida Grande" w:cs="Lucida Grande"/>
      <w:color w:val="auto"/>
      <w:sz w:val="18"/>
      <w:szCs w:val="18"/>
      <w:lang w:eastAsia="en-US"/>
    </w:rPr>
  </w:style>
  <w:style w:type="character" w:styleId="CommentReference">
    <w:name w:val="annotation reference"/>
    <w:rsid w:val="00F87DD6"/>
    <w:rPr>
      <w:sz w:val="16"/>
      <w:szCs w:val="16"/>
    </w:rPr>
  </w:style>
  <w:style w:type="paragraph" w:styleId="CommentText">
    <w:name w:val="annotation text"/>
    <w:basedOn w:val="Normal"/>
    <w:link w:val="CommentTextChar"/>
    <w:rsid w:val="00F87DD6"/>
    <w:pPr>
      <w:suppressAutoHyphens/>
    </w:pPr>
    <w:rPr>
      <w:rFonts w:ascii="Calibri" w:eastAsia="Calibri" w:hAnsi="Calibri" w:cs="Calibri"/>
      <w:sz w:val="20"/>
      <w:szCs w:val="20"/>
      <w:lang w:val="en-US" w:eastAsia="ar-SA"/>
    </w:rPr>
  </w:style>
  <w:style w:type="character" w:customStyle="1" w:styleId="CommentTextChar">
    <w:name w:val="Comment Text Char"/>
    <w:basedOn w:val="DefaultParagraphFont"/>
    <w:link w:val="CommentText"/>
    <w:rsid w:val="00F87DD6"/>
    <w:rPr>
      <w:rFonts w:ascii="Calibri" w:eastAsia="Calibri" w:hAnsi="Calibri" w:cs="Calibri"/>
      <w:color w:val="auto"/>
      <w:lang w:val="en-US" w:eastAsia="ar-SA"/>
    </w:rPr>
  </w:style>
  <w:style w:type="paragraph" w:styleId="Bibliography">
    <w:name w:val="Bibliography"/>
    <w:basedOn w:val="Normal"/>
    <w:next w:val="Normal"/>
    <w:uiPriority w:val="37"/>
    <w:unhideWhenUsed/>
    <w:rsid w:val="00F87DD6"/>
    <w:pPr>
      <w:tabs>
        <w:tab w:val="left" w:pos="384"/>
      </w:tabs>
      <w:spacing w:after="240" w:line="240" w:lineRule="auto"/>
      <w:ind w:left="384" w:hanging="384"/>
    </w:pPr>
  </w:style>
  <w:style w:type="character" w:customStyle="1" w:styleId="Heading1Char">
    <w:name w:val="Heading 1 Char"/>
    <w:basedOn w:val="DefaultParagraphFont"/>
    <w:link w:val="Heading1"/>
    <w:uiPriority w:val="9"/>
    <w:rsid w:val="00FD052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Thuis</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Haatje Jan Kema</dc:creator>
  <cp:lastModifiedBy>Elizabeth Taylor</cp:lastModifiedBy>
  <cp:revision>2</cp:revision>
  <dcterms:created xsi:type="dcterms:W3CDTF">2016-09-12T08:29:00Z</dcterms:created>
  <dcterms:modified xsi:type="dcterms:W3CDTF">2016-09-12T08:29:00Z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id="FIlY7q9T"/&gt;&lt;style id="http://www.zotero.org/styles/plos-genetics"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value="0"/&gt;&lt;/prefs&gt;&lt;/data&gt;</vt:lpwstr>
  </property>
</Properties>
</file>