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0453" w14:textId="77777777" w:rsidR="00D9732F" w:rsidRDefault="00D9732F" w:rsidP="00D9732F">
      <w:r w:rsidRPr="00324E69">
        <w:rPr>
          <w:b/>
          <w:bCs/>
        </w:rPr>
        <w:t>S</w:t>
      </w:r>
      <w:r>
        <w:rPr>
          <w:b/>
          <w:bCs/>
        </w:rPr>
        <w:t xml:space="preserve">5 </w:t>
      </w:r>
      <w:r w:rsidRPr="00324E69">
        <w:rPr>
          <w:b/>
          <w:bCs/>
        </w:rPr>
        <w:t>Table</w:t>
      </w:r>
      <w:r>
        <w:t xml:space="preserve">. </w:t>
      </w:r>
      <w:r w:rsidRPr="0009035D">
        <w:t>Summary of Publication Bias Assessment</w:t>
      </w:r>
      <w:r>
        <w:t xml:space="preserve"> across different fracture outcomes. TF: Trim and Fill method, DOR: Diagnostic Odds Ratio, CI: Confidence Interval.</w:t>
      </w:r>
    </w:p>
    <w:tbl>
      <w:tblPr>
        <w:tblStyle w:val="TableGrid"/>
        <w:tblW w:w="13488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847"/>
        <w:gridCol w:w="2848"/>
        <w:gridCol w:w="2847"/>
        <w:gridCol w:w="2848"/>
      </w:tblGrid>
      <w:tr w:rsidR="00D9732F" w14:paraId="73C3739D" w14:textId="77777777" w:rsidTr="00434045">
        <w:trPr>
          <w:trHeight w:val="276"/>
          <w:tblHeader/>
          <w:jc w:val="center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A7D9FF3" w14:textId="77777777" w:rsidR="00D9732F" w:rsidRPr="00962ECF" w:rsidRDefault="00D9732F" w:rsidP="00434045">
            <w:pPr>
              <w:jc w:val="center"/>
              <w:rPr>
                <w:b/>
                <w:bCs/>
              </w:rPr>
            </w:pPr>
            <w:r w:rsidRPr="00962ECF">
              <w:rPr>
                <w:b/>
                <w:bCs/>
              </w:rPr>
              <w:t>Outcome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</w:tcPr>
          <w:p w14:paraId="606DDECE" w14:textId="77777777" w:rsidR="00D9732F" w:rsidRPr="00962ECF" w:rsidRDefault="00D9732F" w:rsidP="00434045">
            <w:pPr>
              <w:jc w:val="center"/>
              <w:rPr>
                <w:b/>
                <w:bCs/>
              </w:rPr>
            </w:pPr>
            <w:r w:rsidRPr="00962ECF">
              <w:rPr>
                <w:b/>
                <w:bCs/>
              </w:rPr>
              <w:t>No. of Studies included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096125" w14:textId="77777777" w:rsidR="00D9732F" w:rsidRPr="00962ECF" w:rsidRDefault="00D9732F" w:rsidP="00434045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No. of Studies after TF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CE0C040" w14:textId="77777777" w:rsidR="00D9732F" w:rsidRPr="00962ECF" w:rsidRDefault="00D9732F" w:rsidP="00434045">
            <w:pPr>
              <w:jc w:val="center"/>
              <w:rPr>
                <w:b/>
                <w:bCs/>
                <w:vertAlign w:val="superscript"/>
              </w:rPr>
            </w:pPr>
            <w:r w:rsidRPr="008F656E">
              <w:rPr>
                <w:b/>
                <w:bCs/>
              </w:rPr>
              <w:t>DOR</w:t>
            </w:r>
            <w:r>
              <w:rPr>
                <w:b/>
                <w:bCs/>
              </w:rPr>
              <w:t xml:space="preserve"> (95% CI)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53C422D" w14:textId="77777777" w:rsidR="00D9732F" w:rsidRPr="00962ECF" w:rsidRDefault="00D9732F" w:rsidP="00434045">
            <w:pPr>
              <w:jc w:val="center"/>
              <w:rPr>
                <w:b/>
                <w:bCs/>
                <w:vertAlign w:val="superscript"/>
              </w:rPr>
            </w:pPr>
            <w:r w:rsidRPr="001C0570">
              <w:rPr>
                <w:b/>
                <w:bCs/>
              </w:rPr>
              <w:t>DOR</w:t>
            </w:r>
            <w:r>
              <w:rPr>
                <w:b/>
                <w:bCs/>
              </w:rPr>
              <w:t xml:space="preserve"> after TF (95% CI)</w:t>
            </w:r>
          </w:p>
        </w:tc>
      </w:tr>
      <w:tr w:rsidR="00D9732F" w14:paraId="77D2BEA6" w14:textId="77777777" w:rsidTr="00434045">
        <w:trPr>
          <w:trHeight w:val="276"/>
          <w:jc w:val="center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C3741E0" w14:textId="77777777" w:rsidR="00D9732F" w:rsidRPr="00962ECF" w:rsidRDefault="00D9732F" w:rsidP="00434045">
            <w:pPr>
              <w:jc w:val="center"/>
            </w:pPr>
            <w:r>
              <w:t>Hip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E70152" w14:textId="77777777" w:rsidR="00D9732F" w:rsidRPr="00962ECF" w:rsidRDefault="00D9732F" w:rsidP="00434045">
            <w:pPr>
              <w:jc w:val="center"/>
            </w:pPr>
            <w:r>
              <w:t>18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F2A838C" w14:textId="77777777" w:rsidR="00D9732F" w:rsidRPr="00962ECF" w:rsidRDefault="00D9732F" w:rsidP="00434045">
            <w:pPr>
              <w:jc w:val="center"/>
            </w:pPr>
            <w:r>
              <w:t>28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D058D1D" w14:textId="77777777" w:rsidR="00D9732F" w:rsidRPr="00962ECF" w:rsidRDefault="00D9732F" w:rsidP="00434045">
            <w:pPr>
              <w:jc w:val="center"/>
            </w:pPr>
            <w:r>
              <w:t>99.5 (39.4-251.5)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9038A05" w14:textId="77777777" w:rsidR="00D9732F" w:rsidRPr="00962ECF" w:rsidRDefault="00D9732F" w:rsidP="00434045">
            <w:pPr>
              <w:jc w:val="center"/>
            </w:pPr>
            <w:r>
              <w:t>7.1 (1.5-33.5)</w:t>
            </w:r>
          </w:p>
        </w:tc>
      </w:tr>
      <w:tr w:rsidR="00D9732F" w14:paraId="41F3E0C5" w14:textId="77777777" w:rsidTr="00434045">
        <w:trPr>
          <w:trHeight w:val="276"/>
          <w:jc w:val="center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AE8E887" w14:textId="77777777" w:rsidR="00D9732F" w:rsidRPr="00962ECF" w:rsidRDefault="00D9732F" w:rsidP="00434045">
            <w:pPr>
              <w:jc w:val="center"/>
            </w:pPr>
            <w:r>
              <w:t>Vertebral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2D778F" w14:textId="77777777" w:rsidR="00D9732F" w:rsidRPr="00962ECF" w:rsidRDefault="00D9732F" w:rsidP="00434045">
            <w:pPr>
              <w:jc w:val="center"/>
            </w:pPr>
            <w:r>
              <w:t>20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F506DCF" w14:textId="77777777" w:rsidR="00D9732F" w:rsidRPr="00962ECF" w:rsidRDefault="00D9732F" w:rsidP="00434045">
            <w:pPr>
              <w:jc w:val="center"/>
            </w:pPr>
            <w:r>
              <w:t>28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B917544" w14:textId="77777777" w:rsidR="00D9732F" w:rsidRPr="00962ECF" w:rsidRDefault="00D9732F" w:rsidP="00434045">
            <w:pPr>
              <w:jc w:val="center"/>
            </w:pPr>
            <w:r>
              <w:t>38.3 (21.4-68.5)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64C8E18" w14:textId="77777777" w:rsidR="00D9732F" w:rsidRPr="00962ECF" w:rsidRDefault="00D9732F" w:rsidP="00434045">
            <w:pPr>
              <w:jc w:val="center"/>
            </w:pPr>
            <w:r>
              <w:t>17.5 (8.9-34.1)</w:t>
            </w:r>
          </w:p>
        </w:tc>
      </w:tr>
      <w:tr w:rsidR="00D9732F" w14:paraId="7DDC7C31" w14:textId="77777777" w:rsidTr="00434045">
        <w:trPr>
          <w:trHeight w:val="276"/>
          <w:jc w:val="center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402CC4B" w14:textId="77777777" w:rsidR="00D9732F" w:rsidRPr="00962ECF" w:rsidRDefault="00D9732F" w:rsidP="00434045">
            <w:pPr>
              <w:jc w:val="center"/>
            </w:pPr>
            <w:r>
              <w:t>Wrist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643436" w14:textId="77777777" w:rsidR="00D9732F" w:rsidRPr="00962ECF" w:rsidRDefault="00D9732F" w:rsidP="00434045">
            <w:pPr>
              <w:jc w:val="center"/>
            </w:pPr>
            <w:r>
              <w:t>3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133C2BA" w14:textId="77777777" w:rsidR="00D9732F" w:rsidRPr="00962ECF" w:rsidRDefault="00D9732F" w:rsidP="00434045">
            <w:pPr>
              <w:jc w:val="center"/>
            </w:pPr>
            <w:r>
              <w:t>5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9C21B82" w14:textId="77777777" w:rsidR="00D9732F" w:rsidRPr="00962ECF" w:rsidRDefault="00D9732F" w:rsidP="00434045">
            <w:pPr>
              <w:jc w:val="center"/>
            </w:pPr>
            <w:r>
              <w:t>105.7 (56.4-197.9)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6A61E13" w14:textId="77777777" w:rsidR="00D9732F" w:rsidRPr="00962ECF" w:rsidRDefault="00D9732F" w:rsidP="00434045">
            <w:pPr>
              <w:jc w:val="center"/>
            </w:pPr>
            <w:r>
              <w:t>65.7 (31.4-137.6)</w:t>
            </w:r>
          </w:p>
        </w:tc>
      </w:tr>
      <w:tr w:rsidR="00D9732F" w14:paraId="4DED2F78" w14:textId="77777777" w:rsidTr="00434045">
        <w:trPr>
          <w:trHeight w:val="276"/>
          <w:jc w:val="center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E9553F9" w14:textId="77777777" w:rsidR="00D9732F" w:rsidRPr="00962ECF" w:rsidRDefault="00D9732F" w:rsidP="00434045">
            <w:pPr>
              <w:jc w:val="center"/>
            </w:pPr>
            <w:r w:rsidRPr="00962ECF">
              <w:t>Femoral Neck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C327CA" w14:textId="77777777" w:rsidR="00D9732F" w:rsidRPr="00962ECF" w:rsidRDefault="00D9732F" w:rsidP="00434045">
            <w:pPr>
              <w:jc w:val="center"/>
            </w:pPr>
            <w:r w:rsidRPr="00962ECF">
              <w:t>4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6DA29EE" w14:textId="77777777" w:rsidR="00D9732F" w:rsidRPr="00962ECF" w:rsidRDefault="00D9732F" w:rsidP="00434045">
            <w:pPr>
              <w:jc w:val="center"/>
            </w:pPr>
            <w:r>
              <w:t>6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A87561D" w14:textId="77777777" w:rsidR="00D9732F" w:rsidRPr="00962ECF" w:rsidRDefault="00D9732F" w:rsidP="00434045">
            <w:pPr>
              <w:jc w:val="center"/>
            </w:pPr>
            <w:r>
              <w:t>125.8 (10.9-1444.7)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4FFA1C1" w14:textId="77777777" w:rsidR="00D9732F" w:rsidRPr="00962ECF" w:rsidRDefault="00D9732F" w:rsidP="00434045">
            <w:pPr>
              <w:jc w:val="center"/>
            </w:pPr>
            <w:r>
              <w:t>16.1 (2.5-87.4)</w:t>
            </w:r>
          </w:p>
        </w:tc>
      </w:tr>
      <w:tr w:rsidR="00D9732F" w14:paraId="461889C9" w14:textId="77777777" w:rsidTr="00434045">
        <w:trPr>
          <w:trHeight w:val="276"/>
          <w:jc w:val="center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F42FDF1" w14:textId="77777777" w:rsidR="00D9732F" w:rsidRPr="00962ECF" w:rsidRDefault="00D9732F" w:rsidP="00434045">
            <w:pPr>
              <w:jc w:val="center"/>
            </w:pPr>
            <w:r w:rsidRPr="00962ECF">
              <w:t>Multiple*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14B6E1" w14:textId="77777777" w:rsidR="00D9732F" w:rsidRPr="00962ECF" w:rsidRDefault="00D9732F" w:rsidP="00434045">
            <w:pPr>
              <w:jc w:val="center"/>
            </w:pPr>
            <w:r>
              <w:t>11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DB8B5A5" w14:textId="77777777" w:rsidR="00D9732F" w:rsidRPr="00962ECF" w:rsidRDefault="00D9732F" w:rsidP="00434045">
            <w:pPr>
              <w:jc w:val="center"/>
            </w:pPr>
            <w:r>
              <w:t>17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21D67F7" w14:textId="77777777" w:rsidR="00D9732F" w:rsidRPr="00962ECF" w:rsidRDefault="00D9732F" w:rsidP="00434045">
            <w:pPr>
              <w:jc w:val="center"/>
            </w:pPr>
            <w:r>
              <w:t>88.7 (33.5-234.6)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D2A2D4C" w14:textId="77777777" w:rsidR="00D9732F" w:rsidRPr="00962ECF" w:rsidRDefault="00D9732F" w:rsidP="00434045">
            <w:pPr>
              <w:jc w:val="center"/>
            </w:pPr>
            <w:r>
              <w:t>16.9 (3.6-78.7)</w:t>
            </w:r>
          </w:p>
        </w:tc>
      </w:tr>
      <w:tr w:rsidR="00D9732F" w14:paraId="0B834F60" w14:textId="77777777" w:rsidTr="00434045">
        <w:trPr>
          <w:trHeight w:val="276"/>
          <w:jc w:val="center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66AC14E" w14:textId="77777777" w:rsidR="00D9732F" w:rsidRPr="00962ECF" w:rsidRDefault="00D9732F" w:rsidP="00434045">
            <w:pPr>
              <w:jc w:val="center"/>
            </w:pPr>
            <w:r>
              <w:t>Others**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86ACA5" w14:textId="77777777" w:rsidR="00D9732F" w:rsidRPr="00962ECF" w:rsidRDefault="00D9732F" w:rsidP="00434045">
            <w:pPr>
              <w:jc w:val="center"/>
            </w:pPr>
            <w:r>
              <w:t>10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19A1195" w14:textId="77777777" w:rsidR="00D9732F" w:rsidRPr="00962ECF" w:rsidRDefault="00D9732F" w:rsidP="00434045">
            <w:pPr>
              <w:jc w:val="center"/>
            </w:pPr>
            <w:r>
              <w:t>14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EA13A3A" w14:textId="77777777" w:rsidR="00D9732F" w:rsidRPr="00962ECF" w:rsidRDefault="00D9732F" w:rsidP="00434045">
            <w:pPr>
              <w:jc w:val="center"/>
            </w:pPr>
            <w:r>
              <w:t>179.7 (65.9-489.5)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A438647" w14:textId="77777777" w:rsidR="00D9732F" w:rsidRPr="00962ECF" w:rsidRDefault="00D9732F" w:rsidP="00434045">
            <w:pPr>
              <w:jc w:val="center"/>
            </w:pPr>
            <w:r>
              <w:t>63.4 (19.3-208.4)</w:t>
            </w:r>
          </w:p>
        </w:tc>
      </w:tr>
    </w:tbl>
    <w:p w14:paraId="4788D9D6" w14:textId="77777777" w:rsidR="00D9732F" w:rsidRDefault="00D9732F" w:rsidP="00D9732F">
      <w:r w:rsidRPr="00B332F7">
        <w:t xml:space="preserve">* Multiple </w:t>
      </w:r>
      <w:r>
        <w:t xml:space="preserve">fractures </w:t>
      </w:r>
      <w:r w:rsidRPr="00B332F7">
        <w:t>outcome studies include hip and pelvic (2), hip and spine (1), major osteoporotic fractures (1), multiple (3), osteoporotic fractures (2), pelvic and limbs (1), pelvic, spine</w:t>
      </w:r>
      <w:r>
        <w:t>,</w:t>
      </w:r>
      <w:r w:rsidRPr="00B332F7">
        <w:t xml:space="preserve"> and rib (1)</w:t>
      </w:r>
      <w:r>
        <w:t>.</w:t>
      </w:r>
    </w:p>
    <w:p w14:paraId="6819B6EA" w14:textId="77777777" w:rsidR="00D9732F" w:rsidRDefault="00D9732F" w:rsidP="00D9732F">
      <w:r>
        <w:t xml:space="preserve">** Others fracture outcome studies include scaphoid (2), thoracolumbar (2), cervical spine (1), hand (1), lumber spine (1), proximal humerus (1), supracondylar (1), and trabecular bone (1). </w:t>
      </w:r>
    </w:p>
    <w:p w14:paraId="19643775" w14:textId="77777777" w:rsidR="001122D5" w:rsidRDefault="001122D5"/>
    <w:sectPr w:rsidR="001122D5" w:rsidSect="00D9732F"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2F"/>
    <w:rsid w:val="001122D5"/>
    <w:rsid w:val="001F5318"/>
    <w:rsid w:val="002F654D"/>
    <w:rsid w:val="00355FED"/>
    <w:rsid w:val="00372748"/>
    <w:rsid w:val="003905EE"/>
    <w:rsid w:val="00802C72"/>
    <w:rsid w:val="00845599"/>
    <w:rsid w:val="00AF4B8C"/>
    <w:rsid w:val="00B126A6"/>
    <w:rsid w:val="00D9732F"/>
    <w:rsid w:val="00E467A3"/>
    <w:rsid w:val="00E72A60"/>
    <w:rsid w:val="00EB7C9B"/>
    <w:rsid w:val="00EC7829"/>
    <w:rsid w:val="00F87CB2"/>
    <w:rsid w:val="00F87D8E"/>
    <w:rsid w:val="00FB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CF6F9D"/>
  <w15:chartTrackingRefBased/>
  <w15:docId w15:val="{BC58E1DF-9145-2140-B581-94829804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32F"/>
    <w:pPr>
      <w:spacing w:line="360" w:lineRule="auto"/>
    </w:pPr>
    <w:rPr>
      <w:rFonts w:ascii="Times New Roman" w:hAnsi="Times New Roman" w:cs="Times New Roman"/>
      <w:kern w:val="0"/>
      <w:lang w:eastAsia="zh-CN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654D"/>
    <w:pPr>
      <w:keepNext/>
      <w:keepLines/>
      <w:jc w:val="both"/>
      <w:outlineLvl w:val="0"/>
    </w:pPr>
    <w:rPr>
      <w:rFonts w:eastAsiaTheme="majorEastAsia" w:cstheme="majorBidi"/>
      <w:color w:val="000000" w:themeColor="text1"/>
      <w:kern w:val="2"/>
      <w:sz w:val="32"/>
      <w:szCs w:val="32"/>
      <w:lang w:eastAsia="ko-KR"/>
      <w14:ligatures w14:val="standardContextual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87D8E"/>
    <w:pPr>
      <w:keepNext/>
      <w:keepLines/>
      <w:spacing w:line="120" w:lineRule="auto"/>
      <w:outlineLvl w:val="1"/>
    </w:pPr>
    <w:rPr>
      <w:rFonts w:eastAsia="Arial" w:cs="Arial"/>
      <w:kern w:val="2"/>
      <w:szCs w:val="32"/>
      <w:lang w:val="en" w:eastAsia="ko-KR"/>
      <w14:ligatures w14:val="standardContextual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F654D"/>
    <w:pPr>
      <w:keepNext/>
      <w:keepLines/>
      <w:outlineLvl w:val="2"/>
    </w:pPr>
    <w:rPr>
      <w:rFonts w:eastAsiaTheme="majorEastAsia" w:cstheme="majorBidi"/>
      <w:color w:val="000000" w:themeColor="text1"/>
      <w:kern w:val="2"/>
      <w:lang w:eastAsia="ko-KR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54D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7D8E"/>
    <w:rPr>
      <w:rFonts w:ascii="Times New Roman" w:eastAsia="Arial" w:hAnsi="Times New Roman" w:cs="Arial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54D"/>
    <w:rPr>
      <w:rFonts w:ascii="Times New Roman" w:eastAsiaTheme="majorEastAsia" w:hAnsi="Times New Roman" w:cstheme="majorBidi"/>
      <w:color w:val="000000" w:themeColor="text1"/>
    </w:rPr>
  </w:style>
  <w:style w:type="table" w:styleId="TableGrid">
    <w:name w:val="Table Grid"/>
    <w:basedOn w:val="TableNormal"/>
    <w:uiPriority w:val="39"/>
    <w:rsid w:val="00D9732F"/>
    <w:rPr>
      <w:rFonts w:ascii="Times New Roman" w:hAnsi="Times New Roman" w:cs="Times New Roman"/>
      <w:kern w:val="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Jongyun Jung</dc:creator>
  <cp:keywords/>
  <dc:description/>
  <cp:lastModifiedBy>Jongyun Jung</cp:lastModifiedBy>
  <cp:revision>1</cp:revision>
  <dcterms:created xsi:type="dcterms:W3CDTF">2023-12-27T21:08:00Z</dcterms:created>
  <dcterms:modified xsi:type="dcterms:W3CDTF">2023-12-27T21:09:00Z</dcterms:modified>
</cp:coreProperties>
</file>