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BC7" w:rsidRDefault="00BF7BC7" w:rsidP="00BF7BC7">
      <w:pPr>
        <w:pStyle w:val="Heading1"/>
        <w:numPr>
          <w:ilvl w:val="0"/>
          <w:numId w:val="0"/>
        </w:numPr>
        <w:ind w:left="360"/>
      </w:pPr>
      <w:r>
        <w:t>Supplementary Methods</w:t>
      </w:r>
    </w:p>
    <w:p w:rsidR="00BF7BC7" w:rsidRPr="00FE332B" w:rsidRDefault="00BF7BC7" w:rsidP="00BF7BC7">
      <w:pPr>
        <w:pStyle w:val="Heading2"/>
        <w:rPr>
          <w:b w:val="0"/>
        </w:rPr>
      </w:pPr>
      <w:r w:rsidRPr="00FE332B">
        <w:rPr>
          <w:b w:val="0"/>
        </w:rPr>
        <w:t>FREAD Performance Assessment</w:t>
      </w:r>
    </w:p>
    <w:p w:rsidR="00BF7BC7" w:rsidRPr="001D533A" w:rsidRDefault="00BF7BC7" w:rsidP="00BF7BC7">
      <w:pPr>
        <w:jc w:val="both"/>
      </w:pPr>
      <w:r>
        <w:t xml:space="preserve">The method used by FREAD to map an input loop sequence onto a known loop structure relies on the </w:t>
      </w:r>
      <w:r w:rsidRPr="005A73C9">
        <w:t>compatibility</w:t>
      </w:r>
      <w:r>
        <w:t xml:space="preserve"> of their anchor region orientation as well as a sequence similarity score (Environment-specific Substitution Score (ESS)). ESS scores are calculated based on observed amino acid substitution probabilities in a protein evolutionary environment </w:t>
      </w:r>
      <w:r>
        <w:fldChar w:fldCharType="begin" w:fldLock="1"/>
      </w:r>
      <w:r w:rsidR="00335F82">
        <w:instrText>ADDIN CSL_CITATION {"citationItems":[{"id":"ITEM-1","itemData":{"DOI":"10.1039/c1mb05223c","ISSN":"1742206X","abstract":"Antibodies are used extensively in medical and biological research. Their complementarity determining regions (CDRs) define the majority of their antigen binding functionality. CDR structures have been intensively studied and classified (canonical structures). Here we show that CDR structure prediction is no different from the standard loop structure prediction problem and predict them without classification. FREAD, a successful database loop prediction technique, is able to produce accurate predictions for all CDR loops (0.81, 0.42, 0.96, 0.98, 0.88 and 2.25 Å RMSD for CDR-L1 to CDR-H3). In order to overcome the relatively poor predictions of CDR-H3, we developed two variants of FREAD, one focused on sequence similarity (FREAD-S) and another which includes contact information (ConFREAD). Both of the methods improve accuracy for CDR-H3 to 1.34 Å and 1.23 Å respectively. The FREAD variants are also tested on homology models and compared to RosettaAntibody (CDR-H3 prediction on models: 1.98 and 2.62 Å for ConFREAD and RosettaAntibody respectively). CDRs are known to change their structural conformations upon binding the antigen. Traditional CDR classifications are based on sequence similarity and do not account for such environment changes. Using a set of antigen-free and antigen-bound structures, we compared our FREAD variants. ConFREAD which includes contact information successfully discriminates the bound and unbound CDR structures and achieves an accuracy of 1.35 Å for bound structures of CDR-H3.","author":[{"dropping-particle":"","family":"Choi","given":"Yoonjoo","non-dropping-particle":"","parse-names":false,"suffix":""},{"dropping-particle":"","family":"Deane","given":"Charlotte M.","non-dropping-particle":"","parse-names":false,"suffix":""}],"container-title":"Molecular BioSystems","id":"ITEM-1","issue":"12","issued":{"date-parts":[["2011","12","1"]]},"page":"3327-3334","title":"Predicting antibody complementarity determining region structures without classification","type":"article-journal","volume":"7"},"uris":["http://www.mendeley.com/documents/?uuid=8214c22f-4047-3016-b288-e9f882d05bac"]}],"mendeley":{"formattedCitation":"(1)","plainTextFormattedCitation":"(1)","previouslyFormattedCitation":"(1)"},"properties":{"noteIndex":0},"schema":"https://github.com/citation-style-language/schema/raw/master/csl-citation.json"}</w:instrText>
      </w:r>
      <w:r>
        <w:fldChar w:fldCharType="separate"/>
      </w:r>
      <w:r w:rsidRPr="00BF7BC7">
        <w:rPr>
          <w:noProof/>
        </w:rPr>
        <w:t>(1)</w:t>
      </w:r>
      <w:r>
        <w:fldChar w:fldCharType="end"/>
      </w:r>
      <w:r>
        <w:t>.</w:t>
      </w:r>
    </w:p>
    <w:p w:rsidR="00BF7BC7" w:rsidRDefault="00BF7BC7" w:rsidP="00BF7BC7">
      <w:pPr>
        <w:jc w:val="both"/>
      </w:pPr>
      <w:r>
        <w:t>CDR-H3s exhibit high sequence and length diversity in Ig-</w:t>
      </w:r>
      <w:proofErr w:type="spellStart"/>
      <w:r>
        <w:t>seq</w:t>
      </w:r>
      <w:proofErr w:type="spellEnd"/>
      <w:r>
        <w:t xml:space="preserve"> data </w:t>
      </w:r>
      <w:r>
        <w:fldChar w:fldCharType="begin" w:fldLock="1"/>
      </w:r>
      <w:r w:rsidR="00335F82">
        <w:instrText>ADDIN CSL_CITATION {"citationItems":[{"id":"ITEM-1","itemData":{"DOI":"10.1038/s41586-019-0879-y","ISSN":"14764687","abstract":"In principle, humans can produce an antibody response to any non-self-antigen molecule in the appropriate context. This flexibility is achieved by the presence of a large repertoire of naive antibodies, the diversity of which is expanded by somatic hypermutation following antigen exposure1. The diversity of the naive antibody repertoire in humans is estimated to be at least 1012 unique antibodies2. Because the number of peripheral blood B cells in a healthy adult human is on the order of 5 × 109, the circulating B cell population samples only a small fraction of this diversity. Full-scale analyses of human antibody repertoires have been prohibitively difficult, primarily owing to their massive size. The amount of information encoded by all of the rearranged antibody and T cell receptor genes in one person—the ‘genome’ of the adaptive immune system—exceeds the size of the human genome by more than four orders of magnitude. Furthermore, because much of the B lymphocyte population is localized in organs or tissues that cannot be comprehensively sampled from living subjects, human repertoire studies have focused on circulating B cells3. Here we examine the circulating B cell populations of ten human subjects and present what is, to our knowledge, the largest single collection of adaptive immune receptor sequences described to date, comprising almost 3 billion antibody heavy-chain sequences. This dataset enables genetic study of the baseline human antibody repertoire at an unprecedented depth and granularity, which reveals largely unique repertoires for each individual studied, a subpopulation of universally shared antibody clonotypes, and an exceptional overall diversity of the antibody repertoire.","author":[{"dropping-particle":"","family":"Briney","given":"Bryan","non-dropping-particle":"","parse-names":false,"suffix":""},{"dropping-particle":"","family":"Inderbitzin","given":"Anne","non-dropping-particle":"","parse-names":false,"suffix":""},{"dropping-particle":"","family":"Joyce","given":"Collin","non-dropping-particle":"","parse-names":false,"suffix":""},{"dropping-particle":"","family":"Burton","given":"Dennis R.","non-dropping-particle":"","parse-names":false,"suffix":""}],"container-title":"Nature","id":"ITEM-1","issue":"7744","issued":{"date-parts":[["2019","2","21"]]},"page":"393-397","publisher":"Nature Publishing Group","title":"Commonality despite exceptional diversity in the baseline human antibody repertoire","type":"article","volume":"566"},"uris":["http://www.mendeley.com/documents/?uuid=4753f235-77ff-30fa-ac4f-00d8949fffa7"]}],"mendeley":{"formattedCitation":"(2)","plainTextFormattedCitation":"(2)","previouslyFormattedCitation":"(2)"},"properties":{"noteIndex":0},"schema":"https://github.com/citation-style-language/schema/raw/master/csl-citation.json"}</w:instrText>
      </w:r>
      <w:r>
        <w:fldChar w:fldCharType="separate"/>
      </w:r>
      <w:r w:rsidRPr="00BF7BC7">
        <w:rPr>
          <w:noProof/>
        </w:rPr>
        <w:t>(2)</w:t>
      </w:r>
      <w:r>
        <w:fldChar w:fldCharType="end"/>
      </w:r>
      <w:r>
        <w:t xml:space="preserve">. Our FREAD library contains CDR-H3 loop structures derived from the </w:t>
      </w:r>
      <w:proofErr w:type="spellStart"/>
      <w:r>
        <w:t>SAbDab</w:t>
      </w:r>
      <w:proofErr w:type="spellEnd"/>
      <w:r>
        <w:t xml:space="preserve"> </w:t>
      </w:r>
      <w:r>
        <w:fldChar w:fldCharType="begin" w:fldLock="1"/>
      </w:r>
      <w:r>
        <w:instrText>ADDIN CSL_CITATION {"citationItems":[{"id":"ITEM-1","itemData":{"DOI":"10.1093/nar/gkt1043","ISBN":"1362-4962 (Electronic)\\r0305-1048 (Linking)","ISSN":"03051048","PMID":"24214988","abstract":"Structural antibody database (SAbDab; http://opig.stats.ox.ac.uk/webapps/sabdab) is an online resource containing all the publicly available antibody structures annotated and presented in a consistent fashion. The data are annotated with several properties including experimental information, gene details, correct heavy and light chain pairings, antigen details and, where available, antibody-antigen binding affinity. The user can select structures, according to these attributes as well as structural properties such as complementarity determining region loop conformation and variable domain orientation. Individual structures, datasets and the complete database can be downloaded.","author":[{"dropping-particle":"","family":"Dunbar","given":"James","non-dropping-particle":"","parse-names":false,"suffix":""},{"dropping-particle":"","family":"Krawczyk","given":"Konrad","non-dropping-particle":"","parse-names":false,"suffix":""},{"dropping-particle":"","family":"Leem","given":"Jinwoo","non-dropping-particle":"","parse-names":false,"suffix":""},{"dropping-particle":"","family":"Baker","given":"Terry","non-dropping-particle":"","parse-names":false,"suffix":""},{"dropping-particle":"","family":"Fuchs","given":"Angelika","non-dropping-particle":"","parse-names":false,"suffix":""},{"dropping-particle":"","family":"Georges","given":"Guy","non-dropping-particle":"","parse-names":false,"suffix":""},{"dropping-particle":"","family":"Shi","given":"Jiye","non-dropping-particle":"","parse-names":false,"suffix":""},{"dropping-particle":"","family":"Deane","given":"Charlotte M.","non-dropping-particle":"","parse-names":false,"suffix":""}],"container-title":"Nucleic Acids Research","id":"ITEM-1","issue":"D1","issued":{"date-parts":[["2014"]]},"title":"SAbDab: The structural antibody database","type":"article-journal","volume":"42"},"uris":["http://www.mendeley.com/documents/?uuid=f6573ae2-36e6-46ef-a664-be7815c7d016"]}],"mendeley":{"formattedCitation":"(3)","plainTextFormattedCitation":"(3)","previouslyFormattedCitation":"(3)"},"properties":{"noteIndex":0},"schema":"https://github.com/citation-style-language/schema/raw/master/csl-citation.json"}</w:instrText>
      </w:r>
      <w:r>
        <w:fldChar w:fldCharType="separate"/>
      </w:r>
      <w:r w:rsidRPr="00BF7BC7">
        <w:rPr>
          <w:noProof/>
        </w:rPr>
        <w:t>(3)</w:t>
      </w:r>
      <w:r>
        <w:fldChar w:fldCharType="end"/>
      </w:r>
      <w:r>
        <w:t>. The sequence diversity of these CDR-H3 templates is not representative of Ig-</w:t>
      </w:r>
      <w:proofErr w:type="spellStart"/>
      <w:r>
        <w:t>seq</w:t>
      </w:r>
      <w:proofErr w:type="spellEnd"/>
      <w:r>
        <w:t xml:space="preserve"> data, since the most these were subjected to rational antibody engineering </w:t>
      </w:r>
      <w:r>
        <w:fldChar w:fldCharType="begin" w:fldLock="1"/>
      </w:r>
      <w:r w:rsidR="00335F82">
        <w:instrText>ADDIN CSL_CITATION {"citationItems":[{"id":"ITEM-1","itemData":{"DOI":"10.1073/pnas.1810576116","ISSN":"10916490","abstract":" Therapeutic mAbs must not only bind to their target but must also be free from “developability issues” such as poor stability or high levels of aggregation. While small-molecule drug discovery benefits from Lipinski’s rule of five to guide the selection of molecules with appropriate biophysical properties, there is currently no in silico analog for antibody design. Here, we model the variable domain structures of a large set of post-phase-I clinical-stage antibody therapeutics (CSTs) and calculate in silico metrics to estimate their typical properties. In each case, we contextualize the CST distribution against a snapshot of the human antibody gene repertoire. We describe guideline values for five metrics thought to be implicated in poor developability: the total length of the complementarity-determining regions (CDRs), the extent and magnitude of surface hydrophobicity, positive charge and negative charge in the CDRs, and asymmetry in the net heavy- and light-chain surface charges. The guideline cutoffs for each property were derived from the values seen in CSTs, and a flagging system is proposed to identify nonconforming candidates. On two mAb drug discovery sets, we were able to selectively highlight sequences with developability issues. We make available the Therapeutic Antibody Profiler (TAP), a computational tool that builds downloadable homology models of variable domain sequences, tests them against our five developability guidelines, and reports potential sequence liabilities and canonical forms. TAP is freely available at opig.stats.ox.ac.uk/webapps/sabdab-sabpred/TAP.php . ","author":[{"dropping-particle":"","family":"Raybould","given":"Matthew I.J.","non-dropping-particle":"","parse-names":false,"suffix":""},{"dropping-particle":"","family":"Marks","given":"Claire","non-dropping-particle":"","parse-names":false,"suffix":""},{"dropping-particle":"","family":"Krawczyk","given":"Konrad","non-dropping-particle":"","parse-names":false,"suffix":""},{"dropping-particle":"","family":"Taddese","given":"Bruck","non-dropping-particle":"","parse-names":false,"suffix":""},{"dropping-particle":"","family":"Nowak","given":"Jaroslaw","non-dropping-particle":"","parse-names":false,"suffix":""},{"dropping-particle":"","family":"Lewis","given":"Alan P.","non-dropping-particle":"","parse-names":false,"suffix":""},{"dropping-particle":"","family":"Bujotzek","given":"Alexander","non-dropping-particle":"","parse-names":false,"suffix":""},{"dropping-particle":"","family":"Shi","given":"Jiye","non-dropping-particle":"","parse-names":false,"suffix":""},{"dropping-particle":"","family":"Deane","given":"Charlotte M.","non-dropping-particle":"","parse-names":false,"suffix":""}],"container-title":"Proceedings of the National Academy of Sciences of the United States of America","id":"ITEM-1","issue":"10","issued":{"date-parts":[["2019"]]},"page":"4025-4030","publisher":"National Academy of Sciences","title":"Five computational developability guidelines for therapeutic antibody profiling","type":"article-journal","volume":"116"},"uris":["http://www.mendeley.com/documents/?uuid=000de359-1298-366a-8d5d-856f605308aa"]}],"mendeley":{"formattedCitation":"(4)","plainTextFormattedCitation":"(4)","previouslyFormattedCitation":"(4)"},"properties":{"noteIndex":0},"schema":"https://github.com/citation-style-language/schema/raw/master/csl-citation.json"}</w:instrText>
      </w:r>
      <w:r>
        <w:fldChar w:fldCharType="separate"/>
      </w:r>
      <w:r w:rsidRPr="00BF7BC7">
        <w:rPr>
          <w:noProof/>
        </w:rPr>
        <w:t>(4)</w:t>
      </w:r>
      <w:r>
        <w:fldChar w:fldCharType="end"/>
      </w:r>
      <w:r>
        <w:t>, and their length distribution is different from natural Ig-</w:t>
      </w:r>
      <w:proofErr w:type="spellStart"/>
      <w:r>
        <w:t>seq</w:t>
      </w:r>
      <w:proofErr w:type="spellEnd"/>
      <w:r>
        <w:t xml:space="preserve"> data (Supplementary Figure 3). Therefore, we </w:t>
      </w:r>
      <w:r w:rsidR="00182880">
        <w:t>expect relatively low ESS scores between an Ig-</w:t>
      </w:r>
      <w:proofErr w:type="spellStart"/>
      <w:r w:rsidR="00182880">
        <w:t>seq</w:t>
      </w:r>
      <w:proofErr w:type="spellEnd"/>
      <w:r w:rsidR="00182880">
        <w:t xml:space="preserve"> sequence and its best hit in the FREAD library.</w:t>
      </w:r>
    </w:p>
    <w:p w:rsidR="00BF7BC7" w:rsidRDefault="00BF7BC7" w:rsidP="00BF7BC7">
      <w:pPr>
        <w:jc w:val="both"/>
      </w:pPr>
      <w:proofErr w:type="gramStart"/>
      <w:r>
        <w:t>To accurately estimate</w:t>
      </w:r>
      <w:proofErr w:type="gramEnd"/>
      <w:r>
        <w:t xml:space="preserve"> FREAD performance </w:t>
      </w:r>
      <w:r w:rsidR="00182880">
        <w:t>for</w:t>
      </w:r>
      <w:r>
        <w:t xml:space="preserve"> CDR-H3 structure prediction </w:t>
      </w:r>
      <w:r w:rsidR="00182880">
        <w:t>on</w:t>
      </w:r>
      <w:r>
        <w:t xml:space="preserve"> a given Ig-</w:t>
      </w:r>
      <w:proofErr w:type="spellStart"/>
      <w:r>
        <w:t>seq</w:t>
      </w:r>
      <w:proofErr w:type="spellEnd"/>
      <w:r>
        <w:t xml:space="preserve"> dataset, we used the following three-step method. First, we used FREAD to predict templates for</w:t>
      </w:r>
      <w:r w:rsidR="00182880">
        <w:t xml:space="preserve"> all</w:t>
      </w:r>
      <w:r>
        <w:t xml:space="preserve"> </w:t>
      </w:r>
      <w:proofErr w:type="spellStart"/>
      <w:r>
        <w:t>SAbDAb</w:t>
      </w:r>
      <w:proofErr w:type="spellEnd"/>
      <w:r>
        <w:t xml:space="preserve"> CDR-H3 sequences, retaining all suggested templates alongside their ESS scores (‘all versus all’). Here, we allowed FREAD to suggest templates with identical CDR-H3 sequences, since these sequences can be observed in natural Ig-</w:t>
      </w:r>
      <w:proofErr w:type="spellStart"/>
      <w:r>
        <w:t>seq</w:t>
      </w:r>
      <w:proofErr w:type="spellEnd"/>
      <w:r>
        <w:t xml:space="preserve"> data </w:t>
      </w:r>
      <w:r>
        <w:fldChar w:fldCharType="begin" w:fldLock="1"/>
      </w:r>
      <w:r w:rsidR="00335F82">
        <w:instrText>ADDIN CSL_CITATION {"citationItems":[{"id":"ITEM-1","itemData":{"author":[{"dropping-particle":"","family":"Konrad Krawczyk, Sebastian Kelm, Aleksandr Kovaltsuk, Jacob D. Galson, Dominic Kelly, Johannes Trück, Cristian Regep, Jinwoo Leem, Wing Ki Wong, Jaroslaw Nowak, James Snowden, Michael Wright, Laura Starkie, Anthony Scott-Tucker, Jiye Shi","given":"Charlotte M. Deane","non-dropping-particle":"","parse-names":false,"suffix":""}],"container-title":"Frontiers in Immunology","id":"ITEM-1","issued":{"date-parts":[["2018"]]},"title":"Structurally Mapping Antibody Repertoires","type":"article-journal"},"uris":["http://www.mendeley.com/documents/?uuid=cd5118a0-b407-4424-af09-343614dd7e80"]}],"mendeley":{"formattedCitation":"(5)","plainTextFormattedCitation":"(5)","previouslyFormattedCitation":"(5)"},"properties":{"noteIndex":0},"schema":"https://github.com/citation-style-language/schema/raw/master/csl-citation.json"}</w:instrText>
      </w:r>
      <w:r>
        <w:fldChar w:fldCharType="separate"/>
      </w:r>
      <w:r w:rsidRPr="00B65109">
        <w:rPr>
          <w:noProof/>
        </w:rPr>
        <w:t>(5)</w:t>
      </w:r>
      <w:r>
        <w:fldChar w:fldCharType="end"/>
      </w:r>
      <w:r>
        <w:t xml:space="preserve">. To evaluate the structural similarity between each FREAD template and the native loop, we measured backbone RMSD using the DTW algorithm </w:t>
      </w:r>
      <w:r>
        <w:fldChar w:fldCharType="begin" w:fldLock="1"/>
      </w:r>
      <w:r>
        <w:instrText xml:space="preserve">ADDIN CSL_CITATION {"citationItems":[{"id":"ITEM-1","itemData":{"DOI":"10.1080/19420862.2016.1158370","ISBN":"1942-0870 (Electronic)\\r1942-0862 (Linking)","ISSN":"19420870","PMID":"26963563","abstract":"Complementarity-determining regions (CDRs) are antibody loops that make up the antigen binding site. Here, we show that all CDR types have structurally similar loops of different lengths. Based on these findings, we created length-independent canonical classes for the non-H3 CDRs. Our length variable structural clusters show strong sequence patterns suggesting either that they evolved from the same original structure or result from some form of convergence. We find that our length-independent method not only clusters a larger number of CDRs, but also predicts canonical class from sequence better than the standard length-dependent approach. To demonstrate the usefulness of our findings, we predicted cluster membership of CDR-L3 sequences from 3 next-generation sequencing datasets of the antibody repertoire (over 1,000,000 sequences). Using the length-independent clusters, we can structurally classify an additional 135,000 sequences, which represents a </w:instrText>
      </w:r>
      <w:r>
        <w:rPr>
          <w:rFonts w:ascii="Cambria Math" w:hAnsi="Cambria Math" w:cs="Cambria Math"/>
        </w:rPr>
        <w:instrText>∼</w:instrText>
      </w:r>
      <w:r>
        <w:instrText>20% improvement over the standard approach. This suggests that our length-independent canonical classes might be a highly prevalent feature of antibody space, and could substantially improve our ability to accurately predict the structure of novel CDRs identified by next-generation sequencing.","author":[{"dropping-particle":"","family":"Nowak","given":"Jaroslaw","non-dropping-particle":"","parse-names":false,"suffix":""},{"dropping-particle":"","family":"Baker","given":"Terry","non-dropping-particle":"","parse-names":false,"suffix":""},{"dropping-particle":"","family":"Georges","given":"Guy","non-dropping-particle":"","parse-names":false,"suffix":""},{"dropping-particle":"","family":"Kelm","given":"Sebastian","non-dropping-particle":"","parse-names":false,"suffix":""},{"dropping-particle":"","family":"Klostermann","given":"Stefan","non-dropping-particle":"","parse-names":false,"suffix":""},{"dropping-particle":"","family":"Shi","given":"Jiye","non-dropping-particle":"","parse-names":false,"suffix":""},{"dropping-particle":"","family":"Sridharan","given":"Sudharsan","non-dropping-particle":"","parse-names":false,"suffix":""},{"dropping-particle":"","family":"Deane","given":"Charlotte M.","non-dropping-particle":"","parse-names":false,"suffix":""}],"container-title":"mAbs","id":"ITEM-1","issue":"4","issued":{"date-parts":[["2016"]]},"page":"751-760","title":"Length-independent structural similarities enrich the antibody CDR canonical class model","type":"article-journal","volume":"8"},"uris":["http://www.mendeley.com/documents/?uuid=7eede7e8-8768-45c7-af5e-fe78e026a6fb"]}],"mendeley":{"formattedCitation":"(6)","plainTextFormattedCitation":"(6)","previouslyFormattedCitation":"(6)"},"properties":{"noteIndex":0},"schema":"https://github.com/citation-style-language/schema/raw/master/csl-citation.json"}</w:instrText>
      </w:r>
      <w:r>
        <w:fldChar w:fldCharType="separate"/>
      </w:r>
      <w:r w:rsidRPr="00BF7BC7">
        <w:rPr>
          <w:noProof/>
        </w:rPr>
        <w:t>(6)</w:t>
      </w:r>
      <w:r>
        <w:fldChar w:fldCharType="end"/>
      </w:r>
      <w:r>
        <w:t>. This yielded a distribution of ESS scores with accompanying probabilities of RMSD values.</w:t>
      </w:r>
    </w:p>
    <w:p w:rsidR="00BF7BC7" w:rsidRDefault="00BF7BC7" w:rsidP="00BF7BC7">
      <w:pPr>
        <w:jc w:val="both"/>
      </w:pPr>
      <w:r>
        <w:t>Next, we generated the combined distribution of ESS scores across the top FREAD predictions in the human and mouse Ig-</w:t>
      </w:r>
      <w:proofErr w:type="spellStart"/>
      <w:r>
        <w:t>seq</w:t>
      </w:r>
      <w:proofErr w:type="spellEnd"/>
      <w:r>
        <w:t xml:space="preserve"> data (ESS_TOP). Since the mouse data contains ~66 times more sequences, it was subsampled to match the number of sequences found in the human data. To ensure that representative murine ESS scores </w:t>
      </w:r>
      <w:proofErr w:type="gramStart"/>
      <w:r>
        <w:t>were picked</w:t>
      </w:r>
      <w:proofErr w:type="gramEnd"/>
      <w:r>
        <w:t>, this subsampling procedure was repeated 100 times and the average ESS scores were recorded.</w:t>
      </w:r>
    </w:p>
    <w:p w:rsidR="00BF7BC7" w:rsidRDefault="00BF7BC7" w:rsidP="00BF7BC7">
      <w:pPr>
        <w:jc w:val="both"/>
      </w:pPr>
      <w:r>
        <w:t xml:space="preserve">Finally, we randomly picked 1000 FREAD predictions by ESS score (with replacement) from our all versus all assessment to match the ESS_TOP distribution. This </w:t>
      </w:r>
      <w:proofErr w:type="gramStart"/>
      <w:r>
        <w:t>was repeated</w:t>
      </w:r>
      <w:proofErr w:type="gramEnd"/>
      <w:r>
        <w:t xml:space="preserve"> 100 times and the average RMSD and precision scores were calculated across different loop length bins (5 to 12, 13 and 14, and 15 and 16) and ESS values. This generated the distribution of CDR-H3 length bins with accompanying average RMSD (</w:t>
      </w:r>
      <w:proofErr w:type="spellStart"/>
      <w:r>
        <w:t>bins_RMSD</w:t>
      </w:r>
      <w:proofErr w:type="spellEnd"/>
      <w:r>
        <w:t>) and precision (</w:t>
      </w:r>
      <w:proofErr w:type="spellStart"/>
      <w:r>
        <w:t>bins_precision</w:t>
      </w:r>
      <w:proofErr w:type="spellEnd"/>
      <w:r>
        <w:t>) values.</w:t>
      </w:r>
    </w:p>
    <w:p w:rsidR="00BF7BC7" w:rsidRDefault="00BF7BC7" w:rsidP="00BF7BC7">
      <w:pPr>
        <w:jc w:val="both"/>
      </w:pPr>
      <w:r>
        <w:t xml:space="preserve">We chose ESS cutoffs to achieve an average RMSD better than 3 </w:t>
      </w:r>
      <w:r w:rsidRPr="000E6C93">
        <w:t>Å</w:t>
      </w:r>
      <w:r>
        <w:t xml:space="preserve"> or at least 15% of coverage for every length bin in the human and mouse data. Supplementary Table 1 shows the average RMSD and precision we estimate FREAD will achieve on the Ig-</w:t>
      </w:r>
      <w:proofErr w:type="spellStart"/>
      <w:r>
        <w:t>seq</w:t>
      </w:r>
      <w:proofErr w:type="spellEnd"/>
      <w:r>
        <w:t xml:space="preserve"> data.</w:t>
      </w:r>
    </w:p>
    <w:p w:rsidR="00BF7BC7" w:rsidRDefault="00BF7BC7" w:rsidP="00BF7BC7">
      <w:pPr>
        <w:jc w:val="both"/>
      </w:pPr>
      <w:r>
        <w:t>References:</w:t>
      </w:r>
    </w:p>
    <w:p w:rsidR="00335F82" w:rsidRPr="00335F82" w:rsidRDefault="00BF7BC7" w:rsidP="00335F82">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bookmarkStart w:id="0" w:name="_GoBack"/>
      <w:bookmarkEnd w:id="0"/>
      <w:r w:rsidR="00335F82" w:rsidRPr="00335F82">
        <w:rPr>
          <w:rFonts w:ascii="Calibri" w:hAnsi="Calibri" w:cs="Calibri"/>
          <w:noProof/>
          <w:szCs w:val="24"/>
        </w:rPr>
        <w:t xml:space="preserve">1. </w:t>
      </w:r>
      <w:r w:rsidR="00335F82" w:rsidRPr="00335F82">
        <w:rPr>
          <w:rFonts w:ascii="Calibri" w:hAnsi="Calibri" w:cs="Calibri"/>
          <w:noProof/>
          <w:szCs w:val="24"/>
        </w:rPr>
        <w:tab/>
        <w:t xml:space="preserve">Choi Y, Deane CM. Predicting antibody complementarity determining region structures without classification. Mol Biosyst. 2011 Dec 1;7(12):3327–34. </w:t>
      </w:r>
    </w:p>
    <w:p w:rsidR="00335F82" w:rsidRPr="00335F82" w:rsidRDefault="00335F82" w:rsidP="00335F82">
      <w:pPr>
        <w:widowControl w:val="0"/>
        <w:autoSpaceDE w:val="0"/>
        <w:autoSpaceDN w:val="0"/>
        <w:adjustRightInd w:val="0"/>
        <w:spacing w:line="240" w:lineRule="auto"/>
        <w:ind w:left="640" w:hanging="640"/>
        <w:rPr>
          <w:rFonts w:ascii="Calibri" w:hAnsi="Calibri" w:cs="Calibri"/>
          <w:noProof/>
          <w:szCs w:val="24"/>
        </w:rPr>
      </w:pPr>
      <w:r w:rsidRPr="00335F82">
        <w:rPr>
          <w:rFonts w:ascii="Calibri" w:hAnsi="Calibri" w:cs="Calibri"/>
          <w:noProof/>
          <w:szCs w:val="24"/>
        </w:rPr>
        <w:t xml:space="preserve">2. </w:t>
      </w:r>
      <w:r w:rsidRPr="00335F82">
        <w:rPr>
          <w:rFonts w:ascii="Calibri" w:hAnsi="Calibri" w:cs="Calibri"/>
          <w:noProof/>
          <w:szCs w:val="24"/>
        </w:rPr>
        <w:tab/>
        <w:t xml:space="preserve">Briney B, Inderbitzin A, Joyce C, Burton DR. Commonality despite exceptional diversity in the baseline human antibody repertoire. Vol. 566, Nature. Nature Publishing Group; 2019. p. 393–7. </w:t>
      </w:r>
    </w:p>
    <w:p w:rsidR="00335F82" w:rsidRPr="00335F82" w:rsidRDefault="00335F82" w:rsidP="00335F82">
      <w:pPr>
        <w:widowControl w:val="0"/>
        <w:autoSpaceDE w:val="0"/>
        <w:autoSpaceDN w:val="0"/>
        <w:adjustRightInd w:val="0"/>
        <w:spacing w:line="240" w:lineRule="auto"/>
        <w:ind w:left="640" w:hanging="640"/>
        <w:rPr>
          <w:rFonts w:ascii="Calibri" w:hAnsi="Calibri" w:cs="Calibri"/>
          <w:noProof/>
          <w:szCs w:val="24"/>
        </w:rPr>
      </w:pPr>
      <w:r w:rsidRPr="00335F82">
        <w:rPr>
          <w:rFonts w:ascii="Calibri" w:hAnsi="Calibri" w:cs="Calibri"/>
          <w:noProof/>
          <w:szCs w:val="24"/>
        </w:rPr>
        <w:t xml:space="preserve">3. </w:t>
      </w:r>
      <w:r w:rsidRPr="00335F82">
        <w:rPr>
          <w:rFonts w:ascii="Calibri" w:hAnsi="Calibri" w:cs="Calibri"/>
          <w:noProof/>
          <w:szCs w:val="24"/>
        </w:rPr>
        <w:tab/>
        <w:t xml:space="preserve">Dunbar J, Krawczyk K, Leem J, Baker T, Fuchs A, Georges G, et al. SAbDab: The structural antibody database. Nucleic Acids Res. 2014;42(D1). </w:t>
      </w:r>
    </w:p>
    <w:p w:rsidR="00335F82" w:rsidRPr="00335F82" w:rsidRDefault="00335F82" w:rsidP="00335F82">
      <w:pPr>
        <w:widowControl w:val="0"/>
        <w:autoSpaceDE w:val="0"/>
        <w:autoSpaceDN w:val="0"/>
        <w:adjustRightInd w:val="0"/>
        <w:spacing w:line="240" w:lineRule="auto"/>
        <w:ind w:left="640" w:hanging="640"/>
        <w:rPr>
          <w:rFonts w:ascii="Calibri" w:hAnsi="Calibri" w:cs="Calibri"/>
          <w:noProof/>
          <w:szCs w:val="24"/>
        </w:rPr>
      </w:pPr>
      <w:r w:rsidRPr="00335F82">
        <w:rPr>
          <w:rFonts w:ascii="Calibri" w:hAnsi="Calibri" w:cs="Calibri"/>
          <w:noProof/>
          <w:szCs w:val="24"/>
        </w:rPr>
        <w:lastRenderedPageBreak/>
        <w:t xml:space="preserve">4. </w:t>
      </w:r>
      <w:r w:rsidRPr="00335F82">
        <w:rPr>
          <w:rFonts w:ascii="Calibri" w:hAnsi="Calibri" w:cs="Calibri"/>
          <w:noProof/>
          <w:szCs w:val="24"/>
        </w:rPr>
        <w:tab/>
        <w:t xml:space="preserve">Raybould MIJ, Marks C, Krawczyk K, Taddese B, Nowak J, Lewis AP, et al. Five computational developability guidelines for therapeutic antibody profiling. Proc Natl Acad Sci U S A. 2019;116(10):4025–30. </w:t>
      </w:r>
    </w:p>
    <w:p w:rsidR="00335F82" w:rsidRPr="00335F82" w:rsidRDefault="00335F82" w:rsidP="00335F82">
      <w:pPr>
        <w:widowControl w:val="0"/>
        <w:autoSpaceDE w:val="0"/>
        <w:autoSpaceDN w:val="0"/>
        <w:adjustRightInd w:val="0"/>
        <w:spacing w:line="240" w:lineRule="auto"/>
        <w:ind w:left="640" w:hanging="640"/>
        <w:rPr>
          <w:rFonts w:ascii="Calibri" w:hAnsi="Calibri" w:cs="Calibri"/>
          <w:noProof/>
          <w:szCs w:val="24"/>
        </w:rPr>
      </w:pPr>
      <w:r w:rsidRPr="00335F82">
        <w:rPr>
          <w:rFonts w:ascii="Calibri" w:hAnsi="Calibri" w:cs="Calibri"/>
          <w:noProof/>
          <w:szCs w:val="24"/>
        </w:rPr>
        <w:t xml:space="preserve">5. </w:t>
      </w:r>
      <w:r w:rsidRPr="00335F82">
        <w:rPr>
          <w:rFonts w:ascii="Calibri" w:hAnsi="Calibri" w:cs="Calibri"/>
          <w:noProof/>
          <w:szCs w:val="24"/>
        </w:rPr>
        <w:tab/>
        <w:t xml:space="preserve">Konrad Krawczyk, Sebastian Kelm, Aleksandr Kovaltsuk, Jacob D. Galson, Dominic Kelly, Johannes Trück, Cristian Regep, Jinwoo Leem, Wing Ki Wong, Jaroslaw Nowak, James Snowden, Michael Wright, Laura Starkie, Anthony Scott-Tucker, Jiye Shi CMD. Structurally Mapping Antibody Repertoires. Front Immunol. 2018; </w:t>
      </w:r>
    </w:p>
    <w:p w:rsidR="00335F82" w:rsidRPr="00335F82" w:rsidRDefault="00335F82" w:rsidP="00335F82">
      <w:pPr>
        <w:widowControl w:val="0"/>
        <w:autoSpaceDE w:val="0"/>
        <w:autoSpaceDN w:val="0"/>
        <w:adjustRightInd w:val="0"/>
        <w:spacing w:line="240" w:lineRule="auto"/>
        <w:ind w:left="640" w:hanging="640"/>
        <w:rPr>
          <w:rFonts w:ascii="Calibri" w:hAnsi="Calibri" w:cs="Calibri"/>
          <w:noProof/>
        </w:rPr>
      </w:pPr>
      <w:r w:rsidRPr="00335F82">
        <w:rPr>
          <w:rFonts w:ascii="Calibri" w:hAnsi="Calibri" w:cs="Calibri"/>
          <w:noProof/>
          <w:szCs w:val="24"/>
        </w:rPr>
        <w:t xml:space="preserve">6. </w:t>
      </w:r>
      <w:r w:rsidRPr="00335F82">
        <w:rPr>
          <w:rFonts w:ascii="Calibri" w:hAnsi="Calibri" w:cs="Calibri"/>
          <w:noProof/>
          <w:szCs w:val="24"/>
        </w:rPr>
        <w:tab/>
        <w:t xml:space="preserve">Nowak J, Baker T, Georges G, Kelm S, Klostermann S, Shi J, et al. Length-independent structural similarities enrich the antibody CDR canonical class model. MAbs. 2016;8(4):751–60. </w:t>
      </w:r>
    </w:p>
    <w:p w:rsidR="008821CF" w:rsidRDefault="00BF7BC7">
      <w:r>
        <w:fldChar w:fldCharType="end"/>
      </w:r>
    </w:p>
    <w:sectPr w:rsidR="00882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F1666"/>
    <w:multiLevelType w:val="hybridMultilevel"/>
    <w:tmpl w:val="0FE629CE"/>
    <w:lvl w:ilvl="0" w:tplc="73DE690C">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27"/>
    <w:rsid w:val="00003C11"/>
    <w:rsid w:val="000053E2"/>
    <w:rsid w:val="0000684C"/>
    <w:rsid w:val="000311FE"/>
    <w:rsid w:val="00093993"/>
    <w:rsid w:val="000B5F25"/>
    <w:rsid w:val="000D2EA6"/>
    <w:rsid w:val="000D722D"/>
    <w:rsid w:val="000E0A96"/>
    <w:rsid w:val="001006A9"/>
    <w:rsid w:val="001075BB"/>
    <w:rsid w:val="00133E26"/>
    <w:rsid w:val="00143E21"/>
    <w:rsid w:val="00161B38"/>
    <w:rsid w:val="0016227A"/>
    <w:rsid w:val="00182880"/>
    <w:rsid w:val="0019597A"/>
    <w:rsid w:val="001A20BA"/>
    <w:rsid w:val="001B7CB1"/>
    <w:rsid w:val="001D2228"/>
    <w:rsid w:val="001F6525"/>
    <w:rsid w:val="002164BE"/>
    <w:rsid w:val="0022679F"/>
    <w:rsid w:val="002D5C4A"/>
    <w:rsid w:val="002E3085"/>
    <w:rsid w:val="00303A81"/>
    <w:rsid w:val="00335F82"/>
    <w:rsid w:val="003424BF"/>
    <w:rsid w:val="003600C9"/>
    <w:rsid w:val="0037147F"/>
    <w:rsid w:val="003714A4"/>
    <w:rsid w:val="00372417"/>
    <w:rsid w:val="00374FDE"/>
    <w:rsid w:val="00383372"/>
    <w:rsid w:val="0039236B"/>
    <w:rsid w:val="003A184D"/>
    <w:rsid w:val="003A5AE3"/>
    <w:rsid w:val="003C07F1"/>
    <w:rsid w:val="003C195E"/>
    <w:rsid w:val="003E3080"/>
    <w:rsid w:val="003E3CAE"/>
    <w:rsid w:val="003E46BB"/>
    <w:rsid w:val="00406527"/>
    <w:rsid w:val="00423F9F"/>
    <w:rsid w:val="00434550"/>
    <w:rsid w:val="00453E92"/>
    <w:rsid w:val="004646BD"/>
    <w:rsid w:val="004A5634"/>
    <w:rsid w:val="00512700"/>
    <w:rsid w:val="005542E0"/>
    <w:rsid w:val="00556EE2"/>
    <w:rsid w:val="00560861"/>
    <w:rsid w:val="0056166E"/>
    <w:rsid w:val="00572E28"/>
    <w:rsid w:val="00577DCD"/>
    <w:rsid w:val="00582781"/>
    <w:rsid w:val="005A75AF"/>
    <w:rsid w:val="005B2133"/>
    <w:rsid w:val="005E1A70"/>
    <w:rsid w:val="005F201F"/>
    <w:rsid w:val="0062471C"/>
    <w:rsid w:val="00656A2B"/>
    <w:rsid w:val="00675F2A"/>
    <w:rsid w:val="00693EA4"/>
    <w:rsid w:val="006C1B66"/>
    <w:rsid w:val="006C64C0"/>
    <w:rsid w:val="006E0A97"/>
    <w:rsid w:val="006F0B6F"/>
    <w:rsid w:val="007057F7"/>
    <w:rsid w:val="00736F11"/>
    <w:rsid w:val="00756E22"/>
    <w:rsid w:val="007D4366"/>
    <w:rsid w:val="008139CB"/>
    <w:rsid w:val="00851085"/>
    <w:rsid w:val="00851962"/>
    <w:rsid w:val="008821CF"/>
    <w:rsid w:val="008B5D5D"/>
    <w:rsid w:val="008C16AC"/>
    <w:rsid w:val="009148D9"/>
    <w:rsid w:val="00915507"/>
    <w:rsid w:val="00933971"/>
    <w:rsid w:val="00937BAD"/>
    <w:rsid w:val="00983252"/>
    <w:rsid w:val="009F130B"/>
    <w:rsid w:val="009F450F"/>
    <w:rsid w:val="00A70937"/>
    <w:rsid w:val="00A7536E"/>
    <w:rsid w:val="00A94F79"/>
    <w:rsid w:val="00AA33D4"/>
    <w:rsid w:val="00AB1520"/>
    <w:rsid w:val="00AD3620"/>
    <w:rsid w:val="00B357D8"/>
    <w:rsid w:val="00B81FAF"/>
    <w:rsid w:val="00BC46C0"/>
    <w:rsid w:val="00BF5FF2"/>
    <w:rsid w:val="00BF7BC7"/>
    <w:rsid w:val="00C026D6"/>
    <w:rsid w:val="00C24432"/>
    <w:rsid w:val="00C84EDE"/>
    <w:rsid w:val="00C962BD"/>
    <w:rsid w:val="00CA10E9"/>
    <w:rsid w:val="00CA2584"/>
    <w:rsid w:val="00CB658D"/>
    <w:rsid w:val="00CC0784"/>
    <w:rsid w:val="00CD48AA"/>
    <w:rsid w:val="00CE1C08"/>
    <w:rsid w:val="00CE68A1"/>
    <w:rsid w:val="00D30B6C"/>
    <w:rsid w:val="00D55203"/>
    <w:rsid w:val="00D57A82"/>
    <w:rsid w:val="00D87A31"/>
    <w:rsid w:val="00D911E5"/>
    <w:rsid w:val="00DB219C"/>
    <w:rsid w:val="00DB2FA3"/>
    <w:rsid w:val="00DB4F3B"/>
    <w:rsid w:val="00DD1C41"/>
    <w:rsid w:val="00DD5EFC"/>
    <w:rsid w:val="00E4656E"/>
    <w:rsid w:val="00E92296"/>
    <w:rsid w:val="00E96512"/>
    <w:rsid w:val="00E96E90"/>
    <w:rsid w:val="00EB34A2"/>
    <w:rsid w:val="00ED63CE"/>
    <w:rsid w:val="00EE2DD6"/>
    <w:rsid w:val="00EF191E"/>
    <w:rsid w:val="00EF4F05"/>
    <w:rsid w:val="00F01003"/>
    <w:rsid w:val="00F14274"/>
    <w:rsid w:val="00F4300C"/>
    <w:rsid w:val="00F76DD2"/>
    <w:rsid w:val="00F80D9E"/>
    <w:rsid w:val="00FE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4872A-8A24-4A3B-92B8-FEAD29A0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BC7"/>
  </w:style>
  <w:style w:type="paragraph" w:styleId="Heading1">
    <w:name w:val="heading 1"/>
    <w:basedOn w:val="Normal"/>
    <w:next w:val="Normal"/>
    <w:link w:val="Heading1Char"/>
    <w:uiPriority w:val="9"/>
    <w:qFormat/>
    <w:rsid w:val="00BF7BC7"/>
    <w:pPr>
      <w:keepNext/>
      <w:keepLines/>
      <w:numPr>
        <w:numId w:val="1"/>
      </w:numPr>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BF7BC7"/>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BC7"/>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BF7BC7"/>
    <w:rPr>
      <w:rFonts w:eastAsiaTheme="majorEastAsia"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F7761-A5CD-4C77-97A4-B190E93F2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2870</Words>
  <Characters>16362</Characters>
  <Application>Microsoft Office Word</Application>
  <DocSecurity>0</DocSecurity>
  <Lines>136</Lines>
  <Paragraphs>38</Paragraphs>
  <ScaleCrop>false</ScaleCrop>
  <Company>diakov.net</Company>
  <LinksUpToDate>false</LinksUpToDate>
  <CharactersWithSpaces>19194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alex .</cp:lastModifiedBy>
  <cp:revision>5</cp:revision>
  <dcterms:created xsi:type="dcterms:W3CDTF">2019-06-06T21:30:00Z</dcterms:created>
  <dcterms:modified xsi:type="dcterms:W3CDTF">2019-10-02T22:39:00Z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http://www.zotero.org/styles/the-journal-of-immunology</vt:lpwstr>
  </property>
  <property fmtid="{D5CDD505-2E9C-101B-9397-08002B2CF9AE}" pid="19" name="Mendeley Recent Style Name 8_1">
    <vt:lpwstr>The Journal of Immunology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ba902af0-31a1-37d0-98b6-063216efc196</vt:lpwstr>
  </property>
  <property fmtid="{D5CDD505-2E9C-101B-9397-08002B2CF9AE}" pid="24" name="Mendeley Citation Style_1">
    <vt:lpwstr>http://www.zotero.org/styles/vancouver</vt:lpwstr>
  </property>
</Properties>
</file>