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7B" w:rsidRPr="002C4369" w:rsidRDefault="00F1737B" w:rsidP="00F1737B">
      <w:pPr>
        <w:pStyle w:val="berschrift1"/>
        <w:rPr>
          <w:b/>
          <w:color w:val="auto"/>
          <w:sz w:val="28"/>
          <w:szCs w:val="28"/>
        </w:rPr>
      </w:pPr>
      <w:r w:rsidRPr="002C4369">
        <w:rPr>
          <w:b/>
          <w:color w:val="auto"/>
          <w:sz w:val="28"/>
          <w:szCs w:val="28"/>
        </w:rPr>
        <w:t>S6</w:t>
      </w:r>
      <w:r w:rsidR="00F9020A">
        <w:rPr>
          <w:b/>
          <w:color w:val="auto"/>
          <w:sz w:val="28"/>
          <w:szCs w:val="28"/>
        </w:rPr>
        <w:t xml:space="preserve"> Appendix</w:t>
      </w:r>
      <w:r w:rsidRPr="002C4369">
        <w:rPr>
          <w:b/>
          <w:color w:val="auto"/>
          <w:sz w:val="28"/>
          <w:szCs w:val="28"/>
        </w:rPr>
        <w:t>. Properties of the modified Z-function</w:t>
      </w:r>
    </w:p>
    <w:p w:rsidR="00F1737B" w:rsidRPr="00D43639" w:rsidRDefault="00F1737B" w:rsidP="00F1737B">
      <w:pPr>
        <w:spacing w:after="0"/>
      </w:pPr>
      <w:r>
        <w:t>Z-</w:t>
      </w:r>
      <w:r w:rsidRPr="00D43639">
        <w:t xml:space="preserve"> </w:t>
      </w:r>
      <w:proofErr w:type="gramStart"/>
      <w:r w:rsidRPr="00D43639">
        <w:t>function</w:t>
      </w:r>
      <w:r>
        <w:t>s</w:t>
      </w:r>
      <w:proofErr w:type="gramEnd"/>
      <w:r>
        <w:t xml:space="preserve"> were designed</w:t>
      </w:r>
      <w:r w:rsidRPr="00D43639">
        <w:t xml:space="preserve"> </w:t>
      </w:r>
      <w:r>
        <w:t>to regulate a quantity between a minimum, a normal (steady state) and a maximum value in dependence on TPO. In the original form, it reads as follows:</w:t>
      </w:r>
    </w:p>
    <w:p w:rsidR="00F1737B" w:rsidRPr="00D43639" w:rsidRDefault="00F1737B" w:rsidP="00F1737B">
      <w:pPr>
        <w:spacing w:after="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nor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∙exp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-ln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nor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 xml:space="preserve">=  </m:t>
        </m:r>
      </m:oMath>
      <w:r w:rsidRPr="00D43639">
        <w:rPr>
          <w:rFonts w:eastAsiaTheme="minorEastAsia"/>
        </w:rPr>
        <w:t xml:space="preserve"> </w:t>
      </w:r>
    </w:p>
    <w:p w:rsidR="00F1737B" w:rsidRPr="00D43639" w:rsidRDefault="00F1737B" w:rsidP="00F1737B">
      <w:pPr>
        <w:spacing w:after="0"/>
      </w:pPr>
      <m:oMath>
        <m:r>
          <m:rPr>
            <m:sty m:val="p"/>
          </m:rP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sup>
            </m:sSup>
          </m:sup>
        </m:sSup>
      </m:oMath>
      <w:r w:rsidRPr="00D43639">
        <w:t xml:space="preserve">,                                                                         </w:t>
      </w:r>
      <w:r>
        <w:t xml:space="preserve">              </w:t>
      </w:r>
      <w:r w:rsidRPr="00D43639">
        <w:t xml:space="preserve">      (</w:t>
      </w:r>
      <w:r>
        <w:t>S.6.3</w:t>
      </w:r>
      <w:r w:rsidRPr="00D43639">
        <w:t>)</w:t>
      </w:r>
    </w:p>
    <w:p w:rsidR="00F1737B" w:rsidRPr="008F0127" w:rsidRDefault="00F1737B" w:rsidP="00F1737B">
      <w:pPr>
        <w:spacing w:after="0"/>
      </w:pPr>
      <w:proofErr w:type="gramStart"/>
      <w:r w:rsidRPr="00D43639">
        <w:t>where</w:t>
      </w:r>
      <w:proofErr w:type="gramEnd"/>
      <w:r w:rsidRPr="00D43639">
        <w:t xml:space="preserve"> X is </w:t>
      </w:r>
      <w:r>
        <w:t xml:space="preserve">the </w:t>
      </w:r>
      <w:r w:rsidRPr="00D43639">
        <w:t xml:space="preserve">relative TPO concentration. The parameter </w:t>
      </w:r>
      <w:proofErr w:type="spellStart"/>
      <w:r w:rsidRPr="00D43639">
        <w:t>b</w:t>
      </w:r>
      <w:r w:rsidRPr="00D43639">
        <w:rPr>
          <w:vertAlign w:val="subscript"/>
        </w:rPr>
        <w:t>Y</w:t>
      </w:r>
      <w:proofErr w:type="spellEnd"/>
      <w:r w:rsidRPr="00D43639">
        <w:t xml:space="preserve"> defines the steepness of the Z-function </w:t>
      </w:r>
      <w:r w:rsidRPr="008F0127">
        <w:t>and is therefore called sensitivity parameter. This function is however numerically instable for high values of the sensitiv</w:t>
      </w:r>
      <w:r>
        <w:t>ity</w:t>
      </w:r>
      <w:r w:rsidRPr="008F0127">
        <w:t xml:space="preserve"> parameter, which can occur in cases of strong feedbacks. We stabilize </w:t>
      </w:r>
      <w:r>
        <w:t xml:space="preserve">our </w:t>
      </w:r>
      <w:r w:rsidRPr="008F0127">
        <w:t>Z-function</w:t>
      </w:r>
      <w:r>
        <w:t>s in the present paper</w:t>
      </w:r>
      <w:r w:rsidRPr="008F0127">
        <w:t xml:space="preserve"> </w:t>
      </w:r>
      <w:r>
        <w:rPr>
          <w:rFonts w:eastAsiaTheme="minorEastAsia"/>
        </w:rPr>
        <w:t xml:space="preserve">using a limiting parameter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Lim</m:t>
            </m:r>
          </m:e>
          <m:sub>
            <m:r>
              <w:rPr>
                <w:rFonts w:ascii="Cambria Math" w:hAnsi="Cambria Math"/>
              </w:rPr>
              <m:t>sig</m:t>
            </m:r>
          </m:sub>
        </m:sSub>
      </m:oMath>
      <w:r>
        <w:rPr>
          <w:rFonts w:eastAsiaTheme="minorEastAsia"/>
        </w:rPr>
        <w:t xml:space="preserve"> of the steepness of the function</w:t>
      </w:r>
      <w:r>
        <w:t>. In detail:</w:t>
      </w:r>
    </w:p>
    <w:p w:rsidR="00F1737B" w:rsidRPr="008F0127" w:rsidRDefault="00F1737B" w:rsidP="00F1737B">
      <w:pPr>
        <w:spacing w:after="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nor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Lim</m:t>
                </m:r>
              </m:e>
              <m:sub>
                <m:r>
                  <w:rPr>
                    <w:rFonts w:ascii="Cambria Math" w:hAnsi="Cambria Math"/>
                  </w:rPr>
                  <m:t>sig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  <w:r w:rsidRPr="008F0127">
        <w:rPr>
          <w:rFonts w:eastAsiaTheme="minorEastAsia"/>
        </w:rPr>
        <w:t xml:space="preserve"> </w:t>
      </w:r>
    </w:p>
    <w:p w:rsidR="00F1737B" w:rsidRPr="008F0127" w:rsidRDefault="00BE6004" w:rsidP="00F1737B">
      <w:p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∙exp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-ln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nor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Trans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tanh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Lim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sig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</w:rPr>
          <m:t xml:space="preserve">=   </m:t>
        </m:r>
      </m:oMath>
      <w:r w:rsidR="00F1737B" w:rsidRPr="008F0127">
        <w:rPr>
          <w:rFonts w:eastAsiaTheme="minorEastAsia"/>
        </w:rPr>
        <w:t xml:space="preserve"> </w:t>
      </w:r>
    </w:p>
    <w:p w:rsidR="00F1737B" w:rsidRPr="008F0127" w:rsidRDefault="00F1737B" w:rsidP="00F1737B">
      <w:pPr>
        <w:spacing w:after="0"/>
      </w:pP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den>
                </m:f>
              </m:e>
            </m:d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Trans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tanh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Lim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sig</m:t>
                    </m:r>
                  </m:sub>
                </m:sSub>
              </m:e>
            </m:d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01557">
        <w:t xml:space="preserve"> </w:t>
      </w:r>
      <w:r w:rsidRPr="008F0127">
        <w:t xml:space="preserve">                                                                (</w:t>
      </w:r>
      <w:r>
        <w:t>S.6.4</w:t>
      </w:r>
      <w:r w:rsidRPr="008F0127">
        <w:t>)</w:t>
      </w:r>
    </w:p>
    <w:p w:rsidR="00F1737B" w:rsidRPr="008F0127" w:rsidRDefault="00F1737B" w:rsidP="00F1737B">
      <w:pPr>
        <w:spacing w:after="0"/>
      </w:pPr>
    </w:p>
    <w:p w:rsidR="00F1737B" w:rsidRPr="008F0127" w:rsidRDefault="00BE6004" w:rsidP="00F1737B">
      <w:pPr>
        <w:spacing w:after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Trans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tanh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Lim</m:t>
                </m:r>
              </m:e>
              <m:sub>
                <m:r>
                  <w:rPr>
                    <w:rFonts w:ascii="Cambria Math" w:hAnsi="Cambria Math"/>
                  </w:rPr>
                  <m:t>sig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=exp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Lim</m:t>
                </m:r>
              </m:e>
              <m:sub>
                <m:r>
                  <w:rPr>
                    <w:rFonts w:ascii="Cambria Math" w:hAnsi="Cambria Math"/>
                  </w:rPr>
                  <m:t>sig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∙tanh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sub>
                            </m:sSub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sig</m:t>
                        </m:r>
                      </m:sub>
                    </m:sSub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</w:rPr>
          <m:t>=exp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Lim</m:t>
                </m:r>
              </m:e>
              <m:sub>
                <m:r>
                  <w:rPr>
                    <w:rFonts w:ascii="Cambria Math" w:hAnsi="Cambria Math"/>
                  </w:rPr>
                  <m:t>sig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∙tanh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∙ln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sig</m:t>
                        </m:r>
                      </m:sub>
                    </m:sSub>
                  </m:den>
                </m:f>
              </m:e>
            </m:d>
          </m:e>
        </m:d>
      </m:oMath>
      <w:r w:rsidR="00001557">
        <w:t>.</w:t>
      </w:r>
      <w:r w:rsidR="00F1737B" w:rsidRPr="008F0127">
        <w:t xml:space="preserve"> </w:t>
      </w:r>
      <w:r w:rsidR="00F1737B">
        <w:t xml:space="preserve">    </w:t>
      </w:r>
      <w:r w:rsidR="00F1737B" w:rsidRPr="008F0127">
        <w:t xml:space="preserve"> (</w:t>
      </w:r>
      <w:r w:rsidR="00F1737B">
        <w:t>S.6.5</w:t>
      </w:r>
      <w:r w:rsidR="00F1737B" w:rsidRPr="008F0127">
        <w:t xml:space="preserve">)                                   </w:t>
      </w:r>
    </w:p>
    <w:p w:rsidR="00F1737B" w:rsidRPr="008F0127" w:rsidRDefault="00F1737B" w:rsidP="00F1737B">
      <w:pPr>
        <w:pStyle w:val="KeinLeerraum"/>
        <w:rPr>
          <w:lang w:val="en-US"/>
        </w:rPr>
      </w:pPr>
    </w:p>
    <w:p w:rsidR="00F1737B" w:rsidRPr="008F0127" w:rsidRDefault="00F1737B" w:rsidP="00F1737B">
      <w:pPr>
        <w:pStyle w:val="KeinLeerraum"/>
        <w:rPr>
          <w:lang w:val="en-US"/>
        </w:rPr>
      </w:pPr>
      <w:r w:rsidRPr="008F0127">
        <w:rPr>
          <w:lang w:val="en-US"/>
        </w:rPr>
        <w:t>The hyperbolic</w:t>
      </w:r>
      <w:r>
        <w:rPr>
          <w:lang w:val="en-US"/>
        </w:rPr>
        <w:t xml:space="preserve"> tangent</w:t>
      </w:r>
      <w:r w:rsidRPr="008F0127">
        <w:rPr>
          <w:lang w:val="en-US"/>
        </w:rPr>
        <w:t xml:space="preserve"> transform</w:t>
      </w:r>
      <w:r>
        <w:rPr>
          <w:lang w:val="en-US"/>
        </w:rPr>
        <w:t>ation</w:t>
      </w:r>
      <w:r w:rsidRPr="008F0127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Photina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PhotinaMT"/>
                <w:lang w:val="en-US"/>
              </w:rPr>
              <m:t>Trans</m:t>
            </m:r>
          </m:e>
          <m:sub>
            <m:r>
              <m:rPr>
                <m:sty m:val="p"/>
              </m:rPr>
              <w:rPr>
                <w:rFonts w:ascii="Cambria Math" w:hAnsi="Cambria Math" w:cs="PhotinaMT"/>
                <w:lang w:val="en-US"/>
              </w:rPr>
              <m:t>tanh</m:t>
            </m:r>
          </m:sub>
        </m:sSub>
      </m:oMath>
      <w:r w:rsidRPr="008F0127">
        <w:rPr>
          <w:rFonts w:eastAsiaTheme="minorEastAsia"/>
          <w:lang w:val="en-US"/>
        </w:rPr>
        <w:t xml:space="preserve"> </w:t>
      </w:r>
      <w:r w:rsidRPr="008F0127">
        <w:rPr>
          <w:lang w:val="en-US"/>
        </w:rPr>
        <w:t xml:space="preserve">of </w:t>
      </w:r>
      <w:proofErr w:type="spellStart"/>
      <w:r w:rsidRPr="002015EB">
        <w:rPr>
          <w:i/>
          <w:lang w:val="en-US"/>
        </w:rPr>
        <w:t>X</w:t>
      </w:r>
      <w:r w:rsidRPr="002015EB">
        <w:rPr>
          <w:i/>
          <w:vertAlign w:val="superscript"/>
          <w:lang w:val="en-US"/>
        </w:rPr>
        <w:t>by</w:t>
      </w:r>
      <w:proofErr w:type="spellEnd"/>
      <w:r w:rsidRPr="008F0127">
        <w:rPr>
          <w:lang w:val="en-US"/>
        </w:rPr>
        <w:t xml:space="preserve"> is a</w:t>
      </w:r>
      <w:r>
        <w:rPr>
          <w:lang w:val="en-US"/>
        </w:rPr>
        <w:t>n approximation of</w:t>
      </w:r>
      <w:r w:rsidRPr="008F0127">
        <w:rPr>
          <w:lang w:val="en-US"/>
        </w:rPr>
        <w:t xml:space="preserve"> </w:t>
      </w:r>
      <w:proofErr w:type="spellStart"/>
      <w:r w:rsidRPr="002015EB">
        <w:rPr>
          <w:i/>
          <w:lang w:val="en-US"/>
        </w:rPr>
        <w:t>X</w:t>
      </w:r>
      <w:r w:rsidRPr="002015EB">
        <w:rPr>
          <w:i/>
          <w:vertAlign w:val="superscript"/>
          <w:lang w:val="en-US"/>
        </w:rPr>
        <w:t>by</w:t>
      </w:r>
      <w:proofErr w:type="spellEnd"/>
      <w:r w:rsidRPr="008F0127">
        <w:rPr>
          <w:lang w:val="en-US"/>
        </w:rPr>
        <w:t xml:space="preserve"> </w:t>
      </w:r>
      <w:r>
        <w:rPr>
          <w:lang w:val="en-US"/>
        </w:rPr>
        <w:t xml:space="preserve">for small parameters </w:t>
      </w:r>
      <w:proofErr w:type="spellStart"/>
      <w:r w:rsidRPr="002015EB">
        <w:rPr>
          <w:i/>
          <w:lang w:val="en-US"/>
        </w:rPr>
        <w:t>b</w:t>
      </w:r>
      <w:r w:rsidRPr="002015EB">
        <w:rPr>
          <w:i/>
          <w:vertAlign w:val="subscript"/>
          <w:lang w:val="en-US"/>
        </w:rPr>
        <w:t>Y</w:t>
      </w:r>
      <w:proofErr w:type="spellEnd"/>
      <w:r>
        <w:rPr>
          <w:lang w:val="en-US"/>
        </w:rPr>
        <w:t xml:space="preserve"> and values of X close to 1 (see S.6.6), but is limited by </w:t>
      </w:r>
      <w:proofErr w:type="spellStart"/>
      <w:proofErr w:type="gramStart"/>
      <w:r>
        <w:rPr>
          <w:lang w:val="en-US"/>
        </w:rPr>
        <w:t>exp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i/>
          <w:lang w:val="en-US"/>
        </w:rPr>
        <w:t>L</w:t>
      </w:r>
      <w:r w:rsidRPr="00E33FCA">
        <w:rPr>
          <w:i/>
          <w:lang w:val="en-US"/>
        </w:rPr>
        <w:t>im</w:t>
      </w:r>
      <w:r w:rsidRPr="00E33FCA">
        <w:rPr>
          <w:i/>
          <w:vertAlign w:val="subscript"/>
          <w:lang w:val="en-US"/>
        </w:rPr>
        <w:t>sig</w:t>
      </w:r>
      <w:proofErr w:type="spellEnd"/>
      <w:r>
        <w:rPr>
          <w:lang w:val="en-US"/>
        </w:rPr>
        <w:t>) for large values of X</w:t>
      </w:r>
      <w:r w:rsidRPr="008F0127">
        <w:rPr>
          <w:lang w:val="en-US"/>
        </w:rPr>
        <w:t xml:space="preserve">. </w:t>
      </w:r>
      <w:r>
        <w:rPr>
          <w:lang w:val="en-US"/>
        </w:rPr>
        <w:t xml:space="preserve">Since the </w:t>
      </w:r>
      <w:r w:rsidRPr="002F5A4C">
        <w:rPr>
          <w:rFonts w:eastAsiaTheme="minorEastAsia"/>
          <w:lang w:val="en-US"/>
        </w:rPr>
        <w:t xml:space="preserve">parameter </w:t>
      </w:r>
      <m:oMath>
        <m:sSub>
          <m:sSubPr>
            <m:ctrlPr>
              <w:rPr>
                <w:rFonts w:ascii="Cambria Math" w:hAnsi="Cambria Math" w:cs="PhotinaMT"/>
                <w:i/>
              </w:rPr>
            </m:ctrlPr>
          </m:sSubPr>
          <m:e>
            <m:r>
              <w:rPr>
                <w:rFonts w:ascii="Cambria Math" w:hAnsi="Cambria Math" w:cs="PhotinaMT"/>
              </w:rPr>
              <m:t>Lim</m:t>
            </m:r>
          </m:e>
          <m:sub>
            <m:r>
              <w:rPr>
                <w:rFonts w:ascii="Cambria Math" w:hAnsi="Cambria Math" w:cs="PhotinaMT"/>
              </w:rPr>
              <m:t>sig</m:t>
            </m:r>
          </m:sub>
        </m:sSub>
      </m:oMath>
      <w:r w:rsidRPr="00D43639">
        <w:rPr>
          <w:lang w:val="en-US"/>
        </w:rPr>
        <w:t xml:space="preserve"> was poor</w:t>
      </w:r>
      <w:r>
        <w:rPr>
          <w:lang w:val="en-US"/>
        </w:rPr>
        <w:t>ly</w:t>
      </w:r>
      <w:r w:rsidRPr="00D43639">
        <w:rPr>
          <w:lang w:val="en-US"/>
        </w:rPr>
        <w:t xml:space="preserve"> identifiable</w:t>
      </w:r>
      <w:r>
        <w:rPr>
          <w:lang w:val="en-US"/>
        </w:rPr>
        <w:t xml:space="preserve">, </w:t>
      </w:r>
      <w:r w:rsidRPr="00D43639">
        <w:rPr>
          <w:lang w:val="en-US"/>
        </w:rPr>
        <w:t xml:space="preserve">we fixed it to 7.  </w:t>
      </w:r>
    </w:p>
    <w:p w:rsidR="00F1737B" w:rsidRDefault="00BE6004" w:rsidP="00F1737B">
      <w:pPr>
        <w:pStyle w:val="KeinLeerraum"/>
        <w:rPr>
          <w:rFonts w:eastAsiaTheme="minorEastAsia"/>
          <w:lang w:val="en-US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lang w:val="en-US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d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Trans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tanh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Y,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sig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dY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=                                                      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sig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∙exp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sig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∙tanh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Lim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sig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sig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∙Y∙cosh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ln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Y</m:t>
                                        </m:r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Lim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sig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</m:e>
                </m:mr>
              </m:m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exp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Lim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sig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∙tanh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Lim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sig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  <m:r>
                <w:rPr>
                  <w:rFonts w:ascii="Cambria Math" w:hAnsi="Cambria Math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Y∙cosh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ln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Y</m:t>
                                  </m:r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Lim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sig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 xml:space="preserve">                                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Trans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tanh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Y,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Lim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sig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dY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Y=1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=1                                                                     </m:t>
              </m:r>
            </m:e>
          </m:mr>
        </m:m>
        <m:r>
          <w:rPr>
            <w:rFonts w:ascii="Cambria Math" w:hAnsi="Cambria Math"/>
            <w:lang w:val="en-US"/>
          </w:rPr>
          <m:t xml:space="preserve"> </m:t>
        </m:r>
      </m:oMath>
      <w:r w:rsidR="00001557">
        <w:rPr>
          <w:rFonts w:eastAsiaTheme="minorEastAsia"/>
          <w:lang w:val="en-US"/>
        </w:rPr>
        <w:t>.</w:t>
      </w:r>
      <w:r w:rsidR="00F1737B" w:rsidRPr="00D43A02" w:rsidDel="002226D1">
        <w:rPr>
          <w:rFonts w:eastAsiaTheme="minorEastAsia"/>
          <w:lang w:val="en-US"/>
        </w:rPr>
        <w:t xml:space="preserve"> </w:t>
      </w:r>
      <w:r w:rsidR="00F1737B">
        <w:rPr>
          <w:rFonts w:eastAsiaTheme="minorEastAsia"/>
          <w:lang w:val="en-US"/>
        </w:rPr>
        <w:t xml:space="preserve">                                                  (S.6.6)</w:t>
      </w:r>
    </w:p>
    <w:p w:rsidR="00F1737B" w:rsidRDefault="00F1737B" w:rsidP="00F1737B">
      <w:pPr>
        <w:pStyle w:val="KeinLeerraum"/>
        <w:rPr>
          <w:lang w:val="en-US"/>
        </w:rPr>
      </w:pPr>
      <w:r>
        <w:rPr>
          <w:rFonts w:eastAsiaTheme="minorEastAsia"/>
          <w:lang w:val="en-US"/>
        </w:rPr>
        <w:t xml:space="preserve">Fig 1 shows comparisons of original and modified Z-function for three settings of the sensitivity parameter </w:t>
      </w:r>
      <w:proofErr w:type="spellStart"/>
      <w:r w:rsidRPr="0010701A">
        <w:rPr>
          <w:rFonts w:eastAsiaTheme="minorEastAsia"/>
          <w:i/>
          <w:lang w:val="en-US"/>
        </w:rPr>
        <w:t>b</w:t>
      </w:r>
      <w:r w:rsidRPr="0010701A">
        <w:rPr>
          <w:rFonts w:eastAsiaTheme="minorEastAsia"/>
          <w:i/>
          <w:vertAlign w:val="subscript"/>
          <w:lang w:val="en-US"/>
        </w:rPr>
        <w:t>Y</w:t>
      </w:r>
      <w:proofErr w:type="spellEnd"/>
      <w:r>
        <w:rPr>
          <w:rFonts w:eastAsiaTheme="minorEastAsia"/>
          <w:lang w:val="en-US"/>
        </w:rPr>
        <w:t xml:space="preserve">. Parameters </w:t>
      </w:r>
      <w:proofErr w:type="spellStart"/>
      <w:r w:rsidRPr="007D2FFA">
        <w:rPr>
          <w:rFonts w:eastAsiaTheme="minorEastAsia"/>
          <w:i/>
          <w:lang w:val="en-US"/>
        </w:rPr>
        <w:t>y</w:t>
      </w:r>
      <w:r w:rsidRPr="007D2FFA">
        <w:rPr>
          <w:rFonts w:eastAsiaTheme="minorEastAsia"/>
          <w:i/>
          <w:vertAlign w:val="subscript"/>
          <w:lang w:val="en-US"/>
        </w:rPr>
        <w:t>min</w:t>
      </w:r>
      <w:proofErr w:type="spellEnd"/>
      <w:r w:rsidRPr="007D2FFA">
        <w:rPr>
          <w:rFonts w:eastAsiaTheme="minorEastAsia"/>
          <w:i/>
          <w:lang w:val="en-US"/>
        </w:rPr>
        <w:t xml:space="preserve">, </w:t>
      </w:r>
      <w:proofErr w:type="spellStart"/>
      <w:r w:rsidRPr="007D2FFA">
        <w:rPr>
          <w:rFonts w:eastAsiaTheme="minorEastAsia"/>
          <w:i/>
          <w:lang w:val="en-US"/>
        </w:rPr>
        <w:t>y</w:t>
      </w:r>
      <w:r w:rsidRPr="007D2FFA">
        <w:rPr>
          <w:rFonts w:eastAsiaTheme="minorEastAsia"/>
          <w:i/>
          <w:vertAlign w:val="subscript"/>
          <w:lang w:val="en-US"/>
        </w:rPr>
        <w:t>nor</w:t>
      </w:r>
      <w:proofErr w:type="spellEnd"/>
      <w:r>
        <w:rPr>
          <w:rFonts w:eastAsiaTheme="minorEastAsia"/>
          <w:lang w:val="en-US"/>
        </w:rPr>
        <w:t xml:space="preserve"> and </w:t>
      </w:r>
      <w:proofErr w:type="spellStart"/>
      <w:r w:rsidRPr="007D2FFA">
        <w:rPr>
          <w:rFonts w:eastAsiaTheme="minorEastAsia"/>
          <w:i/>
          <w:lang w:val="en-US"/>
        </w:rPr>
        <w:t>y</w:t>
      </w:r>
      <w:r w:rsidRPr="007D2FFA">
        <w:rPr>
          <w:rFonts w:eastAsiaTheme="minorEastAsia"/>
          <w:i/>
          <w:vertAlign w:val="subscript"/>
          <w:lang w:val="en-US"/>
        </w:rPr>
        <w:t>max</w:t>
      </w:r>
      <w:proofErr w:type="spellEnd"/>
      <w:r>
        <w:rPr>
          <w:rFonts w:eastAsiaTheme="minorEastAsia"/>
          <w:lang w:val="en-US"/>
        </w:rPr>
        <w:t xml:space="preserve"> are set to 0, 1, </w:t>
      </w:r>
      <w:proofErr w:type="gramStart"/>
      <w:r>
        <w:rPr>
          <w:rFonts w:eastAsiaTheme="minorEastAsia"/>
          <w:lang w:val="en-US"/>
        </w:rPr>
        <w:t>10</w:t>
      </w:r>
      <w:proofErr w:type="gramEnd"/>
      <w:r>
        <w:rPr>
          <w:rFonts w:eastAsiaTheme="minorEastAsia"/>
          <w:lang w:val="en-US"/>
        </w:rPr>
        <w:t xml:space="preserve">, respectively. A difference between former and novel Z-function can only be detected for large values of the regulation function. </w:t>
      </w:r>
      <w:r w:rsidRPr="00D43639">
        <w:rPr>
          <w:lang w:val="en-US"/>
        </w:rPr>
        <w:t>Modified Z-function</w:t>
      </w:r>
      <w:r>
        <w:rPr>
          <w:lang w:val="en-US"/>
        </w:rPr>
        <w:t>s</w:t>
      </w:r>
      <w:r w:rsidRPr="00D43639">
        <w:rPr>
          <w:lang w:val="en-US"/>
        </w:rPr>
        <w:t xml:space="preserve"> with </w:t>
      </w:r>
      <w:r>
        <w:rPr>
          <w:lang w:val="en-US"/>
        </w:rPr>
        <w:t xml:space="preserve">very </w:t>
      </w:r>
      <w:r w:rsidRPr="00D43639">
        <w:rPr>
          <w:lang w:val="en-US"/>
        </w:rPr>
        <w:t>high b</w:t>
      </w:r>
      <w:r w:rsidRPr="00D43639">
        <w:rPr>
          <w:vertAlign w:val="subscript"/>
          <w:lang w:val="en-US"/>
        </w:rPr>
        <w:t>y</w:t>
      </w:r>
      <w:r w:rsidRPr="00D43639">
        <w:rPr>
          <w:lang w:val="en-US"/>
        </w:rPr>
        <w:t xml:space="preserve"> can be </w:t>
      </w:r>
      <w:r>
        <w:rPr>
          <w:lang w:val="en-US"/>
        </w:rPr>
        <w:t xml:space="preserve">considered as smoothed step functions in a </w:t>
      </w:r>
      <w:r w:rsidRPr="00D43639">
        <w:rPr>
          <w:lang w:val="en-US"/>
        </w:rPr>
        <w:t xml:space="preserve">neighborhood of </w:t>
      </w:r>
      <w:r>
        <w:rPr>
          <w:lang w:val="en-US"/>
        </w:rPr>
        <w:t xml:space="preserve">the </w:t>
      </w:r>
      <w:r w:rsidRPr="00D43639">
        <w:rPr>
          <w:lang w:val="en-US"/>
        </w:rPr>
        <w:t>steady</w:t>
      </w:r>
      <w:r>
        <w:rPr>
          <w:lang w:val="en-US"/>
        </w:rPr>
        <w:t xml:space="preserve"> </w:t>
      </w:r>
      <w:r w:rsidRPr="00D43639">
        <w:rPr>
          <w:lang w:val="en-US"/>
        </w:rPr>
        <w:t>state</w:t>
      </w:r>
      <w:r>
        <w:rPr>
          <w:lang w:val="en-US"/>
        </w:rPr>
        <w:t xml:space="preserve"> of TPO</w:t>
      </w:r>
      <w:r w:rsidRPr="00D43639">
        <w:rPr>
          <w:lang w:val="en-US"/>
        </w:rPr>
        <w:t xml:space="preserve">. </w:t>
      </w:r>
    </w:p>
    <w:p w:rsidR="00F1737B" w:rsidRDefault="00F1737B" w:rsidP="00F1737B">
      <w:pPr>
        <w:pStyle w:val="KeinLeerraum"/>
        <w:rPr>
          <w:lang w:val="en-US"/>
        </w:rPr>
      </w:pPr>
    </w:p>
    <w:p w:rsidR="00F1737B" w:rsidRDefault="00F1737B" w:rsidP="00F1737B">
      <w:pPr>
        <w:pStyle w:val="KeinLeerraum"/>
        <w:rPr>
          <w:lang w:val="en-US"/>
        </w:rPr>
      </w:pPr>
      <w:r>
        <w:rPr>
          <w:lang w:val="en-US"/>
        </w:rPr>
        <w:t xml:space="preserve">As can be seen from the formula (S.6.4), the modified Z-function has a smaller range compared to the original Z-function. However, due to our setting of the parameter </w:t>
      </w:r>
      <w:proofErr w:type="spellStart"/>
      <w:r>
        <w:rPr>
          <w:i/>
          <w:lang w:val="en-US"/>
        </w:rPr>
        <w:t>L</w:t>
      </w:r>
      <w:r w:rsidRPr="002015EB">
        <w:rPr>
          <w:i/>
          <w:lang w:val="en-US"/>
        </w:rPr>
        <w:t>im</w:t>
      </w:r>
      <w:r w:rsidRPr="002015EB">
        <w:rPr>
          <w:i/>
          <w:vertAlign w:val="subscript"/>
          <w:lang w:val="en-US"/>
        </w:rPr>
        <w:t>sig</w:t>
      </w:r>
      <w:proofErr w:type="spellEnd"/>
      <w:r>
        <w:rPr>
          <w:lang w:val="en-US"/>
        </w:rPr>
        <w:t xml:space="preserve">, the difference is without practical relevance. </w:t>
      </w:r>
    </w:p>
    <w:p w:rsidR="00F1737B" w:rsidRDefault="00F1737B" w:rsidP="00F1737B">
      <w:pPr>
        <w:pStyle w:val="KeinLeerraum"/>
        <w:rPr>
          <w:lang w:val="en-US"/>
        </w:rPr>
      </w:pPr>
    </w:p>
    <w:p w:rsidR="00F1737B" w:rsidRDefault="00BE6004" w:rsidP="00F1737B">
      <w:pPr>
        <w:rPr>
          <w:rFonts w:eastAsiaTheme="minorEastAsia"/>
        </w:rPr>
      </w:pPr>
      <w:r>
        <w:t xml:space="preserve">Fig </w:t>
      </w:r>
      <w:bookmarkStart w:id="0" w:name="_GoBack"/>
      <w:bookmarkEnd w:id="0"/>
      <w:r w:rsidR="00F1737B">
        <w:t>1: C</w:t>
      </w:r>
      <w:r w:rsidR="00F1737B" w:rsidRPr="00D06395">
        <w:t xml:space="preserve">omparison of original and modified Z-function. </w:t>
      </w:r>
      <w:r w:rsidR="00F1737B">
        <w:t xml:space="preserve">Relative TPO is between 0 and 5. Sensitivity parameter b takes values 1, 3 and 6, respectively. </w:t>
      </w:r>
      <w:proofErr w:type="spellStart"/>
      <w:proofErr w:type="gramStart"/>
      <w:r w:rsidR="00F1737B" w:rsidRPr="007D2FFA">
        <w:rPr>
          <w:rFonts w:eastAsiaTheme="minorEastAsia"/>
          <w:i/>
        </w:rPr>
        <w:t>y</w:t>
      </w:r>
      <w:r w:rsidR="00F1737B" w:rsidRPr="007D2FFA">
        <w:rPr>
          <w:rFonts w:eastAsiaTheme="minorEastAsia"/>
          <w:i/>
          <w:vertAlign w:val="subscript"/>
        </w:rPr>
        <w:t>min</w:t>
      </w:r>
      <w:proofErr w:type="spellEnd"/>
      <w:proofErr w:type="gramEnd"/>
      <w:r w:rsidR="00F1737B" w:rsidRPr="007D2FFA">
        <w:rPr>
          <w:rFonts w:eastAsiaTheme="minorEastAsia"/>
          <w:i/>
        </w:rPr>
        <w:t xml:space="preserve">, </w:t>
      </w:r>
      <w:proofErr w:type="spellStart"/>
      <w:r w:rsidR="00F1737B" w:rsidRPr="007D2FFA">
        <w:rPr>
          <w:rFonts w:eastAsiaTheme="minorEastAsia"/>
          <w:i/>
        </w:rPr>
        <w:t>y</w:t>
      </w:r>
      <w:r w:rsidR="00F1737B" w:rsidRPr="007D2FFA">
        <w:rPr>
          <w:rFonts w:eastAsiaTheme="minorEastAsia"/>
          <w:i/>
          <w:vertAlign w:val="subscript"/>
        </w:rPr>
        <w:t>nor</w:t>
      </w:r>
      <w:proofErr w:type="spellEnd"/>
      <w:r w:rsidR="00F1737B">
        <w:rPr>
          <w:rFonts w:eastAsiaTheme="minorEastAsia"/>
        </w:rPr>
        <w:t xml:space="preserve"> and </w:t>
      </w:r>
      <w:proofErr w:type="spellStart"/>
      <w:r w:rsidR="00F1737B" w:rsidRPr="007D2FFA">
        <w:rPr>
          <w:rFonts w:eastAsiaTheme="minorEastAsia"/>
          <w:i/>
        </w:rPr>
        <w:t>y</w:t>
      </w:r>
      <w:r w:rsidR="00F1737B" w:rsidRPr="007D2FFA">
        <w:rPr>
          <w:rFonts w:eastAsiaTheme="minorEastAsia"/>
          <w:i/>
          <w:vertAlign w:val="subscript"/>
        </w:rPr>
        <w:t>max</w:t>
      </w:r>
      <w:proofErr w:type="spellEnd"/>
      <w:r w:rsidR="00F1737B">
        <w:rPr>
          <w:rFonts w:eastAsiaTheme="minorEastAsia"/>
        </w:rPr>
        <w:t xml:space="preserve"> are set to 0, 1, 10, respectively. The functions start to be different near the upper limit of their range. </w:t>
      </w:r>
    </w:p>
    <w:p w:rsidR="00F1737B" w:rsidRDefault="00F1737B" w:rsidP="00F1737B">
      <w:pPr>
        <w:pStyle w:val="KeinLeerraum"/>
        <w:rPr>
          <w:rFonts w:eastAsiaTheme="minorEastAsia"/>
          <w:sz w:val="20"/>
          <w:szCs w:val="20"/>
          <w:lang w:val="en-US"/>
        </w:rPr>
      </w:pPr>
    </w:p>
    <w:p w:rsidR="00F1737B" w:rsidRDefault="00F1737B" w:rsidP="00F1737B">
      <w:pPr>
        <w:pStyle w:val="KeinLeerraum"/>
        <w:rPr>
          <w:lang w:val="en-US"/>
        </w:rPr>
      </w:pPr>
      <w:r w:rsidRPr="00760015">
        <w:rPr>
          <w:noProof/>
          <w:lang w:eastAsia="de-DE"/>
        </w:rPr>
        <w:lastRenderedPageBreak/>
        <w:drawing>
          <wp:inline distT="0" distB="0" distL="0" distR="0" wp14:anchorId="15AF7DE1" wp14:editId="087CDF02">
            <wp:extent cx="4346812" cy="3263463"/>
            <wp:effectExtent l="0" t="0" r="0" b="0"/>
            <wp:docPr id="4" name="Inhaltsplatzhalt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8474" cy="327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47" w:rsidRDefault="00AA1647"/>
    <w:sectPr w:rsidR="00AA1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hotin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7B"/>
    <w:rsid w:val="00001557"/>
    <w:rsid w:val="00216B41"/>
    <w:rsid w:val="00AA1647"/>
    <w:rsid w:val="00BE6004"/>
    <w:rsid w:val="00F1737B"/>
    <w:rsid w:val="00F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5643"/>
  <w15:docId w15:val="{BEBAA9F3-9205-4469-A20B-7258F506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37B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7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6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6B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6B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6B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6B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6B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6B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6B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73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KeinLeerraum">
    <w:name w:val="No Spacing"/>
    <w:uiPriority w:val="1"/>
    <w:qFormat/>
    <w:rsid w:val="00F1737B"/>
    <w:pPr>
      <w:spacing w:after="0" w:line="240" w:lineRule="auto"/>
    </w:pPr>
  </w:style>
  <w:style w:type="paragraph" w:customStyle="1" w:styleId="CitaviBibliographyEntry">
    <w:name w:val="Citavi Bibliography Entry"/>
    <w:basedOn w:val="Standard"/>
    <w:link w:val="CitaviBibliographyEntryZchn"/>
    <w:rsid w:val="00216B41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216B41"/>
    <w:rPr>
      <w:lang w:val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216B41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216B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216B41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216B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6B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216B41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216B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6B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216B41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216B4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6B4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216B41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216B41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6B41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216B41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216B41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6B41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216B41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216B4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6B4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216B41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216B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6B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216B41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21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2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Verbund IMISE/ZKS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Kheifetz</dc:creator>
  <cp:keywords/>
  <dc:description/>
  <cp:lastModifiedBy>Yuri Kheifetz</cp:lastModifiedBy>
  <cp:revision>4</cp:revision>
  <dcterms:created xsi:type="dcterms:W3CDTF">2019-02-05T13:55:00Z</dcterms:created>
  <dcterms:modified xsi:type="dcterms:W3CDTF">2019-03-04T13:37:00Z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C:\Users\ykheifetz.IMISE.001\Documents\Citavi 6\Projects\Thrombopoiesis Yuri\Thrombopoiesis Yuri.ctv6</vt:lpwstr>
  </property>
  <property fmtid="{D5CDD505-2E9C-101B-9397-08002B2CF9AE}" pid="3" name="CitaviDocumentProperty_7">
    <vt:lpwstr>Thrombopoiesis Yuri</vt:lpwstr>
  </property>
  <property fmtid="{D5CDD505-2E9C-101B-9397-08002B2CF9AE}" pid="4" name="CitaviDocumentProperty_0">
    <vt:lpwstr>bb4956b2-7a0d-472b-8034-2a7076a0fb95</vt:lpwstr>
  </property>
  <property fmtid="{D5CDD505-2E9C-101B-9397-08002B2CF9AE}" pid="5" name="CitaviDocumentProperty_1">
    <vt:lpwstr>6.2.0.12</vt:lpwstr>
  </property>
</Properties>
</file>