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F8" w:rsidRPr="001B1075" w:rsidRDefault="000052F8" w:rsidP="001B1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S1 Text </w:t>
      </w:r>
    </w:p>
    <w:p w:rsidR="000052F8" w:rsidRPr="00B26AD2" w:rsidRDefault="000052F8" w:rsidP="008B5B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Predicting allosteric effects from orthosteric binding in Hsp90-ligand interactions: Implications for Fragment-based drug design</w:t>
      </w:r>
    </w:p>
    <w:p w:rsidR="000052F8" w:rsidRPr="004338EB" w:rsidRDefault="000052F8" w:rsidP="008B5BED">
      <w:pPr>
        <w:widowControl w:val="0"/>
        <w:autoSpaceDE w:val="0"/>
        <w:autoSpaceDN w:val="0"/>
        <w:adjustRightInd w:val="0"/>
        <w:spacing w:line="480" w:lineRule="auto"/>
        <w:ind w:left="101" w:right="-43"/>
        <w:rPr>
          <w:rFonts w:ascii="Times New Roman" w:hAnsi="Times New Roman" w:cs="Times New Roman"/>
          <w:sz w:val="24"/>
          <w:szCs w:val="24"/>
        </w:rPr>
      </w:pPr>
      <w:r w:rsidRPr="00433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Arun Chandramohan</w:t>
      </w:r>
      <w:r w:rsidRPr="003D3E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4338E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433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332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33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Srinath Krishnamurthy</w:t>
      </w:r>
      <w:r w:rsidRPr="003D3E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4338EB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33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Andreas Larsson</w:t>
      </w:r>
      <w:r w:rsidRPr="003D3E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433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433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 Nordlund</w:t>
      </w:r>
      <w:r w:rsidRPr="003D3E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Anna Jans</w:t>
      </w:r>
      <w:r w:rsidRPr="00433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son</w:t>
      </w:r>
      <w:r w:rsidRPr="003D3E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433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Ganesh S. Anand</w:t>
      </w:r>
      <w:r w:rsidRPr="003D3E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</w:p>
    <w:p w:rsidR="000052F8" w:rsidRPr="003614DE" w:rsidRDefault="000052F8" w:rsidP="008B5BED">
      <w:pPr>
        <w:widowControl w:val="0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614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14DE">
        <w:rPr>
          <w:rFonts w:ascii="Times New Roman" w:hAnsi="Times New Roman" w:cs="Times New Roman"/>
          <w:sz w:val="24"/>
          <w:szCs w:val="24"/>
        </w:rPr>
        <w:t>Department of Biological Sciences, National University of Singapore, 14 Science Drive 4, Singapore 117543</w:t>
      </w:r>
    </w:p>
    <w:p w:rsidR="000052F8" w:rsidRPr="004338EB" w:rsidRDefault="000052F8" w:rsidP="008B5BED">
      <w:pPr>
        <w:widowControl w:val="0"/>
        <w:autoSpaceDE w:val="0"/>
        <w:autoSpaceDN w:val="0"/>
        <w:adjustRightInd w:val="0"/>
        <w:ind w:left="461"/>
        <w:rPr>
          <w:rFonts w:ascii="Times New Roman" w:hAnsi="Times New Roman" w:cs="Times New Roman"/>
          <w:color w:val="000000"/>
          <w:sz w:val="24"/>
          <w:szCs w:val="24"/>
        </w:rPr>
      </w:pPr>
      <w:r w:rsidRPr="003D3E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3D3E79">
        <w:rPr>
          <w:rFonts w:ascii="Times New Roman" w:hAnsi="Times New Roman" w:cs="Times New Roman"/>
          <w:color w:val="000000"/>
          <w:sz w:val="24"/>
          <w:szCs w:val="24"/>
        </w:rPr>
        <w:t xml:space="preserve">School of Biological Sciences,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Nanyang Technological University, </w:t>
      </w:r>
      <w:r w:rsidRPr="00665159">
        <w:rPr>
          <w:rFonts w:ascii="Times New Roman" w:hAnsi="Times New Roman" w:cs="Times New Roman"/>
          <w:color w:val="000000"/>
          <w:sz w:val="24"/>
          <w:szCs w:val="24"/>
        </w:rPr>
        <w:t>61 Nanyang Drive, Singapore 639798</w:t>
      </w:r>
    </w:p>
    <w:p w:rsidR="000052F8" w:rsidRPr="004338EB" w:rsidRDefault="000052F8" w:rsidP="001B1075">
      <w:pPr>
        <w:widowControl w:val="0"/>
        <w:autoSpaceDE w:val="0"/>
        <w:autoSpaceDN w:val="0"/>
        <w:adjustRightInd w:val="0"/>
        <w:ind w:left="461"/>
        <w:rPr>
          <w:rFonts w:ascii="Times New Roman" w:hAnsi="Times New Roman" w:cs="Times New Roman"/>
          <w:color w:val="000000"/>
          <w:sz w:val="24"/>
          <w:szCs w:val="24"/>
        </w:rPr>
      </w:pPr>
    </w:p>
    <w:p w:rsidR="000052F8" w:rsidRPr="004338EB" w:rsidRDefault="000052F8" w:rsidP="001B1075">
      <w:pPr>
        <w:widowControl w:val="0"/>
        <w:autoSpaceDE w:val="0"/>
        <w:autoSpaceDN w:val="0"/>
        <w:adjustRightInd w:val="0"/>
        <w:ind w:left="461"/>
        <w:rPr>
          <w:rFonts w:ascii="Times New Roman" w:hAnsi="Times New Roman" w:cs="Times New Roman"/>
          <w:color w:val="000000"/>
          <w:sz w:val="24"/>
          <w:szCs w:val="24"/>
        </w:rPr>
      </w:pPr>
    </w:p>
    <w:p w:rsidR="000052F8" w:rsidRPr="004338EB" w:rsidRDefault="000052F8" w:rsidP="001B1075">
      <w:pPr>
        <w:widowControl w:val="0"/>
        <w:autoSpaceDE w:val="0"/>
        <w:autoSpaceDN w:val="0"/>
        <w:adjustRightInd w:val="0"/>
        <w:ind w:left="461"/>
        <w:rPr>
          <w:rFonts w:ascii="Times New Roman" w:hAnsi="Times New Roman" w:cs="Times New Roman"/>
          <w:sz w:val="24"/>
          <w:szCs w:val="24"/>
        </w:rPr>
      </w:pPr>
    </w:p>
    <w:p w:rsidR="000052F8" w:rsidRPr="004338EB" w:rsidRDefault="000052F8" w:rsidP="001B1075">
      <w:pPr>
        <w:widowControl w:val="0"/>
        <w:autoSpaceDE w:val="0"/>
        <w:autoSpaceDN w:val="0"/>
        <w:adjustRightInd w:val="0"/>
        <w:spacing w:before="237"/>
        <w:rPr>
          <w:rFonts w:ascii="Times New Roman" w:hAnsi="Times New Roman" w:cs="Times New Roman"/>
          <w:color w:val="000000"/>
          <w:sz w:val="24"/>
          <w:szCs w:val="24"/>
        </w:rPr>
      </w:pPr>
    </w:p>
    <w:p w:rsidR="000052F8" w:rsidRPr="004338EB" w:rsidRDefault="000052F8" w:rsidP="001B1075">
      <w:pPr>
        <w:widowControl w:val="0"/>
        <w:autoSpaceDE w:val="0"/>
        <w:autoSpaceDN w:val="0"/>
        <w:adjustRightInd w:val="0"/>
        <w:spacing w:before="237"/>
        <w:rPr>
          <w:rFonts w:ascii="Times New Roman" w:hAnsi="Times New Roman" w:cs="Times New Roman"/>
          <w:sz w:val="24"/>
          <w:szCs w:val="24"/>
        </w:rPr>
      </w:pPr>
    </w:p>
    <w:p w:rsidR="000052F8" w:rsidRDefault="000052F8" w:rsidP="001B1075">
      <w:pPr>
        <w:widowControl w:val="0"/>
        <w:autoSpaceDE w:val="0"/>
        <w:autoSpaceDN w:val="0"/>
        <w:adjustRightInd w:val="0"/>
        <w:spacing w:before="436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0052F8" w:rsidRDefault="000052F8" w:rsidP="001B1075">
      <w:pPr>
        <w:widowControl w:val="0"/>
        <w:autoSpaceDE w:val="0"/>
        <w:autoSpaceDN w:val="0"/>
        <w:adjustRightInd w:val="0"/>
        <w:spacing w:before="436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0052F8" w:rsidRDefault="000052F8" w:rsidP="001B1075">
      <w:pPr>
        <w:widowControl w:val="0"/>
        <w:autoSpaceDE w:val="0"/>
        <w:autoSpaceDN w:val="0"/>
        <w:adjustRightInd w:val="0"/>
        <w:spacing w:before="436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0052F8" w:rsidRDefault="000052F8" w:rsidP="001B1075">
      <w:pPr>
        <w:widowControl w:val="0"/>
        <w:autoSpaceDE w:val="0"/>
        <w:autoSpaceDN w:val="0"/>
        <w:adjustRightInd w:val="0"/>
        <w:spacing w:before="436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0052F8" w:rsidRPr="004338EB" w:rsidRDefault="000052F8" w:rsidP="001B1075">
      <w:pPr>
        <w:widowControl w:val="0"/>
        <w:autoSpaceDE w:val="0"/>
        <w:autoSpaceDN w:val="0"/>
        <w:adjustRightInd w:val="0"/>
        <w:spacing w:before="436"/>
        <w:rPr>
          <w:rFonts w:ascii="Times New Roman" w:hAnsi="Times New Roman" w:cs="Times New Roman"/>
          <w:color w:val="000000"/>
          <w:sz w:val="24"/>
          <w:szCs w:val="24"/>
        </w:rPr>
      </w:pPr>
    </w:p>
    <w:p w:rsidR="000052F8" w:rsidRPr="004338EB" w:rsidRDefault="000052F8" w:rsidP="001B1075">
      <w:pPr>
        <w:widowControl w:val="0"/>
        <w:autoSpaceDE w:val="0"/>
        <w:autoSpaceDN w:val="0"/>
        <w:adjustRightInd w:val="0"/>
        <w:spacing w:before="436"/>
        <w:rPr>
          <w:rFonts w:ascii="Times New Roman" w:hAnsi="Times New Roman" w:cs="Times New Roman"/>
          <w:sz w:val="24"/>
          <w:szCs w:val="24"/>
        </w:rPr>
      </w:pPr>
    </w:p>
    <w:p w:rsidR="000052F8" w:rsidRPr="004338EB" w:rsidRDefault="000052F8" w:rsidP="001B1075">
      <w:pPr>
        <w:rPr>
          <w:rFonts w:ascii="Times New Roman" w:hAnsi="Times New Roman" w:cs="Times New Roman"/>
          <w:sz w:val="24"/>
          <w:szCs w:val="24"/>
        </w:rPr>
      </w:pPr>
    </w:p>
    <w:p w:rsidR="000052F8" w:rsidRDefault="000052F8" w:rsidP="001B10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052F8" w:rsidRDefault="000052F8" w:rsidP="001B10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0052F8" w:rsidRDefault="000052F8" w:rsidP="001B10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information describes the properties of the high and low affinity ligands used in this study in Table A. Purification of the N-terminal ATPase domain of Hsp90 are described together with details of the amide hydrogen/deuterium exchange mass spectrometry experiments.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52F8" w:rsidRDefault="000052F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052F8" w:rsidRPr="004338EB" w:rsidRDefault="000052F8" w:rsidP="00E02E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EC3C98" wp14:editId="4ADD7BBE">
            <wp:extent cx="5940000" cy="3062189"/>
            <wp:effectExtent l="0" t="0" r="381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062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2F8" w:rsidRPr="00403A6B" w:rsidRDefault="000052F8" w:rsidP="00E0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A6B">
        <w:rPr>
          <w:rFonts w:ascii="Times New Roman" w:hAnsi="Times New Roman" w:cs="Times New Roman"/>
          <w:b/>
          <w:sz w:val="24"/>
          <w:szCs w:val="24"/>
        </w:rPr>
        <w:t xml:space="preserve">Table A: </w:t>
      </w:r>
      <w:r w:rsidRPr="00403A6B">
        <w:rPr>
          <w:rFonts w:ascii="Times New Roman" w:hAnsi="Times New Roman" w:cs="Times New Roman"/>
          <w:sz w:val="24"/>
          <w:szCs w:val="24"/>
        </w:rPr>
        <w:t>Ligands tested for binding to Hsp90 by HDXMS along with their molecular weights and binding affinities. High affinity ligands are boxed in black and low</w:t>
      </w:r>
      <w:r>
        <w:rPr>
          <w:rFonts w:ascii="Times New Roman" w:hAnsi="Times New Roman" w:cs="Times New Roman"/>
          <w:sz w:val="24"/>
          <w:szCs w:val="24"/>
        </w:rPr>
        <w:t xml:space="preserve"> affinity ligands boxed in grey [</w:t>
      </w:r>
      <w:r w:rsidRPr="000052F8">
        <w:rPr>
          <w:rFonts w:ascii="Times New Roman" w:hAnsi="Times New Roman" w:cs="Times New Roman"/>
          <w:noProof/>
          <w:sz w:val="24"/>
          <w:szCs w:val="24"/>
        </w:rPr>
        <w:t>27,28</w:t>
      </w:r>
      <w:r>
        <w:rPr>
          <w:rFonts w:ascii="Times New Roman" w:hAnsi="Times New Roman" w:cs="Times New Roman"/>
          <w:noProof/>
          <w:sz w:val="24"/>
          <w:szCs w:val="24"/>
        </w:rPr>
        <w:t>].</w:t>
      </w:r>
    </w:p>
    <w:p w:rsidR="000052F8" w:rsidRDefault="000052F8"/>
    <w:p w:rsidR="000052F8" w:rsidRPr="00403A6B" w:rsidRDefault="000052F8" w:rsidP="00E02E4C">
      <w:pPr>
        <w:keepNext/>
        <w:keepLines/>
        <w:numPr>
          <w:ilvl w:val="2"/>
          <w:numId w:val="0"/>
        </w:numPr>
        <w:spacing w:before="200" w:after="0" w:line="480" w:lineRule="auto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378240235"/>
      <w:bookmarkStart w:id="1" w:name="_Toc378240932"/>
      <w:r w:rsidRPr="00403A6B">
        <w:rPr>
          <w:rFonts w:ascii="Times New Roman" w:eastAsiaTheme="majorEastAsia" w:hAnsi="Times New Roman" w:cs="Times New Roman"/>
          <w:b/>
          <w:bCs/>
          <w:sz w:val="24"/>
          <w:szCs w:val="24"/>
        </w:rPr>
        <w:t>Materials</w:t>
      </w:r>
    </w:p>
    <w:p w:rsidR="000052F8" w:rsidRPr="004338EB" w:rsidRDefault="000052F8" w:rsidP="00E02E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38EB">
        <w:rPr>
          <w:rFonts w:ascii="Times New Roman" w:hAnsi="Times New Roman" w:cs="Times New Roman"/>
          <w:sz w:val="24"/>
          <w:szCs w:val="24"/>
        </w:rPr>
        <w:t>Unless otherwise mentioned all ligands/compounds were purchased from Sigma Aldrich (St. Louis, MO).</w:t>
      </w:r>
      <w:r w:rsidRPr="004338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52F8" w:rsidRPr="00403A6B" w:rsidRDefault="000052F8" w:rsidP="00E02E4C">
      <w:pPr>
        <w:keepNext/>
        <w:keepLines/>
        <w:numPr>
          <w:ilvl w:val="2"/>
          <w:numId w:val="0"/>
        </w:numPr>
        <w:spacing w:before="200" w:after="0" w:line="480" w:lineRule="auto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378240234"/>
      <w:bookmarkStart w:id="3" w:name="_Toc378240931"/>
      <w:r w:rsidRPr="00403A6B">
        <w:rPr>
          <w:rFonts w:ascii="Times New Roman" w:eastAsiaTheme="majorEastAsia" w:hAnsi="Times New Roman" w:cs="Times New Roman"/>
          <w:b/>
          <w:bCs/>
          <w:sz w:val="24"/>
          <w:szCs w:val="24"/>
        </w:rPr>
        <w:t>Protein Expression and Purification</w:t>
      </w:r>
      <w:bookmarkEnd w:id="2"/>
      <w:bookmarkEnd w:id="3"/>
    </w:p>
    <w:p w:rsidR="000052F8" w:rsidRDefault="000052F8" w:rsidP="00E02E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38EB">
        <w:rPr>
          <w:rFonts w:ascii="Times New Roman" w:hAnsi="Times New Roman" w:cs="Times New Roman"/>
          <w:sz w:val="24"/>
          <w:szCs w:val="24"/>
        </w:rPr>
        <w:t>The gene coding for M1-E236, the ATP binding domain of human Hsp90 isoform 1, were subcloned into the pNIC28-Bsa4 vector (GenBank</w:t>
      </w:r>
      <w:r w:rsidRPr="004338EB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4338EB">
        <w:rPr>
          <w:rFonts w:ascii="Times New Roman" w:hAnsi="Times New Roman" w:cs="Times New Roman"/>
          <w:sz w:val="24"/>
          <w:szCs w:val="24"/>
        </w:rPr>
        <w:t xml:space="preserve"> accession number EF198106), yielding an expression construct with an N-terminal hexahistidine tag and a TEV protease recognition site. The positive recombinant clone was retransformed and expressed in T1 phage-resistant BL21(DE3) </w:t>
      </w:r>
      <w:r w:rsidRPr="004338EB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Pr="004338EB">
        <w:rPr>
          <w:rFonts w:ascii="Times New Roman" w:hAnsi="Times New Roman" w:cs="Times New Roman"/>
          <w:sz w:val="24"/>
          <w:szCs w:val="24"/>
        </w:rPr>
        <w:t xml:space="preserve"> strain (Merck). For expression, the cells were grown at 37°C in a LEX system using 0.75 L of Terrific Broth medium supplemented with 8 g/L glycerol, 50 μg/mL of kanamycin, and 34 μg/mL of chloramphenicol. When OD</w:t>
      </w:r>
      <w:r w:rsidRPr="004338EB">
        <w:rPr>
          <w:rFonts w:ascii="Times New Roman" w:hAnsi="Times New Roman" w:cs="Times New Roman"/>
          <w:sz w:val="24"/>
          <w:szCs w:val="24"/>
          <w:vertAlign w:val="subscript"/>
        </w:rPr>
        <w:t>600</w:t>
      </w:r>
      <w:r w:rsidRPr="004338EB">
        <w:rPr>
          <w:rFonts w:ascii="Times New Roman" w:hAnsi="Times New Roman" w:cs="Times New Roman"/>
          <w:sz w:val="24"/>
          <w:szCs w:val="24"/>
        </w:rPr>
        <w:t xml:space="preserve"> reached </w:t>
      </w:r>
      <w:r>
        <w:rPr>
          <w:rFonts w:ascii="Times New Roman" w:hAnsi="Times New Roman" w:cs="Times New Roman"/>
          <w:sz w:val="24"/>
          <w:szCs w:val="24"/>
        </w:rPr>
        <w:t>0.6-0.8</w:t>
      </w:r>
      <w:r w:rsidRPr="004338EB">
        <w:rPr>
          <w:rFonts w:ascii="Times New Roman" w:hAnsi="Times New Roman" w:cs="Times New Roman"/>
          <w:sz w:val="24"/>
          <w:szCs w:val="24"/>
        </w:rPr>
        <w:t xml:space="preserve">, the temperature </w:t>
      </w:r>
      <w:r w:rsidRPr="004338EB">
        <w:rPr>
          <w:rFonts w:ascii="Times New Roman" w:hAnsi="Times New Roman" w:cs="Times New Roman"/>
          <w:sz w:val="24"/>
          <w:szCs w:val="24"/>
        </w:rPr>
        <w:lastRenderedPageBreak/>
        <w:t>was reduced to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EB">
        <w:rPr>
          <w:rFonts w:ascii="Times New Roman" w:hAnsi="Times New Roman" w:cs="Times New Roman"/>
          <w:sz w:val="24"/>
          <w:szCs w:val="24"/>
        </w:rPr>
        <w:t xml:space="preserve">°C. After 30–60 min, the expression of the target protein was induced by addition of 0.5 mM isopropyl β-D-thiogalactopyranoside (IPTG) and incubated for 17–20 h. The cells were harvested by centrifugation and resuspended in lysis buffer (100 mM HEPES, 500 mM NaCl, 10 mM imidazole, 10% (v/v) glycerol, 0.5 mM TCEP, pH 8.0) supplemented with Protease Inhibitor Mixture Set III, EDTA free (Merck) and 2000 units of benzonase (Merck), and stored at −80 °C. Cells were disrupted by sonication on ice using Vibra-Cell processor (Sonics &amp; Materials Inc., Newtown, CT). The lysate was clarified by centrifugation at 47,000 × </w:t>
      </w:r>
      <w:r w:rsidRPr="004338EB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4338EB">
        <w:rPr>
          <w:rFonts w:ascii="Times New Roman" w:hAnsi="Times New Roman" w:cs="Times New Roman"/>
          <w:sz w:val="24"/>
          <w:szCs w:val="24"/>
        </w:rPr>
        <w:t xml:space="preserve"> for 25 min at 4 °C, and the supernatant was filtered through a 1.2-μm syringe filter. Filtered lysates were loaded onto 1 mL of nickel-nitrilotriacetic acid Superflow r</w:t>
      </w:r>
      <w:r>
        <w:rPr>
          <w:rFonts w:ascii="Times New Roman" w:hAnsi="Times New Roman" w:cs="Times New Roman"/>
          <w:sz w:val="24"/>
          <w:szCs w:val="24"/>
        </w:rPr>
        <w:t>esin (Qiagen Inc., Valencia, CA</w:t>
      </w:r>
      <w:r w:rsidRPr="004338EB">
        <w:rPr>
          <w:rFonts w:ascii="Times New Roman" w:hAnsi="Times New Roman" w:cs="Times New Roman"/>
          <w:sz w:val="24"/>
          <w:szCs w:val="24"/>
        </w:rPr>
        <w:t>) in IMAC wash buffer 1 (20 mM HEPES, 500 mM NaCl, 10 mM imidazole, 10% (v/v) glycerol, 0.5 mM TCEP, pH 7.5) and washed with IMAC wash buffer 2 (20 mM HEPES, 500 mM NaCl, 25 mM imidazole, 10% (v/v) glycerol, 0.5 mM TCEP, pH 7.5). Bound proteins were eluted with 500 mM imidazole and loaded onto a HiLoad 16/60 Superdex-200 column (</w:t>
      </w:r>
      <w:r>
        <w:rPr>
          <w:rFonts w:ascii="Times New Roman" w:hAnsi="Times New Roman" w:cs="Times New Roman"/>
          <w:sz w:val="24"/>
          <w:szCs w:val="24"/>
        </w:rPr>
        <w:t>GE Healthcare, Waukesha, WI</w:t>
      </w:r>
      <w:r w:rsidRPr="004338EB">
        <w:rPr>
          <w:rFonts w:ascii="Times New Roman" w:hAnsi="Times New Roman" w:cs="Times New Roman"/>
          <w:sz w:val="24"/>
          <w:szCs w:val="24"/>
        </w:rPr>
        <w:t>) pre-equilibrated with equilibration buffer (20 mM HEPES, 300 mM NaCl, 10% (v/v) glycerol, 0.5 mM TCEP, pH 7.5). Fractions containing the protein of interest were pooled. TCEP was added to a final concentration of 2 mM, and the sample was concentrated using Vivaspin 20 filter concentrators (15-kDa MW cutoff) (GE Healthcare) at 15 °C. The final protein concentration and yield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4338EB">
        <w:rPr>
          <w:rFonts w:ascii="Times New Roman" w:hAnsi="Times New Roman" w:cs="Times New Roman"/>
          <w:sz w:val="24"/>
          <w:szCs w:val="24"/>
        </w:rPr>
        <w:t xml:space="preserve"> 16.5 mg/mL, 6 mg. </w:t>
      </w:r>
    </w:p>
    <w:p w:rsidR="000052F8" w:rsidRPr="00403A6B" w:rsidRDefault="000052F8" w:rsidP="002813E4">
      <w:pPr>
        <w:spacing w:line="48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03A6B">
        <w:rPr>
          <w:rFonts w:ascii="Times New Roman" w:eastAsiaTheme="majorEastAsia" w:hAnsi="Times New Roman" w:cs="Times New Roman"/>
          <w:b/>
          <w:bCs/>
          <w:sz w:val="24"/>
          <w:szCs w:val="24"/>
        </w:rPr>
        <w:t>Experimental optimization and design</w:t>
      </w:r>
    </w:p>
    <w:p w:rsidR="000052F8" w:rsidRPr="004338EB" w:rsidRDefault="000052F8" w:rsidP="001B1075">
      <w:pPr>
        <w:spacing w:line="480" w:lineRule="auto"/>
        <w:ind w:firstLine="72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338EB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sensitivity of mass spectrometers currently available can easily detect picomole-femtomole amounts of protein sample. The sensitivity limit of the mass spectrometer can be used to guide the amount of protein sample used for the deuterium exchange reaction. </w:t>
      </w:r>
    </w:p>
    <w:p w:rsidR="000052F8" w:rsidRPr="004338EB" w:rsidRDefault="000052F8" w:rsidP="00D01F3B">
      <w:pPr>
        <w:keepNext/>
        <w:keepLines/>
        <w:numPr>
          <w:ilvl w:val="1"/>
          <w:numId w:val="0"/>
        </w:numPr>
        <w:spacing w:before="200" w:after="0" w:line="48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338EB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 xml:space="preserve">For ligands where dissociation constants are unknown, highest concentration solutions of ligand achievable in DMSO without precipitation may be used. </w:t>
      </w:r>
    </w:p>
    <w:p w:rsidR="000052F8" w:rsidRPr="001B1075" w:rsidRDefault="000052F8" w:rsidP="001B1075">
      <w:pPr>
        <w:spacing w:line="480" w:lineRule="auto"/>
        <w:ind w:firstLine="72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338EB">
        <w:rPr>
          <w:rFonts w:ascii="Times New Roman" w:eastAsiaTheme="majorEastAsia" w:hAnsi="Times New Roman" w:cs="Times New Roman"/>
          <w:bCs/>
          <w:sz w:val="24"/>
          <w:szCs w:val="24"/>
        </w:rPr>
        <w:t xml:space="preserve">Due to the variable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aqueous </w:t>
      </w:r>
      <w:r w:rsidRPr="004338EB">
        <w:rPr>
          <w:rFonts w:ascii="Times New Roman" w:eastAsiaTheme="majorEastAsia" w:hAnsi="Times New Roman" w:cs="Times New Roman"/>
          <w:bCs/>
          <w:sz w:val="24"/>
          <w:szCs w:val="24"/>
        </w:rPr>
        <w:t>solubility of ligands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from compound libraries</w:t>
      </w:r>
      <w:r w:rsidRPr="004338EB">
        <w:rPr>
          <w:rFonts w:ascii="Times New Roman" w:eastAsiaTheme="majorEastAsia" w:hAnsi="Times New Roman" w:cs="Times New Roman"/>
          <w:bCs/>
          <w:sz w:val="24"/>
          <w:szCs w:val="24"/>
        </w:rPr>
        <w:t>, dimethyl sulfoxide (DMSO) is a prefer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red solvent. An alternate approach is for</w:t>
      </w:r>
      <w:r w:rsidRPr="004338E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ligand solubilized in DMSO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to</w:t>
      </w:r>
      <w:r w:rsidRPr="004338E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be added to the deuterated buffer and the deuterium exchange reaction initiated by addition of protein to offset potentially adverse interactions of protein with higher concentrations DMSO prior to dilution in D</w:t>
      </w:r>
      <w:r w:rsidRPr="00BD4E25">
        <w:rPr>
          <w:rFonts w:ascii="Times New Roman" w:eastAsiaTheme="majorEastAsia" w:hAnsi="Times New Roman" w:cs="Times New Roman"/>
          <w:bCs/>
          <w:sz w:val="24"/>
          <w:szCs w:val="24"/>
          <w:vertAlign w:val="subscript"/>
        </w:rPr>
        <w:t>2</w:t>
      </w:r>
      <w:r w:rsidRPr="004338EB">
        <w:rPr>
          <w:rFonts w:ascii="Times New Roman" w:eastAsiaTheme="majorEastAsia" w:hAnsi="Times New Roman" w:cs="Times New Roman"/>
          <w:bCs/>
          <w:sz w:val="24"/>
          <w:szCs w:val="24"/>
        </w:rPr>
        <w:t>O. The protein sample of interest should be tested through functional assays to ensure that it can tolerate the final concentration of DMSO present in the deuterium exchange reaction mixture.</w:t>
      </w:r>
    </w:p>
    <w:p w:rsidR="000052F8" w:rsidRPr="00403A6B" w:rsidRDefault="000052F8" w:rsidP="00E02E4C">
      <w:pPr>
        <w:keepNext/>
        <w:keepLines/>
        <w:numPr>
          <w:ilvl w:val="2"/>
          <w:numId w:val="0"/>
        </w:numPr>
        <w:spacing w:before="200" w:after="0" w:line="480" w:lineRule="auto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03A6B">
        <w:rPr>
          <w:rFonts w:ascii="Times New Roman" w:eastAsiaTheme="majorEastAsia" w:hAnsi="Times New Roman" w:cs="Times New Roman"/>
          <w:b/>
          <w:bCs/>
          <w:sz w:val="24"/>
          <w:szCs w:val="24"/>
          <w:lang w:val="de-DE"/>
        </w:rPr>
        <w:t>Amide Hydrogen/Deuterium Exchange Mass Spectrometry</w:t>
      </w:r>
      <w:bookmarkEnd w:id="0"/>
      <w:bookmarkEnd w:id="1"/>
    </w:p>
    <w:p w:rsidR="000052F8" w:rsidRDefault="000052F8" w:rsidP="002813E4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Briefly, deuterium exchange reaction was carried out for the following time points (t= 0.5, 1, 2, 5 and 10 min). This time series represents a short labeling time series for deuterium exchange [</w:t>
      </w:r>
      <w:bookmarkStart w:id="4" w:name="_GoBack"/>
      <w:bookmarkEnd w:id="4"/>
      <w:r>
        <w:rPr>
          <w:rFonts w:ascii="Times New Roman" w:hAnsi="Times New Roman" w:cs="Times New Roman"/>
          <w:noProof/>
          <w:sz w:val="24"/>
          <w:szCs w:val="24"/>
        </w:rPr>
        <w:t>39]</w:t>
      </w:r>
      <w:r>
        <w:rPr>
          <w:rFonts w:ascii="Times New Roman" w:hAnsi="Times New Roman" w:cs="Times New Roman"/>
          <w:sz w:val="24"/>
          <w:szCs w:val="24"/>
        </w:rPr>
        <w:t>. The reaction was quenched in 2% TFA solution to obtain a pH</w:t>
      </w:r>
      <w:r w:rsidRPr="00B26AD2">
        <w:rPr>
          <w:rFonts w:ascii="Times New Roman" w:hAnsi="Times New Roman" w:cs="Times New Roman"/>
          <w:sz w:val="24"/>
          <w:szCs w:val="24"/>
          <w:vertAlign w:val="subscript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 of ~2.5 and chilled on ice for 2 min prior to injection in a </w:t>
      </w:r>
      <w:r>
        <w:rPr>
          <w:rFonts w:ascii="Times New Roman" w:hAnsi="Times New Roman" w:cs="Times New Roman"/>
          <w:sz w:val="24"/>
        </w:rPr>
        <w:t>nano-UPLC HDX sample manager (Waters, Milford, MA) [</w:t>
      </w:r>
      <w:r w:rsidRPr="000052F8">
        <w:rPr>
          <w:rFonts w:ascii="Times New Roman" w:hAnsi="Times New Roman" w:cs="Times New Roman"/>
          <w:noProof/>
          <w:sz w:val="24"/>
        </w:rPr>
        <w:t>40]</w:t>
      </w:r>
      <w:r w:rsidRPr="000052F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Samples were subjected to proteolytic digestion by an online immobilized pepsin column and separated on C18 analytical reverse phase column. Peptides were then sprayed onto a Waters Synapt HDMS ESI mass spectrometer</w:t>
      </w:r>
      <w:r w:rsidRPr="004F5E87">
        <w:rPr>
          <w:rFonts w:ascii="Times New Roman" w:hAnsi="Times New Roman" w:cs="Times New Roman"/>
          <w:sz w:val="24"/>
        </w:rPr>
        <w:t xml:space="preserve"> </w:t>
      </w:r>
      <w:r w:rsidRPr="00193E04">
        <w:rPr>
          <w:rFonts w:ascii="Times New Roman" w:hAnsi="Times New Roman" w:cs="Times New Roman"/>
          <w:sz w:val="24"/>
        </w:rPr>
        <w:t>(Waters</w:t>
      </w:r>
      <w:r>
        <w:rPr>
          <w:rFonts w:ascii="Times New Roman" w:hAnsi="Times New Roman" w:cs="Times New Roman"/>
          <w:sz w:val="24"/>
        </w:rPr>
        <w:t>, Milford, MA) acquiring in MS</w:t>
      </w:r>
      <w:r w:rsidRPr="0055033E">
        <w:rPr>
          <w:rFonts w:ascii="Times New Roman" w:hAnsi="Times New Roman" w:cs="Times New Roman"/>
          <w:sz w:val="24"/>
          <w:vertAlign w:val="superscript"/>
        </w:rPr>
        <w:t>E</w:t>
      </w:r>
      <w:r w:rsidRPr="00193E04">
        <w:rPr>
          <w:rFonts w:ascii="Times New Roman" w:hAnsi="Times New Roman" w:cs="Times New Roman"/>
          <w:sz w:val="24"/>
        </w:rPr>
        <w:t xml:space="preserve"> mode</w:t>
      </w:r>
      <w:r>
        <w:rPr>
          <w:rFonts w:ascii="Times New Roman" w:hAnsi="Times New Roman" w:cs="Times New Roman"/>
          <w:sz w:val="24"/>
        </w:rPr>
        <w:t>. Continuous instrument calibration was carried out using Glu-fibrinogen peptide. Reported values are the average of 2-4 independent experiments. We have previously reported an average back exchange of ~ 30% in our experimental setup [</w:t>
      </w:r>
      <w:r>
        <w:rPr>
          <w:rFonts w:ascii="Times New Roman" w:hAnsi="Times New Roman" w:cs="Times New Roman"/>
          <w:noProof/>
          <w:sz w:val="24"/>
        </w:rPr>
        <w:t>41]</w:t>
      </w:r>
      <w:r>
        <w:rPr>
          <w:rFonts w:ascii="Times New Roman" w:hAnsi="Times New Roman" w:cs="Times New Roman"/>
          <w:sz w:val="24"/>
        </w:rPr>
        <w:t>. In this study, only uncorrected deuterium exchange values are reported.</w:t>
      </w:r>
    </w:p>
    <w:p w:rsidR="000052F8" w:rsidRDefault="000052F8" w:rsidP="002813E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Pepsin digest fragments were sequenced and identified using ProteinLynx Global Server version 2.0 </w:t>
      </w:r>
      <w:r w:rsidRPr="00193E04">
        <w:rPr>
          <w:rFonts w:ascii="Times New Roman" w:hAnsi="Times New Roman" w:cs="Times New Roman"/>
          <w:sz w:val="24"/>
        </w:rPr>
        <w:t>(Waters</w:t>
      </w:r>
      <w:r>
        <w:rPr>
          <w:rFonts w:ascii="Times New Roman" w:hAnsi="Times New Roman" w:cs="Times New Roman"/>
          <w:sz w:val="24"/>
        </w:rPr>
        <w:t xml:space="preserve">, Milford, MA) and deuterium exchange data was analyzed using DynamX software version 2.0 </w:t>
      </w:r>
      <w:r w:rsidRPr="00193E04">
        <w:rPr>
          <w:rFonts w:ascii="Times New Roman" w:hAnsi="Times New Roman" w:cs="Times New Roman"/>
          <w:sz w:val="24"/>
        </w:rPr>
        <w:t>(Waters</w:t>
      </w:r>
      <w:r>
        <w:rPr>
          <w:rFonts w:ascii="Times New Roman" w:hAnsi="Times New Roman" w:cs="Times New Roman"/>
          <w:sz w:val="24"/>
        </w:rPr>
        <w:t xml:space="preserve">, Milford, MA).  </w:t>
      </w:r>
    </w:p>
    <w:p w:rsidR="000052F8" w:rsidRDefault="000052F8" w:rsidP="00E02E4C">
      <w:r>
        <w:t>Supporting references</w:t>
      </w:r>
    </w:p>
    <w:p w:rsidR="000052F8" w:rsidRPr="001B1075" w:rsidRDefault="000052F8" w:rsidP="001B1075">
      <w:pPr>
        <w:pStyle w:val="EndNoteBibliography"/>
        <w:spacing w:after="0"/>
      </w:pPr>
      <w:r>
        <w:t>(39)</w:t>
      </w:r>
      <w:r w:rsidRPr="001B1075">
        <w:t xml:space="preserve"> Hoofnagle, A. N.; Resing, K. A.; Ahn, N. G. </w:t>
      </w:r>
      <w:r w:rsidRPr="001B1075">
        <w:rPr>
          <w:i/>
        </w:rPr>
        <w:t>Annu Rev Biophys Biomol Struct</w:t>
      </w:r>
      <w:r w:rsidRPr="001B1075">
        <w:t xml:space="preserve"> </w:t>
      </w:r>
      <w:r w:rsidRPr="001B1075">
        <w:rPr>
          <w:b/>
        </w:rPr>
        <w:t>2003</w:t>
      </w:r>
      <w:r w:rsidRPr="001B1075">
        <w:t xml:space="preserve">, </w:t>
      </w:r>
      <w:r w:rsidRPr="001B1075">
        <w:rPr>
          <w:i/>
        </w:rPr>
        <w:t>32</w:t>
      </w:r>
      <w:r w:rsidRPr="001B1075">
        <w:t>, 1-25.</w:t>
      </w:r>
    </w:p>
    <w:p w:rsidR="000052F8" w:rsidRPr="001B1075" w:rsidRDefault="000052F8" w:rsidP="001B1075">
      <w:pPr>
        <w:pStyle w:val="EndNoteBibliography"/>
        <w:spacing w:after="0"/>
      </w:pPr>
      <w:r w:rsidRPr="001B1075">
        <w:t>(</w:t>
      </w:r>
      <w:r>
        <w:t>40</w:t>
      </w:r>
      <w:r w:rsidRPr="001B1075">
        <w:t xml:space="preserve">) Wales, T. E.; Fadgen, K. E.; Gerhardt, G. C.; Engen, J. R. </w:t>
      </w:r>
      <w:r w:rsidRPr="001B1075">
        <w:rPr>
          <w:i/>
        </w:rPr>
        <w:t>Anal Chem</w:t>
      </w:r>
      <w:r w:rsidRPr="001B1075">
        <w:t xml:space="preserve"> </w:t>
      </w:r>
      <w:r w:rsidRPr="001B1075">
        <w:rPr>
          <w:b/>
        </w:rPr>
        <w:t>2008</w:t>
      </w:r>
      <w:r w:rsidRPr="001B1075">
        <w:t xml:space="preserve">, </w:t>
      </w:r>
      <w:r w:rsidRPr="001B1075">
        <w:rPr>
          <w:i/>
        </w:rPr>
        <w:t>80</w:t>
      </w:r>
      <w:r w:rsidRPr="001B1075">
        <w:t>, 6815-6820.</w:t>
      </w:r>
    </w:p>
    <w:p w:rsidR="000052F8" w:rsidRPr="001B1075" w:rsidRDefault="000052F8" w:rsidP="001B1075">
      <w:pPr>
        <w:pStyle w:val="EndNoteBibliography"/>
      </w:pPr>
      <w:r>
        <w:t>(41</w:t>
      </w:r>
      <w:r w:rsidRPr="001B1075">
        <w:t xml:space="preserve">) Moorthy, B. S.; Gao, Y.; Anand, G. S. </w:t>
      </w:r>
      <w:r w:rsidRPr="001B1075">
        <w:rPr>
          <w:i/>
        </w:rPr>
        <w:t>Mol Cell Proteomics</w:t>
      </w:r>
      <w:r w:rsidRPr="001B1075">
        <w:t xml:space="preserve"> </w:t>
      </w:r>
      <w:r w:rsidRPr="001B1075">
        <w:rPr>
          <w:b/>
        </w:rPr>
        <w:t>2011</w:t>
      </w:r>
      <w:r w:rsidRPr="001B1075">
        <w:t xml:space="preserve">, </w:t>
      </w:r>
      <w:r w:rsidRPr="001B1075">
        <w:rPr>
          <w:i/>
        </w:rPr>
        <w:t>10</w:t>
      </w:r>
      <w:r w:rsidRPr="001B1075">
        <w:t>, M110 002295.</w:t>
      </w:r>
    </w:p>
    <w:p w:rsidR="000052F8" w:rsidRDefault="000052F8" w:rsidP="00E02E4C"/>
    <w:p w:rsidR="0086008D" w:rsidRDefault="0086008D"/>
    <w:sectPr w:rsidR="0086008D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65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075" w:rsidRDefault="000052F8">
        <w:pPr>
          <w:pStyle w:val="Footer"/>
          <w:jc w:val="right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075" w:rsidRDefault="000052F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052F8"/>
    <w:rsid w:val="000052F8"/>
    <w:rsid w:val="008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96947-E7E3-4A50-8803-3F06C6C6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  <w:rsid w:val="000052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052F8"/>
  </w:style>
  <w:style w:type="character" w:styleId="Hyperlink">
    <w:name w:val="Hyperlink"/>
    <w:basedOn w:val="DefaultParagraphFont"/>
    <w:uiPriority w:val="99"/>
    <w:unhideWhenUsed/>
    <w:rsid w:val="000052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F8"/>
  </w:style>
  <w:style w:type="paragraph" w:styleId="Footer">
    <w:name w:val="footer"/>
    <w:basedOn w:val="Normal"/>
    <w:link w:val="FooterChar"/>
    <w:uiPriority w:val="99"/>
    <w:unhideWhenUsed/>
    <w:rsid w:val="0000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F8"/>
  </w:style>
  <w:style w:type="paragraph" w:customStyle="1" w:styleId="EndNoteBibliographyTitle">
    <w:name w:val="EndNote Bibliography Title"/>
    <w:basedOn w:val="Normal"/>
    <w:link w:val="EndNoteBibliographyTitleChar"/>
    <w:rsid w:val="000052F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52F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052F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52F8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Srinivasan Anand</dc:creator>
  <cp:keywords/>
  <dc:description/>
  <cp:lastModifiedBy>Ganesh Srinivasan Anand</cp:lastModifiedBy>
  <cp:revision>1</cp:revision>
  <dcterms:created xsi:type="dcterms:W3CDTF">2016-03-08T08:27:00Z</dcterms:created>
  <dcterms:modified xsi:type="dcterms:W3CDTF">2016-03-08T08:32:00Z</dcterms:modified>
</cp:coreProperties>
</file>